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2023-5466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JUAN MANUEL GUTIÉRREZ APONTE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Remisión documentos trámite de bajas para celdas de baterías central Muzú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Celdas  de baterías marca mtek MT633 6V3.3AH</w:t>
      </w:r>
    </w:p>
    <w:p>
      <w:pPr>
        <w:numPr>
          <w:ilvl w:val="0"/>
          <w:numId w:val="1"/>
        </w:numPr>
      </w:pPr>
      <w:r>
        <w:rPr/>
        <w:t xml:space="preserve">Celdas  de baterías marca mtek MT633 6V7AH</w:t>
      </w:r>
    </w:p>
    <w:p>
      <w:pPr>
        <w:numPr>
          <w:ilvl w:val="0"/>
          <w:numId w:val="1"/>
        </w:numPr>
      </w:pPr>
      <w:r>
        <w:rPr/>
        <w:t xml:space="preserve">Celdas de baterías marca mtek MT1270 12V7.2AH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JUAN MANUEL GUTIÉRREZ APONTE
          <w:br/>
          Profesional 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CAMILO TORRES NÚÑEZ
                <w:br/>
                ESTEBAN GARCÍA HERRERA
                <w:br/>
                OSCAR FRANCISCO GARCÍA FORERO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37895
                <w:br/>
                19611
                <w:br/>
                19795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Gerencia Planta Externa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15/08/2023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D9F45E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2023-08-15T17:06:52+02:00</dcterms:created>
  <dcterms:modified xsi:type="dcterms:W3CDTF">2023-08-15T17:06:52+02:00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