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8721-12312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ALBA MARINA ROMERO MENDOZA
                <w:br/>
                Gerencia Contabilidad e Impuestos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HENRY GÓMEZ GALVIS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Bajas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tbl>
      <w:tblGrid>
        <w:gridCol w:w="1500" w:type="dxa"/>
        <w:gridCol w:w="4500" w:type="dxa"/>
        <w:gridCol w:w="1500" w:type="dxa"/>
      </w:tblGrid>
      <w:tblPr>
        <w:tblStyle w:val="estilo3"/>
      </w:tblP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ÍTEM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CANTIDAD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Baja 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2</w:t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eqweq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</w:t>
            </w:r>
          </w:p>
        </w:tc>
      </w:tr>
      <w:tr>
        <w:trPr/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4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TOTAL</w:t>
            </w:r>
          </w:p>
        </w:tc>
        <w:tc>
          <w:tcPr>
            <w:tcW w:w="1500" w:type="dxa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124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3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HENRY GÓMEZ GALVIS
          <w:br/>
          Profesional especializado II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3 folios originales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HENRY GÓMEZ GALVIS
                <w:br/>
                ELVIS HERNANDO BARAHONA ALVARADO
                <w:br/>
                JORGE PINTO GALEANO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20672
                <w:br/>
                12328
                <w:br/>
                30980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14/08/2023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2023-08-14T07:01:15+02:00</dcterms:created>
  <dcterms:modified xsi:type="dcterms:W3CDTF">2023-08-14T07:01:15+02:00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