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6E83" w14:textId="77777777" w:rsidR="00381BBE" w:rsidRDefault="00381BBE" w:rsidP="00861D25">
      <w:pPr>
        <w:rPr>
          <w:rFonts w:ascii="Tahoma" w:hAnsi="Tahoma" w:cs="Tahoma"/>
        </w:rPr>
      </w:pPr>
    </w:p>
    <w:p w14:paraId="25AF9AD4" w14:textId="456170AE" w:rsidR="007B55D7" w:rsidRDefault="007B55D7" w:rsidP="007B55D7">
      <w:pPr>
        <w:pStyle w:val="Prrafodelista"/>
        <w:numPr>
          <w:ilvl w:val="0"/>
          <w:numId w:val="1"/>
        </w:numPr>
        <w:rPr>
          <w:rFonts w:ascii="Tahoma" w:hAnsi="Tahoma" w:cs="Tahoma"/>
          <w:b/>
          <w:bCs/>
          <w:sz w:val="24"/>
          <w:szCs w:val="24"/>
        </w:rPr>
      </w:pPr>
      <w:r>
        <w:rPr>
          <w:rFonts w:ascii="Tahoma" w:hAnsi="Tahoma" w:cs="Tahoma"/>
          <w:b/>
          <w:bCs/>
          <w:sz w:val="24"/>
          <w:szCs w:val="24"/>
        </w:rPr>
        <w:t>Acciones.</w:t>
      </w:r>
    </w:p>
    <w:p w14:paraId="538C02EF" w14:textId="77777777" w:rsidR="00337C21" w:rsidRPr="00337C21" w:rsidRDefault="00337C21" w:rsidP="00337C21">
      <w:pPr>
        <w:jc w:val="both"/>
        <w:rPr>
          <w:rFonts w:ascii="Tahoma" w:hAnsi="Tahoma" w:cs="Tahoma"/>
          <w:sz w:val="24"/>
          <w:szCs w:val="24"/>
          <w:lang w:val="en-US"/>
        </w:rPr>
      </w:pPr>
      <w:r w:rsidRPr="00337C21">
        <w:rPr>
          <w:rFonts w:ascii="Tahoma" w:hAnsi="Tahoma" w:cs="Tahoma"/>
          <w:sz w:val="24"/>
          <w:szCs w:val="24"/>
          <w:lang w:val="en-US"/>
        </w:rPr>
        <w:t xml:space="preserve">Acciones: GE (General Electric Company), AAL (American Airlines Group Inc.), F (Ford Motor Company), UAL (United Airlines Holdings, Inc.), PF (Pfizer Inc.) </w:t>
      </w:r>
    </w:p>
    <w:p w14:paraId="36C8A883" w14:textId="26DFDF27" w:rsidR="00FC1DBE" w:rsidRPr="00081485" w:rsidRDefault="00BB5F93" w:rsidP="007B55D7">
      <w:pPr>
        <w:rPr>
          <w:rFonts w:ascii="Tahoma" w:hAnsi="Tahoma" w:cs="Tahoma"/>
        </w:rPr>
      </w:pPr>
      <w:r>
        <w:rPr>
          <w:rFonts w:ascii="Tahoma" w:hAnsi="Tahoma" w:cs="Tahoma"/>
        </w:rPr>
        <w:t>L</w:t>
      </w:r>
      <w:r w:rsidR="00FC1DBE">
        <w:rPr>
          <w:rFonts w:ascii="Tahoma" w:hAnsi="Tahoma" w:cs="Tahoma"/>
        </w:rPr>
        <w:t>os coeficientes Betas</w:t>
      </w:r>
      <w:r>
        <w:rPr>
          <w:rFonts w:ascii="Tahoma" w:hAnsi="Tahoma" w:cs="Tahoma"/>
        </w:rPr>
        <w:t xml:space="preserve"> se calcularon</w:t>
      </w:r>
      <w:r w:rsidR="00FC1DBE">
        <w:rPr>
          <w:rFonts w:ascii="Tahoma" w:hAnsi="Tahoma" w:cs="Tahoma"/>
        </w:rPr>
        <w:t xml:space="preserve"> con 60 rendimientos aritmético (continuos) mensuales</w:t>
      </w:r>
      <w:r>
        <w:rPr>
          <w:rFonts w:ascii="Tahoma" w:hAnsi="Tahoma" w:cs="Tahoma"/>
        </w:rPr>
        <w:t>. L</w:t>
      </w:r>
      <w:r w:rsidR="00563F51">
        <w:rPr>
          <w:rFonts w:ascii="Tahoma" w:hAnsi="Tahoma" w:cs="Tahoma"/>
        </w:rPr>
        <w:t xml:space="preserve">os </w:t>
      </w:r>
      <w:r w:rsidR="00FC1DBE">
        <w:rPr>
          <w:rFonts w:ascii="Tahoma" w:hAnsi="Tahoma" w:cs="Tahoma"/>
        </w:rPr>
        <w:t>demás valores de la tabla con rendimientos continuos.</w:t>
      </w:r>
    </w:p>
    <w:p w14:paraId="4AF58CDF" w14:textId="77777777" w:rsidR="007B55D7" w:rsidRDefault="007B55D7" w:rsidP="007B55D7">
      <w:pPr>
        <w:jc w:val="center"/>
        <w:rPr>
          <w:rFonts w:ascii="Tahoma" w:hAnsi="Tahoma" w:cs="Tahoma"/>
        </w:rPr>
      </w:pPr>
      <w:r>
        <w:rPr>
          <w:rFonts w:ascii="Tahoma" w:hAnsi="Tahoma" w:cs="Tahoma"/>
        </w:rPr>
        <w:t xml:space="preserve">Tabla. </w:t>
      </w:r>
      <w:r w:rsidR="00BE076E">
        <w:rPr>
          <w:rFonts w:ascii="Tahoma" w:hAnsi="Tahoma" w:cs="Tahoma"/>
        </w:rPr>
        <w:t>Acciones.</w:t>
      </w:r>
    </w:p>
    <w:tbl>
      <w:tblPr>
        <w:tblStyle w:val="Tablaconcuadrcula"/>
        <w:tblW w:w="0" w:type="auto"/>
        <w:tblLook w:val="04A0" w:firstRow="1" w:lastRow="0" w:firstColumn="1" w:lastColumn="0" w:noHBand="0" w:noVBand="1"/>
      </w:tblPr>
      <w:tblGrid>
        <w:gridCol w:w="3823"/>
        <w:gridCol w:w="992"/>
        <w:gridCol w:w="992"/>
        <w:gridCol w:w="992"/>
        <w:gridCol w:w="993"/>
        <w:gridCol w:w="1036"/>
      </w:tblGrid>
      <w:tr w:rsidR="007B55D7" w14:paraId="10F2A439" w14:textId="77777777" w:rsidTr="007B55D7">
        <w:tc>
          <w:tcPr>
            <w:tcW w:w="3823" w:type="dxa"/>
          </w:tcPr>
          <w:p w14:paraId="492A1456" w14:textId="77777777" w:rsidR="007B55D7" w:rsidRDefault="007B55D7" w:rsidP="00CF779A">
            <w:pPr>
              <w:jc w:val="both"/>
              <w:rPr>
                <w:rFonts w:ascii="Tahoma" w:hAnsi="Tahoma" w:cs="Tahoma"/>
              </w:rPr>
            </w:pPr>
          </w:p>
        </w:tc>
        <w:tc>
          <w:tcPr>
            <w:tcW w:w="992" w:type="dxa"/>
          </w:tcPr>
          <w:p w14:paraId="6E5B1276" w14:textId="0116C5F5" w:rsidR="007B55D7" w:rsidRPr="007B55D7" w:rsidRDefault="00057520" w:rsidP="00CF779A">
            <w:pPr>
              <w:jc w:val="center"/>
              <w:rPr>
                <w:rFonts w:ascii="Tahoma" w:hAnsi="Tahoma" w:cs="Tahoma"/>
                <w:sz w:val="20"/>
                <w:szCs w:val="20"/>
              </w:rPr>
            </w:pPr>
            <w:r>
              <w:rPr>
                <w:rFonts w:ascii="Tahoma" w:hAnsi="Tahoma" w:cs="Tahoma"/>
                <w:sz w:val="20"/>
                <w:szCs w:val="20"/>
              </w:rPr>
              <w:t>GE</w:t>
            </w:r>
          </w:p>
        </w:tc>
        <w:tc>
          <w:tcPr>
            <w:tcW w:w="992" w:type="dxa"/>
          </w:tcPr>
          <w:p w14:paraId="36E0364C" w14:textId="66432595" w:rsidR="007B55D7" w:rsidRPr="007B55D7" w:rsidRDefault="00057520" w:rsidP="00CF779A">
            <w:pPr>
              <w:jc w:val="center"/>
              <w:rPr>
                <w:rFonts w:ascii="Tahoma" w:hAnsi="Tahoma" w:cs="Tahoma"/>
                <w:sz w:val="20"/>
                <w:szCs w:val="20"/>
              </w:rPr>
            </w:pPr>
            <w:r>
              <w:rPr>
                <w:rFonts w:ascii="Tahoma" w:hAnsi="Tahoma" w:cs="Tahoma"/>
                <w:sz w:val="20"/>
                <w:szCs w:val="20"/>
              </w:rPr>
              <w:t>AAL</w:t>
            </w:r>
          </w:p>
        </w:tc>
        <w:tc>
          <w:tcPr>
            <w:tcW w:w="992" w:type="dxa"/>
          </w:tcPr>
          <w:p w14:paraId="528FDE25" w14:textId="1D7128D0" w:rsidR="007B55D7" w:rsidRPr="007B55D7" w:rsidRDefault="00057520" w:rsidP="00CF779A">
            <w:pPr>
              <w:jc w:val="center"/>
              <w:rPr>
                <w:rFonts w:ascii="Tahoma" w:hAnsi="Tahoma" w:cs="Tahoma"/>
                <w:sz w:val="20"/>
                <w:szCs w:val="20"/>
              </w:rPr>
            </w:pPr>
            <w:r>
              <w:rPr>
                <w:rFonts w:ascii="Tahoma" w:hAnsi="Tahoma" w:cs="Tahoma"/>
                <w:sz w:val="20"/>
                <w:szCs w:val="20"/>
              </w:rPr>
              <w:t>F</w:t>
            </w:r>
          </w:p>
        </w:tc>
        <w:tc>
          <w:tcPr>
            <w:tcW w:w="993" w:type="dxa"/>
          </w:tcPr>
          <w:p w14:paraId="744A17CA" w14:textId="19164038" w:rsidR="007B55D7" w:rsidRPr="007B55D7" w:rsidRDefault="00057520" w:rsidP="00CF779A">
            <w:pPr>
              <w:jc w:val="center"/>
              <w:rPr>
                <w:rFonts w:ascii="Tahoma" w:hAnsi="Tahoma" w:cs="Tahoma"/>
                <w:sz w:val="20"/>
                <w:szCs w:val="20"/>
              </w:rPr>
            </w:pPr>
            <w:r>
              <w:rPr>
                <w:rFonts w:ascii="Tahoma" w:hAnsi="Tahoma" w:cs="Tahoma"/>
                <w:sz w:val="20"/>
                <w:szCs w:val="20"/>
              </w:rPr>
              <w:t>UAL</w:t>
            </w:r>
          </w:p>
        </w:tc>
        <w:tc>
          <w:tcPr>
            <w:tcW w:w="1036" w:type="dxa"/>
          </w:tcPr>
          <w:p w14:paraId="597FA53B" w14:textId="03B7794F" w:rsidR="007B55D7" w:rsidRPr="007B55D7" w:rsidRDefault="00057520" w:rsidP="00CF779A">
            <w:pPr>
              <w:jc w:val="center"/>
              <w:rPr>
                <w:rFonts w:ascii="Tahoma" w:hAnsi="Tahoma" w:cs="Tahoma"/>
                <w:sz w:val="20"/>
                <w:szCs w:val="20"/>
              </w:rPr>
            </w:pPr>
            <w:r>
              <w:rPr>
                <w:rFonts w:ascii="Tahoma" w:hAnsi="Tahoma" w:cs="Tahoma"/>
                <w:sz w:val="20"/>
                <w:szCs w:val="20"/>
              </w:rPr>
              <w:t>PF</w:t>
            </w:r>
          </w:p>
        </w:tc>
      </w:tr>
      <w:tr w:rsidR="00C032DD" w14:paraId="1682A727" w14:textId="77777777" w:rsidTr="007B55D7">
        <w:tc>
          <w:tcPr>
            <w:tcW w:w="3823" w:type="dxa"/>
          </w:tcPr>
          <w:p w14:paraId="4792E5BD" w14:textId="77777777" w:rsidR="00C032DD" w:rsidRDefault="00C032DD" w:rsidP="00C032DD">
            <w:pPr>
              <w:jc w:val="both"/>
              <w:rPr>
                <w:rFonts w:ascii="Tahoma" w:hAnsi="Tahoma" w:cs="Tahoma"/>
              </w:rPr>
            </w:pPr>
            <w:r>
              <w:rPr>
                <w:rFonts w:ascii="Tahoma" w:hAnsi="Tahoma" w:cs="Tahoma"/>
              </w:rPr>
              <w:t>Rendimiento esperado mensual</w:t>
            </w:r>
          </w:p>
        </w:tc>
        <w:tc>
          <w:tcPr>
            <w:tcW w:w="992" w:type="dxa"/>
          </w:tcPr>
          <w:p w14:paraId="698464FD" w14:textId="75B4CF04" w:rsidR="00C032DD" w:rsidRPr="00057520" w:rsidRDefault="00057520" w:rsidP="0005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057520">
              <w:rPr>
                <w:rFonts w:ascii="Lucida Console" w:eastAsia="Times New Roman" w:hAnsi="Lucida Console" w:cs="Courier New"/>
                <w:color w:val="000000"/>
                <w:sz w:val="20"/>
                <w:szCs w:val="20"/>
                <w:bdr w:val="none" w:sz="0" w:space="0" w:color="auto" w:frame="1"/>
                <w:lang w:eastAsia="es-CO"/>
              </w:rPr>
              <w:t>-2</w:t>
            </w:r>
            <w:r>
              <w:rPr>
                <w:rFonts w:ascii="Lucida Console" w:eastAsia="Times New Roman" w:hAnsi="Lucida Console" w:cs="Courier New"/>
                <w:color w:val="000000"/>
                <w:sz w:val="20"/>
                <w:szCs w:val="20"/>
                <w:bdr w:val="none" w:sz="0" w:space="0" w:color="auto" w:frame="1"/>
                <w:lang w:eastAsia="es-CO"/>
              </w:rPr>
              <w:t>,</w:t>
            </w:r>
            <w:r w:rsidRPr="00057520">
              <w:rPr>
                <w:rFonts w:ascii="Lucida Console" w:eastAsia="Times New Roman" w:hAnsi="Lucida Console" w:cs="Courier New"/>
                <w:color w:val="000000"/>
                <w:sz w:val="20"/>
                <w:szCs w:val="20"/>
                <w:bdr w:val="none" w:sz="0" w:space="0" w:color="auto" w:frame="1"/>
                <w:lang w:eastAsia="es-CO"/>
              </w:rPr>
              <w:t>0626242</w:t>
            </w:r>
            <w:r w:rsidR="00C032DD">
              <w:rPr>
                <w:rFonts w:ascii="Tahoma" w:hAnsi="Tahoma" w:cs="Tahoma"/>
              </w:rPr>
              <w:t>%</w:t>
            </w:r>
          </w:p>
        </w:tc>
        <w:tc>
          <w:tcPr>
            <w:tcW w:w="992" w:type="dxa"/>
          </w:tcPr>
          <w:p w14:paraId="17233C3E" w14:textId="1817F58E"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-1,7406796</w:t>
            </w:r>
            <w:r w:rsidR="00C032DD">
              <w:rPr>
                <w:rFonts w:ascii="Tahoma" w:hAnsi="Tahoma" w:cs="Tahoma"/>
              </w:rPr>
              <w:t>%</w:t>
            </w:r>
          </w:p>
        </w:tc>
        <w:tc>
          <w:tcPr>
            <w:tcW w:w="992" w:type="dxa"/>
          </w:tcPr>
          <w:p w14:paraId="3DCAD371" w14:textId="1C9B8BA2"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-0,7754408</w:t>
            </w:r>
            <w:r w:rsidR="00C032DD">
              <w:rPr>
                <w:rFonts w:ascii="Tahoma" w:hAnsi="Tahoma" w:cs="Tahoma"/>
              </w:rPr>
              <w:t>%</w:t>
            </w:r>
          </w:p>
        </w:tc>
        <w:tc>
          <w:tcPr>
            <w:tcW w:w="993" w:type="dxa"/>
          </w:tcPr>
          <w:p w14:paraId="291E6361" w14:textId="369400FD"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-0,7650098</w:t>
            </w:r>
            <w:r w:rsidR="00C032DD">
              <w:rPr>
                <w:rFonts w:ascii="Tahoma" w:hAnsi="Tahoma" w:cs="Tahoma"/>
              </w:rPr>
              <w:t>%</w:t>
            </w:r>
          </w:p>
        </w:tc>
        <w:tc>
          <w:tcPr>
            <w:tcW w:w="1036" w:type="dxa"/>
          </w:tcPr>
          <w:p w14:paraId="0DD7451A" w14:textId="0E2E9C84"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0,5343054</w:t>
            </w:r>
            <w:r w:rsidR="00C032DD">
              <w:rPr>
                <w:rFonts w:ascii="Tahoma" w:hAnsi="Tahoma" w:cs="Tahoma"/>
              </w:rPr>
              <w:t>%</w:t>
            </w:r>
          </w:p>
        </w:tc>
      </w:tr>
      <w:tr w:rsidR="00C032DD" w14:paraId="5F698D93" w14:textId="77777777" w:rsidTr="007B55D7">
        <w:tc>
          <w:tcPr>
            <w:tcW w:w="3823" w:type="dxa"/>
          </w:tcPr>
          <w:p w14:paraId="2D533931" w14:textId="77777777" w:rsidR="00C032DD" w:rsidRDefault="00C032DD" w:rsidP="00C032DD">
            <w:pPr>
              <w:jc w:val="both"/>
              <w:rPr>
                <w:rFonts w:ascii="Tahoma" w:hAnsi="Tahoma" w:cs="Tahoma"/>
              </w:rPr>
            </w:pPr>
            <w:r>
              <w:rPr>
                <w:rFonts w:ascii="Tahoma" w:hAnsi="Tahoma" w:cs="Tahoma"/>
              </w:rPr>
              <w:t>Volatilidad mensual</w:t>
            </w:r>
          </w:p>
        </w:tc>
        <w:tc>
          <w:tcPr>
            <w:tcW w:w="992" w:type="dxa"/>
          </w:tcPr>
          <w:p w14:paraId="6CC5E537" w14:textId="67395A29"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10,015866</w:t>
            </w:r>
            <w:r w:rsidR="00C032DD">
              <w:rPr>
                <w:rFonts w:ascii="Tahoma" w:hAnsi="Tahoma" w:cs="Tahoma"/>
              </w:rPr>
              <w:t>%</w:t>
            </w:r>
          </w:p>
        </w:tc>
        <w:tc>
          <w:tcPr>
            <w:tcW w:w="992" w:type="dxa"/>
          </w:tcPr>
          <w:p w14:paraId="7EF755B4" w14:textId="13008E85"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12,805736</w:t>
            </w:r>
            <w:r w:rsidR="00C032DD">
              <w:rPr>
                <w:rFonts w:ascii="Tahoma" w:hAnsi="Tahoma" w:cs="Tahoma"/>
              </w:rPr>
              <w:t>%</w:t>
            </w:r>
          </w:p>
        </w:tc>
        <w:tc>
          <w:tcPr>
            <w:tcW w:w="992" w:type="dxa"/>
          </w:tcPr>
          <w:p w14:paraId="719FDBCA" w14:textId="4E45B18D"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8,578064</w:t>
            </w:r>
            <w:r w:rsidR="00C032DD">
              <w:rPr>
                <w:rFonts w:ascii="Tahoma" w:hAnsi="Tahoma" w:cs="Tahoma"/>
              </w:rPr>
              <w:t>%</w:t>
            </w:r>
          </w:p>
        </w:tc>
        <w:tc>
          <w:tcPr>
            <w:tcW w:w="993" w:type="dxa"/>
          </w:tcPr>
          <w:p w14:paraId="1CBFC8E6" w14:textId="759857E5"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13,240400</w:t>
            </w:r>
            <w:r w:rsidR="00C032DD">
              <w:rPr>
                <w:rFonts w:ascii="Tahoma" w:hAnsi="Tahoma" w:cs="Tahoma"/>
              </w:rPr>
              <w:t>%</w:t>
            </w:r>
          </w:p>
        </w:tc>
        <w:tc>
          <w:tcPr>
            <w:tcW w:w="1036" w:type="dxa"/>
          </w:tcPr>
          <w:p w14:paraId="048AE46B" w14:textId="746E3719"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5,748281</w:t>
            </w:r>
            <w:r w:rsidR="00C032DD">
              <w:rPr>
                <w:rFonts w:ascii="Tahoma" w:hAnsi="Tahoma" w:cs="Tahoma"/>
              </w:rPr>
              <w:t>%</w:t>
            </w:r>
          </w:p>
        </w:tc>
      </w:tr>
      <w:tr w:rsidR="00C032DD" w14:paraId="55607D8D" w14:textId="77777777" w:rsidTr="007B55D7">
        <w:tc>
          <w:tcPr>
            <w:tcW w:w="3823" w:type="dxa"/>
          </w:tcPr>
          <w:p w14:paraId="6F691CC9" w14:textId="77777777" w:rsidR="00C032DD" w:rsidRDefault="00C032DD" w:rsidP="00C032DD">
            <w:pPr>
              <w:jc w:val="both"/>
              <w:rPr>
                <w:rFonts w:ascii="Tahoma" w:hAnsi="Tahoma" w:cs="Tahoma"/>
              </w:rPr>
            </w:pPr>
            <w:r>
              <w:rPr>
                <w:rFonts w:ascii="Tahoma" w:hAnsi="Tahoma" w:cs="Tahoma"/>
              </w:rPr>
              <w:t>Rendimiento esperado anualizado</w:t>
            </w:r>
          </w:p>
        </w:tc>
        <w:tc>
          <w:tcPr>
            <w:tcW w:w="992" w:type="dxa"/>
          </w:tcPr>
          <w:p w14:paraId="2E8249CD" w14:textId="7A72AAE9" w:rsidR="00C032DD"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-24,751491</w:t>
            </w:r>
            <w:r w:rsidR="00C032DD">
              <w:rPr>
                <w:rFonts w:ascii="Tahoma" w:hAnsi="Tahoma" w:cs="Tahoma"/>
              </w:rPr>
              <w:t>%</w:t>
            </w:r>
          </w:p>
        </w:tc>
        <w:tc>
          <w:tcPr>
            <w:tcW w:w="992" w:type="dxa"/>
          </w:tcPr>
          <w:p w14:paraId="5755FDD6" w14:textId="2E667188" w:rsidR="00C032DD"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-20,88815</w:t>
            </w:r>
            <w:r w:rsidR="00C032DD">
              <w:rPr>
                <w:rFonts w:ascii="Tahoma" w:hAnsi="Tahoma" w:cs="Tahoma"/>
              </w:rPr>
              <w:t>%</w:t>
            </w:r>
          </w:p>
        </w:tc>
        <w:tc>
          <w:tcPr>
            <w:tcW w:w="992" w:type="dxa"/>
          </w:tcPr>
          <w:p w14:paraId="18F7D5B5" w14:textId="3B816EA0" w:rsidR="00C032DD"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-9,305290</w:t>
            </w:r>
            <w:r w:rsidR="00C032DD">
              <w:rPr>
                <w:rFonts w:ascii="Tahoma" w:hAnsi="Tahoma" w:cs="Tahoma"/>
              </w:rPr>
              <w:t>%</w:t>
            </w:r>
          </w:p>
        </w:tc>
        <w:tc>
          <w:tcPr>
            <w:tcW w:w="993" w:type="dxa"/>
          </w:tcPr>
          <w:p w14:paraId="76CE47DC" w14:textId="6F7DB5CE" w:rsidR="00C032DD"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-9,180118</w:t>
            </w:r>
            <w:r w:rsidR="00C032DD">
              <w:rPr>
                <w:rFonts w:ascii="Tahoma" w:hAnsi="Tahoma" w:cs="Tahoma"/>
              </w:rPr>
              <w:t>%</w:t>
            </w:r>
          </w:p>
        </w:tc>
        <w:tc>
          <w:tcPr>
            <w:tcW w:w="1036" w:type="dxa"/>
          </w:tcPr>
          <w:p w14:paraId="62A7AB38" w14:textId="5FFF364B" w:rsidR="00C032DD"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6,411665</w:t>
            </w:r>
            <w:r w:rsidR="00C032DD">
              <w:rPr>
                <w:rFonts w:ascii="Tahoma" w:hAnsi="Tahoma" w:cs="Tahoma"/>
              </w:rPr>
              <w:t>%</w:t>
            </w:r>
          </w:p>
        </w:tc>
      </w:tr>
      <w:tr w:rsidR="007B55D7" w14:paraId="6730D948" w14:textId="77777777" w:rsidTr="007B55D7">
        <w:tc>
          <w:tcPr>
            <w:tcW w:w="3823" w:type="dxa"/>
          </w:tcPr>
          <w:p w14:paraId="71BD6DE0" w14:textId="77777777" w:rsidR="007B55D7" w:rsidRDefault="007B55D7" w:rsidP="00CF779A">
            <w:pPr>
              <w:jc w:val="both"/>
              <w:rPr>
                <w:rFonts w:ascii="Tahoma" w:hAnsi="Tahoma" w:cs="Tahoma"/>
              </w:rPr>
            </w:pPr>
            <w:r>
              <w:rPr>
                <w:rFonts w:ascii="Tahoma" w:hAnsi="Tahoma" w:cs="Tahoma"/>
              </w:rPr>
              <w:t>Volatilidad anualizada</w:t>
            </w:r>
          </w:p>
        </w:tc>
        <w:tc>
          <w:tcPr>
            <w:tcW w:w="992" w:type="dxa"/>
          </w:tcPr>
          <w:p w14:paraId="0B2D1A8C" w14:textId="13D40854" w:rsidR="007B55D7"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34</w:t>
            </w:r>
            <w:r w:rsidR="006A4F1B">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69598</w:t>
            </w:r>
            <w:r w:rsidR="00671B89">
              <w:rPr>
                <w:rStyle w:val="gd15mcfceub"/>
                <w:rFonts w:ascii="Lucida Console" w:hAnsi="Lucida Console"/>
                <w:color w:val="000000"/>
                <w:bdr w:val="none" w:sz="0" w:space="0" w:color="auto" w:frame="1"/>
              </w:rPr>
              <w:t>%</w:t>
            </w:r>
          </w:p>
        </w:tc>
        <w:tc>
          <w:tcPr>
            <w:tcW w:w="992" w:type="dxa"/>
          </w:tcPr>
          <w:p w14:paraId="5C601D30" w14:textId="57B782CA" w:rsidR="007B55D7"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44</w:t>
            </w:r>
            <w:r w:rsidR="006A4F1B">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36037</w:t>
            </w:r>
            <w:r w:rsidR="006A4F1B">
              <w:rPr>
                <w:rStyle w:val="gd15mcfceub"/>
                <w:rFonts w:ascii="Lucida Console" w:hAnsi="Lucida Console"/>
                <w:color w:val="000000"/>
                <w:bdr w:val="none" w:sz="0" w:space="0" w:color="auto" w:frame="1"/>
              </w:rPr>
              <w:t>%</w:t>
            </w:r>
          </w:p>
        </w:tc>
        <w:tc>
          <w:tcPr>
            <w:tcW w:w="992" w:type="dxa"/>
          </w:tcPr>
          <w:p w14:paraId="6E4C9A58" w14:textId="7CD7FE81" w:rsidR="007B55D7"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w:t>
            </w:r>
            <w:r w:rsidR="006A4F1B">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71529</w:t>
            </w:r>
            <w:r w:rsidR="006A4F1B">
              <w:rPr>
                <w:rStyle w:val="gd15mcfceub"/>
                <w:rFonts w:ascii="Lucida Console" w:hAnsi="Lucida Console"/>
                <w:color w:val="000000"/>
                <w:bdr w:val="none" w:sz="0" w:space="0" w:color="auto" w:frame="1"/>
              </w:rPr>
              <w:t>%</w:t>
            </w:r>
          </w:p>
        </w:tc>
        <w:tc>
          <w:tcPr>
            <w:tcW w:w="993" w:type="dxa"/>
          </w:tcPr>
          <w:p w14:paraId="0BCA0EFE" w14:textId="63AD6B0D" w:rsidR="007B55D7"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45</w:t>
            </w:r>
            <w:r w:rsidR="006A4F1B">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86609</w:t>
            </w:r>
            <w:r w:rsidR="006A4F1B">
              <w:rPr>
                <w:rStyle w:val="gd15mcfceub"/>
                <w:rFonts w:ascii="Lucida Console" w:hAnsi="Lucida Console"/>
                <w:color w:val="000000"/>
                <w:bdr w:val="none" w:sz="0" w:space="0" w:color="auto" w:frame="1"/>
              </w:rPr>
              <w:t>%</w:t>
            </w:r>
          </w:p>
        </w:tc>
        <w:tc>
          <w:tcPr>
            <w:tcW w:w="1036" w:type="dxa"/>
          </w:tcPr>
          <w:p w14:paraId="61ADE4D6" w14:textId="73F5BECB" w:rsidR="007B55D7"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19</w:t>
            </w:r>
            <w:r w:rsidR="006A4F1B">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91263</w:t>
            </w:r>
            <w:r w:rsidR="006A4F1B">
              <w:rPr>
                <w:rStyle w:val="gd15mcfceub"/>
                <w:rFonts w:ascii="Lucida Console" w:hAnsi="Lucida Console"/>
                <w:color w:val="000000"/>
                <w:bdr w:val="none" w:sz="0" w:space="0" w:color="auto" w:frame="1"/>
              </w:rPr>
              <w:t>%</w:t>
            </w:r>
          </w:p>
        </w:tc>
      </w:tr>
      <w:tr w:rsidR="007B55D7" w14:paraId="18DBE075" w14:textId="77777777" w:rsidTr="007B55D7">
        <w:tc>
          <w:tcPr>
            <w:tcW w:w="3823" w:type="dxa"/>
          </w:tcPr>
          <w:p w14:paraId="580C7C71" w14:textId="77777777" w:rsidR="007B55D7" w:rsidRDefault="007B55D7" w:rsidP="00CF779A">
            <w:pPr>
              <w:jc w:val="both"/>
              <w:rPr>
                <w:rFonts w:ascii="Tahoma" w:hAnsi="Tahoma" w:cs="Tahoma"/>
              </w:rPr>
            </w:pPr>
            <w:r>
              <w:rPr>
                <w:rFonts w:ascii="Tahoma" w:hAnsi="Tahoma" w:cs="Tahoma"/>
              </w:rPr>
              <w:t>Beta [5 años con precios mensuales]</w:t>
            </w:r>
          </w:p>
        </w:tc>
        <w:tc>
          <w:tcPr>
            <w:tcW w:w="992" w:type="dxa"/>
          </w:tcPr>
          <w:p w14:paraId="720EDA5B" w14:textId="4E1CF16B" w:rsidR="007B55D7" w:rsidRPr="007D6650" w:rsidRDefault="007D6650" w:rsidP="007D6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7D6650">
              <w:rPr>
                <w:rFonts w:ascii="Lucida Console" w:eastAsia="Times New Roman" w:hAnsi="Lucida Console" w:cs="Courier New"/>
                <w:color w:val="000000"/>
                <w:sz w:val="20"/>
                <w:szCs w:val="20"/>
                <w:bdr w:val="none" w:sz="0" w:space="0" w:color="auto" w:frame="1"/>
                <w:lang w:eastAsia="es-CO"/>
              </w:rPr>
              <w:t>0.9661260</w:t>
            </w:r>
          </w:p>
        </w:tc>
        <w:tc>
          <w:tcPr>
            <w:tcW w:w="992" w:type="dxa"/>
          </w:tcPr>
          <w:p w14:paraId="3EDBD70F" w14:textId="06B44F52" w:rsidR="007B55D7" w:rsidRPr="007D6650" w:rsidRDefault="007D6650" w:rsidP="007D6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7D6650">
              <w:rPr>
                <w:rFonts w:ascii="Lucida Console" w:eastAsia="Times New Roman" w:hAnsi="Lucida Console" w:cs="Courier New"/>
                <w:color w:val="000000"/>
                <w:sz w:val="20"/>
                <w:szCs w:val="20"/>
                <w:bdr w:val="none" w:sz="0" w:space="0" w:color="auto" w:frame="1"/>
                <w:lang w:eastAsia="es-CO"/>
              </w:rPr>
              <w:t>1.7339681</w:t>
            </w:r>
          </w:p>
        </w:tc>
        <w:tc>
          <w:tcPr>
            <w:tcW w:w="992" w:type="dxa"/>
          </w:tcPr>
          <w:p w14:paraId="12D639FC" w14:textId="5615358D" w:rsidR="007B55D7" w:rsidRPr="007D6650" w:rsidRDefault="007D6650" w:rsidP="007D6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7D6650">
              <w:rPr>
                <w:rFonts w:ascii="Lucida Console" w:eastAsia="Times New Roman" w:hAnsi="Lucida Console" w:cs="Courier New"/>
                <w:color w:val="000000"/>
                <w:sz w:val="20"/>
                <w:szCs w:val="20"/>
                <w:bdr w:val="none" w:sz="0" w:space="0" w:color="auto" w:frame="1"/>
                <w:lang w:eastAsia="es-CO"/>
              </w:rPr>
              <w:t>1.2953152</w:t>
            </w:r>
          </w:p>
        </w:tc>
        <w:tc>
          <w:tcPr>
            <w:tcW w:w="993" w:type="dxa"/>
          </w:tcPr>
          <w:p w14:paraId="3F7B42BA" w14:textId="191858D9" w:rsidR="007B55D7" w:rsidRPr="007D6650" w:rsidRDefault="007D6650" w:rsidP="007D6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7D6650">
              <w:rPr>
                <w:rFonts w:ascii="Lucida Console" w:eastAsia="Times New Roman" w:hAnsi="Lucida Console" w:cs="Courier New"/>
                <w:color w:val="000000"/>
                <w:sz w:val="20"/>
                <w:szCs w:val="20"/>
                <w:bdr w:val="none" w:sz="0" w:space="0" w:color="auto" w:frame="1"/>
                <w:lang w:eastAsia="es-CO"/>
              </w:rPr>
              <w:t>1.5139504</w:t>
            </w:r>
          </w:p>
        </w:tc>
        <w:tc>
          <w:tcPr>
            <w:tcW w:w="1036" w:type="dxa"/>
          </w:tcPr>
          <w:p w14:paraId="76BBACAA" w14:textId="16D8E00F" w:rsidR="007B55D7" w:rsidRPr="007D6650" w:rsidRDefault="007D6650" w:rsidP="007D6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7D6650">
              <w:rPr>
                <w:rFonts w:ascii="Lucida Console" w:eastAsia="Times New Roman" w:hAnsi="Lucida Console" w:cs="Courier New"/>
                <w:color w:val="000000"/>
                <w:sz w:val="20"/>
                <w:szCs w:val="20"/>
                <w:bdr w:val="none" w:sz="0" w:space="0" w:color="auto" w:frame="1"/>
                <w:lang w:eastAsia="es-CO"/>
              </w:rPr>
              <w:t>0.6556353</w:t>
            </w:r>
          </w:p>
        </w:tc>
      </w:tr>
      <w:tr w:rsidR="007B55D7" w14:paraId="029BB7DD" w14:textId="77777777" w:rsidTr="007B55D7">
        <w:tc>
          <w:tcPr>
            <w:tcW w:w="3823" w:type="dxa"/>
          </w:tcPr>
          <w:p w14:paraId="463EB528" w14:textId="77777777" w:rsidR="007B55D7" w:rsidRDefault="007B55D7" w:rsidP="00CF779A">
            <w:pPr>
              <w:jc w:val="both"/>
              <w:rPr>
                <w:rFonts w:ascii="Tahoma" w:hAnsi="Tahoma" w:cs="Tahoma"/>
              </w:rPr>
            </w:pPr>
            <w:r>
              <w:rPr>
                <w:rFonts w:ascii="Tahoma" w:hAnsi="Tahoma" w:cs="Tahoma"/>
              </w:rPr>
              <w:t>Sesgo</w:t>
            </w:r>
          </w:p>
        </w:tc>
        <w:tc>
          <w:tcPr>
            <w:tcW w:w="992" w:type="dxa"/>
          </w:tcPr>
          <w:p w14:paraId="6EB89266" w14:textId="249A5139"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-0.3158881</w:t>
            </w:r>
          </w:p>
        </w:tc>
        <w:tc>
          <w:tcPr>
            <w:tcW w:w="992" w:type="dxa"/>
          </w:tcPr>
          <w:p w14:paraId="39D54F36" w14:textId="4F1C9537"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-0.7023355</w:t>
            </w:r>
          </w:p>
        </w:tc>
        <w:tc>
          <w:tcPr>
            <w:tcW w:w="992" w:type="dxa"/>
          </w:tcPr>
          <w:p w14:paraId="474CA3B5" w14:textId="13D463FF"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-1.4811476</w:t>
            </w:r>
          </w:p>
        </w:tc>
        <w:tc>
          <w:tcPr>
            <w:tcW w:w="993" w:type="dxa"/>
          </w:tcPr>
          <w:p w14:paraId="62312F78" w14:textId="5F24F9E4"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-2.0710440</w:t>
            </w:r>
          </w:p>
        </w:tc>
        <w:tc>
          <w:tcPr>
            <w:tcW w:w="1036" w:type="dxa"/>
          </w:tcPr>
          <w:p w14:paraId="13F6EAD5" w14:textId="126DC107"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0.2338565</w:t>
            </w:r>
          </w:p>
        </w:tc>
      </w:tr>
      <w:tr w:rsidR="007B55D7" w14:paraId="0E869A0C" w14:textId="77777777" w:rsidTr="007B55D7">
        <w:tc>
          <w:tcPr>
            <w:tcW w:w="3823" w:type="dxa"/>
          </w:tcPr>
          <w:p w14:paraId="2AE93B87" w14:textId="77777777" w:rsidR="007B55D7" w:rsidRDefault="007B55D7" w:rsidP="00CF779A">
            <w:pPr>
              <w:jc w:val="both"/>
              <w:rPr>
                <w:rFonts w:ascii="Tahoma" w:hAnsi="Tahoma" w:cs="Tahoma"/>
              </w:rPr>
            </w:pPr>
            <w:r>
              <w:rPr>
                <w:rFonts w:ascii="Tahoma" w:hAnsi="Tahoma" w:cs="Tahoma"/>
              </w:rPr>
              <w:t>Curtosis</w:t>
            </w:r>
          </w:p>
        </w:tc>
        <w:tc>
          <w:tcPr>
            <w:tcW w:w="992" w:type="dxa"/>
          </w:tcPr>
          <w:p w14:paraId="509D8442" w14:textId="7005AD77"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5.072773</w:t>
            </w:r>
          </w:p>
        </w:tc>
        <w:tc>
          <w:tcPr>
            <w:tcW w:w="992" w:type="dxa"/>
          </w:tcPr>
          <w:p w14:paraId="45E7BD21" w14:textId="7EBB3C4F"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4.111606</w:t>
            </w:r>
          </w:p>
        </w:tc>
        <w:tc>
          <w:tcPr>
            <w:tcW w:w="992" w:type="dxa"/>
          </w:tcPr>
          <w:p w14:paraId="664F7D11" w14:textId="24DC975B"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7.379213</w:t>
            </w:r>
          </w:p>
        </w:tc>
        <w:tc>
          <w:tcPr>
            <w:tcW w:w="993" w:type="dxa"/>
          </w:tcPr>
          <w:p w14:paraId="127DEC77" w14:textId="48531597"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11.650385</w:t>
            </w:r>
          </w:p>
        </w:tc>
        <w:tc>
          <w:tcPr>
            <w:tcW w:w="1036" w:type="dxa"/>
          </w:tcPr>
          <w:p w14:paraId="03E54B4E" w14:textId="2B431A42" w:rsidR="007B55D7" w:rsidRPr="00DC7E2F" w:rsidRDefault="00DC7E2F" w:rsidP="00DC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C7E2F">
              <w:rPr>
                <w:rFonts w:ascii="Lucida Console" w:eastAsia="Times New Roman" w:hAnsi="Lucida Console" w:cs="Courier New"/>
                <w:color w:val="000000"/>
                <w:sz w:val="20"/>
                <w:szCs w:val="20"/>
                <w:bdr w:val="none" w:sz="0" w:space="0" w:color="auto" w:frame="1"/>
                <w:lang w:eastAsia="es-CO"/>
              </w:rPr>
              <w:t>3.871613</w:t>
            </w:r>
          </w:p>
        </w:tc>
      </w:tr>
    </w:tbl>
    <w:p w14:paraId="5CD0865D" w14:textId="4038D6D0" w:rsidR="008216E9" w:rsidRDefault="008216E9">
      <w:pPr>
        <w:rPr>
          <w:rFonts w:ascii="Tahoma" w:hAnsi="Tahoma" w:cs="Tahoma"/>
        </w:rPr>
      </w:pPr>
    </w:p>
    <w:p w14:paraId="5F95C44D" w14:textId="0FA55183" w:rsidR="00C007FA" w:rsidRDefault="00C007FA">
      <w:pPr>
        <w:rPr>
          <w:rFonts w:ascii="Tahoma" w:hAnsi="Tahoma" w:cs="Tahoma"/>
        </w:rPr>
      </w:pPr>
    </w:p>
    <w:p w14:paraId="5434D1BA" w14:textId="77777777" w:rsidR="00381BBE" w:rsidRPr="00BB5F93" w:rsidRDefault="00381BBE">
      <w:pPr>
        <w:rPr>
          <w:rFonts w:ascii="Tahoma" w:hAnsi="Tahoma" w:cs="Tahoma"/>
        </w:rPr>
      </w:pPr>
    </w:p>
    <w:p w14:paraId="0F4495F1" w14:textId="175D19A3" w:rsidR="00062D6E" w:rsidRPr="00BB5F93" w:rsidRDefault="00413FEF">
      <w:pPr>
        <w:rPr>
          <w:rFonts w:ascii="Tahoma" w:hAnsi="Tahoma" w:cs="Tahoma"/>
        </w:rPr>
      </w:pPr>
      <w:r w:rsidRPr="00BB5F93">
        <w:rPr>
          <w:rFonts w:ascii="Tahoma" w:hAnsi="Tahoma" w:cs="Tahoma"/>
        </w:rPr>
        <w:t xml:space="preserve">Análisis: </w:t>
      </w:r>
      <w:r w:rsidR="00C42A38" w:rsidRPr="00BB5F93">
        <w:rPr>
          <w:rFonts w:ascii="Tahoma" w:hAnsi="Tahoma" w:cs="Tahoma"/>
        </w:rPr>
        <w:t xml:space="preserve"> </w:t>
      </w:r>
      <w:r w:rsidR="00BB5F93" w:rsidRPr="00BB5F93">
        <w:rPr>
          <w:rFonts w:ascii="Tahoma" w:hAnsi="Tahoma" w:cs="Tahoma"/>
        </w:rPr>
        <w:t xml:space="preserve">Según estos datos, 4 de las 5 acciones tienen rendimientos esperados mensuales </w:t>
      </w:r>
      <w:r w:rsidR="00062D6E">
        <w:rPr>
          <w:rFonts w:ascii="Tahoma" w:hAnsi="Tahoma" w:cs="Tahoma"/>
        </w:rPr>
        <w:t xml:space="preserve">y anuales </w:t>
      </w:r>
      <w:r w:rsidR="00BB5F93" w:rsidRPr="00BB5F93">
        <w:rPr>
          <w:rFonts w:ascii="Tahoma" w:hAnsi="Tahoma" w:cs="Tahoma"/>
        </w:rPr>
        <w:t>negativos, únicamente la acción de la empresa Pfizer</w:t>
      </w:r>
      <w:r w:rsidR="00BB5F93">
        <w:rPr>
          <w:rFonts w:ascii="Tahoma" w:hAnsi="Tahoma" w:cs="Tahoma"/>
        </w:rPr>
        <w:t xml:space="preserve"> tiene rendimientos esperados positivos, por lo que se espera que sea la acción con mayor participación más adelante en las diferentes combinaciones de proporciones de portafolios. </w:t>
      </w:r>
      <w:r w:rsidR="00062D6E">
        <w:rPr>
          <w:rFonts w:ascii="Tahoma" w:hAnsi="Tahoma" w:cs="Tahoma"/>
        </w:rPr>
        <w:t xml:space="preserve">Respecto a la volatilidad mensual y anual la empresa Pfizer es la que tiene el menor valor, lo que la hace la acción más atractiva por lo menos respecto al rendimiento esperado y volatilidad. Respecto a los resultados de los sesgos, podemos ver que para todas las acciones los rendimientos obtenidos difieren a los rendimientos esperados, sobre todo se puede ver en la acción UAL, donde el sesgo arrojó un valor de -2.0710. Los resultados de Curtosis muestran que las distribuciones son leptocúrticas dado que la curtosis es superior a 3 para todas las acciones. </w:t>
      </w:r>
    </w:p>
    <w:p w14:paraId="76D40E63" w14:textId="77777777" w:rsidR="00C007FA" w:rsidRDefault="00C007FA"/>
    <w:p w14:paraId="46BF8CFB" w14:textId="77777777" w:rsidR="00BE076E" w:rsidRPr="00BE076E" w:rsidRDefault="00BE076E" w:rsidP="00BE076E">
      <w:pPr>
        <w:pStyle w:val="Prrafodelista"/>
        <w:numPr>
          <w:ilvl w:val="0"/>
          <w:numId w:val="1"/>
        </w:numPr>
        <w:rPr>
          <w:rFonts w:ascii="Tahoma" w:hAnsi="Tahoma" w:cs="Tahoma"/>
          <w:b/>
          <w:bCs/>
          <w:sz w:val="24"/>
          <w:szCs w:val="24"/>
        </w:rPr>
      </w:pPr>
      <w:r w:rsidRPr="00BE076E">
        <w:rPr>
          <w:rFonts w:ascii="Tahoma" w:hAnsi="Tahoma" w:cs="Tahoma"/>
          <w:b/>
          <w:bCs/>
          <w:sz w:val="24"/>
          <w:szCs w:val="24"/>
        </w:rPr>
        <w:t>Índice S&amp;P 500.</w:t>
      </w:r>
    </w:p>
    <w:p w14:paraId="3D9041F0" w14:textId="2A9F8F7B" w:rsidR="00BE076E" w:rsidRDefault="00BE076E" w:rsidP="00BE076E">
      <w:pPr>
        <w:jc w:val="both"/>
        <w:rPr>
          <w:rFonts w:ascii="Tahoma" w:hAnsi="Tahoma" w:cs="Tahoma"/>
        </w:rPr>
      </w:pPr>
      <w:r>
        <w:rPr>
          <w:rFonts w:ascii="Tahoma" w:hAnsi="Tahoma" w:cs="Tahoma"/>
        </w:rPr>
        <w:t>Con rendimientos continuos del índice</w:t>
      </w:r>
      <w:r w:rsidR="00C007FA">
        <w:rPr>
          <w:rFonts w:ascii="Tahoma" w:hAnsi="Tahoma" w:cs="Tahoma"/>
        </w:rPr>
        <w:t xml:space="preserve"> se </w:t>
      </w:r>
      <w:r>
        <w:rPr>
          <w:rFonts w:ascii="Tahoma" w:hAnsi="Tahoma" w:cs="Tahoma"/>
        </w:rPr>
        <w:t>calcu</w:t>
      </w:r>
      <w:r w:rsidR="00C007FA">
        <w:rPr>
          <w:rFonts w:ascii="Tahoma" w:hAnsi="Tahoma" w:cs="Tahoma"/>
        </w:rPr>
        <w:t>ló</w:t>
      </w:r>
      <w:r>
        <w:rPr>
          <w:rFonts w:ascii="Tahoma" w:hAnsi="Tahoma" w:cs="Tahoma"/>
        </w:rPr>
        <w:t xml:space="preserve"> lo siguiente.</w:t>
      </w:r>
    </w:p>
    <w:p w14:paraId="623E7C56" w14:textId="77777777" w:rsidR="00BE076E" w:rsidRPr="00BE076E" w:rsidRDefault="00BE076E" w:rsidP="00BE076E">
      <w:pPr>
        <w:jc w:val="center"/>
        <w:rPr>
          <w:rFonts w:ascii="Tahoma" w:hAnsi="Tahoma" w:cs="Tahoma"/>
        </w:rPr>
      </w:pPr>
      <w:r>
        <w:rPr>
          <w:rFonts w:ascii="Tahoma" w:hAnsi="Tahoma" w:cs="Tahoma"/>
        </w:rPr>
        <w:t>Tabla. Mercado.</w:t>
      </w:r>
    </w:p>
    <w:tbl>
      <w:tblPr>
        <w:tblStyle w:val="Tablaconcuadrcula"/>
        <w:tblW w:w="0" w:type="auto"/>
        <w:jc w:val="center"/>
        <w:tblLook w:val="04A0" w:firstRow="1" w:lastRow="0" w:firstColumn="1" w:lastColumn="0" w:noHBand="0" w:noVBand="1"/>
      </w:tblPr>
      <w:tblGrid>
        <w:gridCol w:w="3823"/>
        <w:gridCol w:w="1559"/>
      </w:tblGrid>
      <w:tr w:rsidR="00BE076E" w:rsidRPr="007B55D7" w14:paraId="010FB078" w14:textId="77777777" w:rsidTr="00057520">
        <w:trPr>
          <w:jc w:val="center"/>
        </w:trPr>
        <w:tc>
          <w:tcPr>
            <w:tcW w:w="3823" w:type="dxa"/>
          </w:tcPr>
          <w:p w14:paraId="1234DB84" w14:textId="77777777" w:rsidR="00BE076E" w:rsidRDefault="00BE076E" w:rsidP="00CF779A">
            <w:pPr>
              <w:jc w:val="both"/>
              <w:rPr>
                <w:rFonts w:ascii="Tahoma" w:hAnsi="Tahoma" w:cs="Tahoma"/>
              </w:rPr>
            </w:pPr>
          </w:p>
        </w:tc>
        <w:tc>
          <w:tcPr>
            <w:tcW w:w="1559" w:type="dxa"/>
          </w:tcPr>
          <w:p w14:paraId="10D61C7D" w14:textId="77777777" w:rsidR="00BE076E" w:rsidRPr="007B55D7" w:rsidRDefault="00BE076E" w:rsidP="00CF779A">
            <w:pPr>
              <w:jc w:val="center"/>
              <w:rPr>
                <w:rFonts w:ascii="Tahoma" w:hAnsi="Tahoma" w:cs="Tahoma"/>
                <w:sz w:val="20"/>
                <w:szCs w:val="20"/>
              </w:rPr>
            </w:pPr>
            <w:r>
              <w:rPr>
                <w:rFonts w:ascii="Tahoma" w:hAnsi="Tahoma" w:cs="Tahoma"/>
                <w:sz w:val="20"/>
                <w:szCs w:val="20"/>
              </w:rPr>
              <w:t>Mercado</w:t>
            </w:r>
          </w:p>
        </w:tc>
      </w:tr>
      <w:tr w:rsidR="00C032DD" w14:paraId="0F6FDFE6" w14:textId="77777777" w:rsidTr="00057520">
        <w:trPr>
          <w:jc w:val="center"/>
        </w:trPr>
        <w:tc>
          <w:tcPr>
            <w:tcW w:w="3823" w:type="dxa"/>
          </w:tcPr>
          <w:p w14:paraId="51F1A2E4" w14:textId="77777777" w:rsidR="00C032DD" w:rsidRDefault="00C032DD" w:rsidP="00C032DD">
            <w:pPr>
              <w:jc w:val="both"/>
              <w:rPr>
                <w:rFonts w:ascii="Tahoma" w:hAnsi="Tahoma" w:cs="Tahoma"/>
              </w:rPr>
            </w:pPr>
            <w:r>
              <w:rPr>
                <w:rFonts w:ascii="Tahoma" w:hAnsi="Tahoma" w:cs="Tahoma"/>
              </w:rPr>
              <w:t>Rendimiento esperado mensual</w:t>
            </w:r>
          </w:p>
        </w:tc>
        <w:tc>
          <w:tcPr>
            <w:tcW w:w="1559" w:type="dxa"/>
          </w:tcPr>
          <w:p w14:paraId="3E02E09E" w14:textId="6E1D6A54" w:rsidR="00C032DD" w:rsidRPr="00057520" w:rsidRDefault="00057520" w:rsidP="0005752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0,9561867</w:t>
            </w:r>
            <w:r w:rsidR="00C032DD">
              <w:rPr>
                <w:rFonts w:ascii="Tahoma" w:hAnsi="Tahoma" w:cs="Tahoma"/>
              </w:rPr>
              <w:t>%</w:t>
            </w:r>
          </w:p>
        </w:tc>
      </w:tr>
      <w:tr w:rsidR="00C032DD" w14:paraId="4014B3EC" w14:textId="77777777" w:rsidTr="00057520">
        <w:trPr>
          <w:jc w:val="center"/>
        </w:trPr>
        <w:tc>
          <w:tcPr>
            <w:tcW w:w="3823" w:type="dxa"/>
          </w:tcPr>
          <w:p w14:paraId="51ED2D81" w14:textId="77777777" w:rsidR="00C032DD" w:rsidRDefault="00C032DD" w:rsidP="00C032DD">
            <w:pPr>
              <w:jc w:val="both"/>
              <w:rPr>
                <w:rFonts w:ascii="Tahoma" w:hAnsi="Tahoma" w:cs="Tahoma"/>
              </w:rPr>
            </w:pPr>
            <w:r>
              <w:rPr>
                <w:rFonts w:ascii="Tahoma" w:hAnsi="Tahoma" w:cs="Tahoma"/>
              </w:rPr>
              <w:t>Volatilidad mensual</w:t>
            </w:r>
          </w:p>
        </w:tc>
        <w:tc>
          <w:tcPr>
            <w:tcW w:w="1559" w:type="dxa"/>
          </w:tcPr>
          <w:p w14:paraId="12F79B7D" w14:textId="0673F40B" w:rsidR="00C032DD" w:rsidRPr="00B82A50" w:rsidRDefault="00B82A50" w:rsidP="00B82A50">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4,301716</w:t>
            </w:r>
            <w:r w:rsidR="00C032DD">
              <w:rPr>
                <w:rFonts w:ascii="Tahoma" w:hAnsi="Tahoma" w:cs="Tahoma"/>
              </w:rPr>
              <w:t>%</w:t>
            </w:r>
          </w:p>
        </w:tc>
      </w:tr>
      <w:tr w:rsidR="00C032DD" w14:paraId="3A619E11" w14:textId="77777777" w:rsidTr="00057520">
        <w:trPr>
          <w:jc w:val="center"/>
        </w:trPr>
        <w:tc>
          <w:tcPr>
            <w:tcW w:w="3823" w:type="dxa"/>
          </w:tcPr>
          <w:p w14:paraId="75473056" w14:textId="77777777" w:rsidR="00C032DD" w:rsidRDefault="00C032DD" w:rsidP="00C032DD">
            <w:pPr>
              <w:jc w:val="both"/>
              <w:rPr>
                <w:rFonts w:ascii="Tahoma" w:hAnsi="Tahoma" w:cs="Tahoma"/>
              </w:rPr>
            </w:pPr>
            <w:r>
              <w:rPr>
                <w:rFonts w:ascii="Tahoma" w:hAnsi="Tahoma" w:cs="Tahoma"/>
              </w:rPr>
              <w:t>Rendimiento esperado anualizado</w:t>
            </w:r>
          </w:p>
        </w:tc>
        <w:tc>
          <w:tcPr>
            <w:tcW w:w="1559" w:type="dxa"/>
          </w:tcPr>
          <w:p w14:paraId="471637A5" w14:textId="2CB9D9BF" w:rsidR="00C032DD" w:rsidRPr="00840062" w:rsidRDefault="00840062" w:rsidP="00840062">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11,47424</w:t>
            </w:r>
            <w:r w:rsidR="00C032DD">
              <w:rPr>
                <w:rFonts w:ascii="Tahoma" w:hAnsi="Tahoma" w:cs="Tahoma"/>
              </w:rPr>
              <w:t>%</w:t>
            </w:r>
          </w:p>
        </w:tc>
      </w:tr>
      <w:tr w:rsidR="00C032DD" w14:paraId="61492EDE" w14:textId="77777777" w:rsidTr="00057520">
        <w:trPr>
          <w:jc w:val="center"/>
        </w:trPr>
        <w:tc>
          <w:tcPr>
            <w:tcW w:w="3823" w:type="dxa"/>
          </w:tcPr>
          <w:p w14:paraId="4DF9C5F2" w14:textId="77777777" w:rsidR="00C032DD" w:rsidRDefault="00C032DD" w:rsidP="00C032DD">
            <w:pPr>
              <w:jc w:val="both"/>
              <w:rPr>
                <w:rFonts w:ascii="Tahoma" w:hAnsi="Tahoma" w:cs="Tahoma"/>
              </w:rPr>
            </w:pPr>
            <w:r>
              <w:rPr>
                <w:rFonts w:ascii="Tahoma" w:hAnsi="Tahoma" w:cs="Tahoma"/>
              </w:rPr>
              <w:t>Volatilidad anualizada</w:t>
            </w:r>
          </w:p>
        </w:tc>
        <w:tc>
          <w:tcPr>
            <w:tcW w:w="1559" w:type="dxa"/>
          </w:tcPr>
          <w:p w14:paraId="022BB19B" w14:textId="585AA81A" w:rsidR="00C032DD" w:rsidRPr="00011039" w:rsidRDefault="00011039" w:rsidP="00011039">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14,90158</w:t>
            </w:r>
            <w:r w:rsidR="00C032DD">
              <w:rPr>
                <w:rFonts w:ascii="Tahoma" w:hAnsi="Tahoma" w:cs="Tahoma"/>
              </w:rPr>
              <w:t>%</w:t>
            </w:r>
          </w:p>
        </w:tc>
      </w:tr>
    </w:tbl>
    <w:p w14:paraId="4F97F742" w14:textId="5767E4D0" w:rsidR="00BE076E" w:rsidRDefault="00BE076E" w:rsidP="00BE076E"/>
    <w:p w14:paraId="47C1DB46" w14:textId="0D2C2F97" w:rsidR="00FA2911" w:rsidRDefault="00FA2911" w:rsidP="00BE076E"/>
    <w:p w14:paraId="732A598B" w14:textId="77777777" w:rsidR="00780755" w:rsidRDefault="00780755" w:rsidP="00BE076E"/>
    <w:p w14:paraId="13F56C15" w14:textId="77777777" w:rsidR="00BE076E" w:rsidRPr="00BE076E" w:rsidRDefault="00BE076E" w:rsidP="00BE076E">
      <w:pPr>
        <w:pStyle w:val="Prrafodelista"/>
        <w:numPr>
          <w:ilvl w:val="0"/>
          <w:numId w:val="1"/>
        </w:numPr>
        <w:rPr>
          <w:rFonts w:ascii="Tahoma" w:hAnsi="Tahoma" w:cs="Tahoma"/>
          <w:b/>
          <w:bCs/>
          <w:sz w:val="24"/>
          <w:szCs w:val="24"/>
        </w:rPr>
      </w:pPr>
      <w:r w:rsidRPr="00BE076E">
        <w:rPr>
          <w:rFonts w:ascii="Tahoma" w:hAnsi="Tahoma" w:cs="Tahoma"/>
          <w:b/>
          <w:bCs/>
          <w:sz w:val="24"/>
          <w:szCs w:val="24"/>
        </w:rPr>
        <w:t>Acciones y mercado.</w:t>
      </w:r>
    </w:p>
    <w:p w14:paraId="49401195" w14:textId="77777777" w:rsidR="00BE076E" w:rsidRPr="00355D71" w:rsidRDefault="00BE076E" w:rsidP="00BE076E">
      <w:pPr>
        <w:jc w:val="both"/>
        <w:rPr>
          <w:rFonts w:ascii="Tahoma" w:hAnsi="Tahoma" w:cs="Tahoma"/>
        </w:rPr>
      </w:pPr>
      <w:r w:rsidRPr="00355D71">
        <w:rPr>
          <w:rFonts w:ascii="Tahoma" w:hAnsi="Tahoma" w:cs="Tahoma"/>
        </w:rPr>
        <w:t xml:space="preserve">Mostrar una gráfica con las cinco acciones y el mercado. </w:t>
      </w:r>
      <w:r w:rsidR="00355D71" w:rsidRPr="00355D71">
        <w:rPr>
          <w:rFonts w:ascii="Tahoma" w:hAnsi="Tahoma" w:cs="Tahoma"/>
        </w:rPr>
        <w:t>La siguiente figura es un ejemplo.</w:t>
      </w:r>
    </w:p>
    <w:p w14:paraId="39EF648F" w14:textId="42E2299C" w:rsidR="00355D71" w:rsidRDefault="00355D71" w:rsidP="00355D71">
      <w:pPr>
        <w:jc w:val="center"/>
        <w:rPr>
          <w:rFonts w:ascii="Tahoma" w:hAnsi="Tahoma" w:cs="Tahoma"/>
        </w:rPr>
      </w:pPr>
      <w:r w:rsidRPr="00355D71">
        <w:rPr>
          <w:rFonts w:ascii="Tahoma" w:hAnsi="Tahoma" w:cs="Tahoma"/>
        </w:rPr>
        <w:t>Figura. Comparación acciones y mercado.</w:t>
      </w:r>
      <w:r w:rsidR="000E2C5C" w:rsidRPr="000E2C5C">
        <w:rPr>
          <w:noProof/>
        </w:rPr>
        <w:t xml:space="preserve"> </w:t>
      </w:r>
    </w:p>
    <w:p w14:paraId="2FF19D37" w14:textId="74E19F93" w:rsidR="00355D71" w:rsidRDefault="0038595F" w:rsidP="00355D71">
      <w:pPr>
        <w:jc w:val="center"/>
        <w:rPr>
          <w:rFonts w:ascii="Tahoma" w:hAnsi="Tahoma" w:cs="Tahoma"/>
        </w:rPr>
      </w:pPr>
      <w:r>
        <w:rPr>
          <w:rFonts w:ascii="Tahoma" w:hAnsi="Tahoma" w:cs="Tahoma"/>
          <w:noProof/>
        </w:rPr>
        <w:drawing>
          <wp:inline distT="0" distB="0" distL="0" distR="0" wp14:anchorId="1F9357E1" wp14:editId="176DD627">
            <wp:extent cx="5331774" cy="3381375"/>
            <wp:effectExtent l="0" t="0" r="254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zoom.png"/>
                    <pic:cNvPicPr/>
                  </pic:nvPicPr>
                  <pic:blipFill>
                    <a:blip r:embed="rId6">
                      <a:extLst>
                        <a:ext uri="{28A0092B-C50C-407E-A947-70E740481C1C}">
                          <a14:useLocalDpi xmlns:a14="http://schemas.microsoft.com/office/drawing/2010/main" val="0"/>
                        </a:ext>
                      </a:extLst>
                    </a:blip>
                    <a:stretch>
                      <a:fillRect/>
                    </a:stretch>
                  </pic:blipFill>
                  <pic:spPr>
                    <a:xfrm>
                      <a:off x="0" y="0"/>
                      <a:ext cx="5335081" cy="3383472"/>
                    </a:xfrm>
                    <a:prstGeom prst="rect">
                      <a:avLst/>
                    </a:prstGeom>
                  </pic:spPr>
                </pic:pic>
              </a:graphicData>
            </a:graphic>
          </wp:inline>
        </w:drawing>
      </w:r>
    </w:p>
    <w:p w14:paraId="0EB3C7B0" w14:textId="77777777" w:rsidR="00FA2911" w:rsidRDefault="00FA2911" w:rsidP="00355D71">
      <w:pPr>
        <w:jc w:val="center"/>
        <w:rPr>
          <w:rFonts w:ascii="Tahoma" w:hAnsi="Tahoma" w:cs="Tahoma"/>
        </w:rPr>
      </w:pPr>
    </w:p>
    <w:p w14:paraId="61A2CC55" w14:textId="4DC70746" w:rsidR="00685B6F" w:rsidRDefault="00BC5711" w:rsidP="00355D71">
      <w:pPr>
        <w:jc w:val="both"/>
        <w:rPr>
          <w:rFonts w:ascii="Tahoma" w:hAnsi="Tahoma" w:cs="Tahoma"/>
        </w:rPr>
      </w:pPr>
      <w:r>
        <w:rPr>
          <w:rFonts w:ascii="Tahoma" w:hAnsi="Tahoma" w:cs="Tahoma"/>
        </w:rPr>
        <w:t xml:space="preserve">Como se puede observar el mercado tiene un valor más alto en cuento a rendimiento esperado y un valor menor de volatilidad. Cómo </w:t>
      </w:r>
      <w:r w:rsidR="000C7AE1">
        <w:rPr>
          <w:rFonts w:ascii="Tahoma" w:hAnsi="Tahoma" w:cs="Tahoma"/>
        </w:rPr>
        <w:t>se había encontrado en la tabla anterior, la acción con mayor rendimiento y menor volatilidad es PFE, por lo tanto, es la que más se acerca a los valores del mercado. Los demás valores se alejan bastante, siendo la acción UAL la más volátil y GE la de menor rendimiento esperado.</w:t>
      </w:r>
    </w:p>
    <w:p w14:paraId="3B9CA26A" w14:textId="77777777" w:rsidR="00BC5711" w:rsidRDefault="00BC5711" w:rsidP="00355D71">
      <w:pPr>
        <w:jc w:val="both"/>
        <w:rPr>
          <w:rFonts w:ascii="Tahoma" w:hAnsi="Tahoma" w:cs="Tahoma"/>
        </w:rPr>
      </w:pPr>
    </w:p>
    <w:p w14:paraId="23C3048D" w14:textId="77777777" w:rsidR="00685B6F" w:rsidRDefault="00685B6F" w:rsidP="00355D71">
      <w:pPr>
        <w:jc w:val="both"/>
        <w:rPr>
          <w:rFonts w:ascii="Tahoma" w:hAnsi="Tahoma" w:cs="Tahoma"/>
        </w:rPr>
      </w:pPr>
    </w:p>
    <w:p w14:paraId="08D02C1D" w14:textId="77777777" w:rsidR="00685B6F" w:rsidRDefault="00685B6F" w:rsidP="00355D71">
      <w:pPr>
        <w:jc w:val="both"/>
        <w:rPr>
          <w:rFonts w:ascii="Tahoma" w:hAnsi="Tahoma" w:cs="Tahoma"/>
        </w:rPr>
      </w:pPr>
    </w:p>
    <w:p w14:paraId="677C7231" w14:textId="77777777" w:rsidR="00685B6F" w:rsidRDefault="00685B6F" w:rsidP="00355D71">
      <w:pPr>
        <w:jc w:val="both"/>
        <w:rPr>
          <w:rFonts w:ascii="Tahoma" w:hAnsi="Tahoma" w:cs="Tahoma"/>
        </w:rPr>
      </w:pPr>
    </w:p>
    <w:p w14:paraId="22809325" w14:textId="77777777" w:rsidR="00685B6F" w:rsidRDefault="00685B6F" w:rsidP="00355D71">
      <w:pPr>
        <w:jc w:val="both"/>
        <w:rPr>
          <w:rFonts w:ascii="Tahoma" w:hAnsi="Tahoma" w:cs="Tahoma"/>
        </w:rPr>
      </w:pPr>
    </w:p>
    <w:p w14:paraId="594D99B6" w14:textId="77777777" w:rsidR="00685B6F" w:rsidRDefault="00685B6F" w:rsidP="00355D71">
      <w:pPr>
        <w:jc w:val="both"/>
        <w:rPr>
          <w:rFonts w:ascii="Tahoma" w:hAnsi="Tahoma" w:cs="Tahoma"/>
        </w:rPr>
      </w:pPr>
    </w:p>
    <w:p w14:paraId="7D0463E1" w14:textId="77777777" w:rsidR="00685B6F" w:rsidRDefault="00685B6F" w:rsidP="00355D71">
      <w:pPr>
        <w:jc w:val="both"/>
        <w:rPr>
          <w:rFonts w:ascii="Tahoma" w:hAnsi="Tahoma" w:cs="Tahoma"/>
        </w:rPr>
      </w:pPr>
    </w:p>
    <w:p w14:paraId="2B0A7A40" w14:textId="77777777" w:rsidR="00685B6F" w:rsidRDefault="00685B6F" w:rsidP="00355D71">
      <w:pPr>
        <w:jc w:val="both"/>
        <w:rPr>
          <w:rFonts w:ascii="Tahoma" w:hAnsi="Tahoma" w:cs="Tahoma"/>
        </w:rPr>
      </w:pPr>
    </w:p>
    <w:p w14:paraId="51D39759" w14:textId="77777777" w:rsidR="00685B6F" w:rsidRDefault="00685B6F" w:rsidP="00355D71">
      <w:pPr>
        <w:jc w:val="both"/>
        <w:rPr>
          <w:rFonts w:ascii="Tahoma" w:hAnsi="Tahoma" w:cs="Tahoma"/>
        </w:rPr>
      </w:pPr>
    </w:p>
    <w:p w14:paraId="25C30A66" w14:textId="149A708D" w:rsidR="00355D71" w:rsidRDefault="00355D71" w:rsidP="00355D71">
      <w:pPr>
        <w:pStyle w:val="Prrafodelista"/>
        <w:numPr>
          <w:ilvl w:val="0"/>
          <w:numId w:val="1"/>
        </w:numPr>
        <w:rPr>
          <w:rFonts w:ascii="Tahoma" w:hAnsi="Tahoma" w:cs="Tahoma"/>
          <w:b/>
          <w:bCs/>
          <w:sz w:val="24"/>
          <w:szCs w:val="24"/>
        </w:rPr>
      </w:pPr>
      <w:r w:rsidRPr="00355D71">
        <w:rPr>
          <w:rFonts w:ascii="Tahoma" w:hAnsi="Tahoma" w:cs="Tahoma"/>
          <w:b/>
          <w:bCs/>
          <w:sz w:val="24"/>
          <w:szCs w:val="24"/>
        </w:rPr>
        <w:lastRenderedPageBreak/>
        <w:t>Frontera eficiente de Markowitz</w:t>
      </w:r>
    </w:p>
    <w:p w14:paraId="03DC9B12" w14:textId="77777777" w:rsidR="00780755" w:rsidRDefault="00780755" w:rsidP="00780755">
      <w:pPr>
        <w:pStyle w:val="Prrafodelista"/>
        <w:rPr>
          <w:rFonts w:ascii="Tahoma" w:hAnsi="Tahoma" w:cs="Tahoma"/>
          <w:b/>
          <w:bCs/>
          <w:sz w:val="24"/>
          <w:szCs w:val="24"/>
        </w:rPr>
      </w:pPr>
    </w:p>
    <w:p w14:paraId="423D0DEC" w14:textId="77777777" w:rsidR="00780755" w:rsidRDefault="00780755" w:rsidP="000264F5">
      <w:pPr>
        <w:ind w:left="360"/>
        <w:rPr>
          <w:rFonts w:ascii="Tahoma" w:hAnsi="Tahoma" w:cs="Tahoma"/>
          <w:b/>
          <w:bCs/>
          <w:sz w:val="24"/>
          <w:szCs w:val="24"/>
        </w:rPr>
      </w:pPr>
    </w:p>
    <w:p w14:paraId="28FF2084" w14:textId="6D028165" w:rsidR="00355D71" w:rsidRPr="000264F5" w:rsidRDefault="000264F5" w:rsidP="000264F5">
      <w:pPr>
        <w:ind w:left="360"/>
        <w:rPr>
          <w:rFonts w:ascii="Tahoma" w:hAnsi="Tahoma" w:cs="Tahoma"/>
          <w:b/>
          <w:bCs/>
          <w:sz w:val="24"/>
          <w:szCs w:val="24"/>
        </w:rPr>
      </w:pPr>
      <w:r>
        <w:rPr>
          <w:rFonts w:ascii="Tahoma" w:hAnsi="Tahoma" w:cs="Tahoma"/>
          <w:b/>
          <w:bCs/>
          <w:noProof/>
          <w:sz w:val="24"/>
          <w:szCs w:val="24"/>
        </w:rPr>
        <w:drawing>
          <wp:inline distT="0" distB="0" distL="0" distR="0" wp14:anchorId="1D310F17" wp14:editId="61687D9D">
            <wp:extent cx="5468739" cy="3476625"/>
            <wp:effectExtent l="0" t="0" r="0" b="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5502651" cy="3498184"/>
                    </a:xfrm>
                    <a:prstGeom prst="rect">
                      <a:avLst/>
                    </a:prstGeom>
                  </pic:spPr>
                </pic:pic>
              </a:graphicData>
            </a:graphic>
          </wp:inline>
        </w:drawing>
      </w:r>
    </w:p>
    <w:p w14:paraId="4FF86DE7" w14:textId="77777777" w:rsidR="00780755" w:rsidRDefault="00780755" w:rsidP="00381BBE">
      <w:pPr>
        <w:rPr>
          <w:rFonts w:ascii="Tahoma" w:hAnsi="Tahoma" w:cs="Tahoma"/>
        </w:rPr>
      </w:pPr>
    </w:p>
    <w:p w14:paraId="0C0BDA7D" w14:textId="77777777" w:rsidR="00780755" w:rsidRDefault="00780755" w:rsidP="00381BBE">
      <w:pPr>
        <w:rPr>
          <w:rFonts w:ascii="Tahoma" w:hAnsi="Tahoma" w:cs="Tahoma"/>
        </w:rPr>
      </w:pPr>
    </w:p>
    <w:p w14:paraId="302029E1" w14:textId="089D0D17" w:rsidR="00381BBE" w:rsidRDefault="00381BBE" w:rsidP="00381BBE">
      <w:pPr>
        <w:rPr>
          <w:rFonts w:ascii="Tahoma" w:hAnsi="Tahoma" w:cs="Tahoma"/>
        </w:rPr>
      </w:pPr>
      <w:r>
        <w:rPr>
          <w:rFonts w:ascii="Tahoma" w:hAnsi="Tahoma" w:cs="Tahoma"/>
        </w:rPr>
        <w:t xml:space="preserve">En la anterior figura se puede observar la frontera eficiente de Markowitz, donde se muestran una serie de portafolios combinando las proporciones de inversión en las diferentes 5 acciones que se vienen analizando, para buscar la combinación óptima de los títulos. Se resalta en rojo </w:t>
      </w:r>
      <w:r w:rsidR="00780755">
        <w:rPr>
          <w:rFonts w:ascii="Tahoma" w:hAnsi="Tahoma" w:cs="Tahoma"/>
        </w:rPr>
        <w:t xml:space="preserve">el portafolio de mínima varianza y el punto verde un portafolio con las mismas proporciones en todos los títulos. Como se ve, este ultimo no es eficiente. </w:t>
      </w:r>
    </w:p>
    <w:p w14:paraId="77A2A099" w14:textId="589E7496" w:rsidR="00780755" w:rsidRDefault="00780755" w:rsidP="00381BBE">
      <w:pPr>
        <w:rPr>
          <w:rFonts w:ascii="Tahoma" w:hAnsi="Tahoma" w:cs="Tahoma"/>
        </w:rPr>
      </w:pPr>
      <w:r>
        <w:rPr>
          <w:rFonts w:ascii="Tahoma" w:hAnsi="Tahoma" w:cs="Tahoma"/>
        </w:rPr>
        <w:t xml:space="preserve">El portafolio de mínima varianza también esta representado por la línea negra en la siguiente figura, la cual muestra las proporciones de las acciones en diversos portafolios según el nivel de rentabilidad y rendimiento deseado. </w:t>
      </w:r>
      <w:r w:rsidR="005842CC">
        <w:rPr>
          <w:rFonts w:ascii="Tahoma" w:hAnsi="Tahoma" w:cs="Tahoma"/>
        </w:rPr>
        <w:t xml:space="preserve">Se puede observar que el portafolio de mínima varianza ignora la acción AAL dándole una proporción de 0 y le da mayor peso a la acción PFE, lo cual confirma lo que se había analizado anteriormente sobre esta última acción. </w:t>
      </w:r>
    </w:p>
    <w:p w14:paraId="174D8956" w14:textId="77777777" w:rsidR="00780755" w:rsidRDefault="00780755" w:rsidP="00381BBE">
      <w:pPr>
        <w:rPr>
          <w:rFonts w:ascii="Tahoma" w:hAnsi="Tahoma" w:cs="Tahoma"/>
        </w:rPr>
      </w:pPr>
    </w:p>
    <w:p w14:paraId="568B3EE0" w14:textId="36F80752" w:rsidR="00780755" w:rsidRDefault="00780755" w:rsidP="00381BBE">
      <w:pPr>
        <w:rPr>
          <w:rFonts w:ascii="Tahoma" w:hAnsi="Tahoma" w:cs="Tahoma"/>
        </w:rPr>
      </w:pPr>
    </w:p>
    <w:p w14:paraId="643D9680" w14:textId="29C391CE" w:rsidR="00780755" w:rsidRDefault="00780755" w:rsidP="00381BBE">
      <w:pPr>
        <w:rPr>
          <w:rFonts w:ascii="Tahoma" w:hAnsi="Tahoma" w:cs="Tahoma"/>
        </w:rPr>
      </w:pPr>
    </w:p>
    <w:p w14:paraId="1E8A7255" w14:textId="4050E020" w:rsidR="00780755" w:rsidRDefault="00780755" w:rsidP="00381BBE">
      <w:pPr>
        <w:rPr>
          <w:rFonts w:ascii="Tahoma" w:hAnsi="Tahoma" w:cs="Tahoma"/>
        </w:rPr>
      </w:pPr>
    </w:p>
    <w:p w14:paraId="784766A4" w14:textId="77777777" w:rsidR="00685B6F" w:rsidRDefault="00685B6F" w:rsidP="00381BBE">
      <w:pPr>
        <w:rPr>
          <w:rFonts w:ascii="Tahoma" w:hAnsi="Tahoma" w:cs="Tahoma"/>
        </w:rPr>
      </w:pPr>
    </w:p>
    <w:p w14:paraId="79B2FCC5" w14:textId="77777777" w:rsidR="00780755" w:rsidRDefault="00780755" w:rsidP="00381BBE">
      <w:pPr>
        <w:rPr>
          <w:rFonts w:ascii="Tahoma" w:hAnsi="Tahoma" w:cs="Tahoma"/>
        </w:rPr>
      </w:pPr>
    </w:p>
    <w:p w14:paraId="38158358" w14:textId="663997AA" w:rsidR="00F237C7" w:rsidRDefault="00F237C7" w:rsidP="00F237C7">
      <w:pPr>
        <w:jc w:val="center"/>
        <w:rPr>
          <w:rFonts w:ascii="Tahoma" w:hAnsi="Tahoma" w:cs="Tahoma"/>
        </w:rPr>
      </w:pPr>
      <w:r>
        <w:rPr>
          <w:rFonts w:ascii="Tahoma" w:hAnsi="Tahoma" w:cs="Tahoma"/>
        </w:rPr>
        <w:lastRenderedPageBreak/>
        <w:t>Proporciones de inversión del portafolio de mínima varianza.</w:t>
      </w:r>
    </w:p>
    <w:p w14:paraId="2C5C89CE" w14:textId="5760FBA9" w:rsidR="00F237C7" w:rsidRDefault="00C8775E" w:rsidP="00F237C7">
      <w:pPr>
        <w:jc w:val="center"/>
        <w:rPr>
          <w:rFonts w:ascii="Tahoma" w:hAnsi="Tahoma" w:cs="Tahoma"/>
        </w:rPr>
      </w:pPr>
      <w:r>
        <w:rPr>
          <w:rFonts w:ascii="Tahoma" w:hAnsi="Tahoma" w:cs="Tahoma"/>
          <w:noProof/>
        </w:rPr>
        <w:drawing>
          <wp:inline distT="0" distB="0" distL="0" distR="0" wp14:anchorId="3EA36693" wp14:editId="463C79A4">
            <wp:extent cx="5439534" cy="3458058"/>
            <wp:effectExtent l="0" t="0" r="0" b="9525"/>
            <wp:docPr id="9"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5439534" cy="3458058"/>
                    </a:xfrm>
                    <a:prstGeom prst="rect">
                      <a:avLst/>
                    </a:prstGeom>
                  </pic:spPr>
                </pic:pic>
              </a:graphicData>
            </a:graphic>
          </wp:inline>
        </w:drawing>
      </w:r>
    </w:p>
    <w:p w14:paraId="751F7E92" w14:textId="77777777" w:rsidR="00355D71" w:rsidRDefault="00355D71" w:rsidP="00355D71">
      <w:pPr>
        <w:pStyle w:val="Prrafodelista"/>
        <w:numPr>
          <w:ilvl w:val="0"/>
          <w:numId w:val="1"/>
        </w:numPr>
        <w:rPr>
          <w:rFonts w:ascii="Tahoma" w:hAnsi="Tahoma" w:cs="Tahoma"/>
          <w:b/>
          <w:bCs/>
          <w:sz w:val="24"/>
          <w:szCs w:val="24"/>
        </w:rPr>
      </w:pPr>
      <w:r w:rsidRPr="00355D71">
        <w:rPr>
          <w:rFonts w:ascii="Tahoma" w:hAnsi="Tahoma" w:cs="Tahoma"/>
          <w:b/>
          <w:bCs/>
          <w:sz w:val="24"/>
          <w:szCs w:val="24"/>
        </w:rPr>
        <w:t>Línea de Mercado de Capitales (CML)</w:t>
      </w:r>
    </w:p>
    <w:p w14:paraId="5AD17025" w14:textId="3ABA1159" w:rsidR="00355D71" w:rsidRDefault="00FA2911" w:rsidP="00355D71">
      <w:pPr>
        <w:jc w:val="both"/>
        <w:rPr>
          <w:rFonts w:ascii="Tahoma" w:hAnsi="Tahoma" w:cs="Tahoma"/>
        </w:rPr>
      </w:pPr>
      <w:r>
        <w:rPr>
          <w:rFonts w:ascii="Tahoma" w:hAnsi="Tahoma" w:cs="Tahoma"/>
        </w:rPr>
        <w:t>G</w:t>
      </w:r>
      <w:r w:rsidR="004F12BC">
        <w:rPr>
          <w:rFonts w:ascii="Tahoma" w:hAnsi="Tahoma" w:cs="Tahoma"/>
        </w:rPr>
        <w:t xml:space="preserve">ráfica </w:t>
      </w:r>
      <w:r w:rsidR="00563F51">
        <w:rPr>
          <w:rFonts w:ascii="Tahoma" w:hAnsi="Tahoma" w:cs="Tahoma"/>
        </w:rPr>
        <w:t>con</w:t>
      </w:r>
      <w:r w:rsidR="004F12BC">
        <w:rPr>
          <w:rFonts w:ascii="Tahoma" w:hAnsi="Tahoma" w:cs="Tahoma"/>
        </w:rPr>
        <w:t xml:space="preserve"> la frontera, CML y portafolio tangente.</w:t>
      </w:r>
    </w:p>
    <w:p w14:paraId="204D7D96" w14:textId="564D2A17" w:rsidR="007D6650" w:rsidRDefault="0096093E" w:rsidP="00780755">
      <w:pPr>
        <w:jc w:val="center"/>
        <w:rPr>
          <w:rFonts w:ascii="Tahoma" w:hAnsi="Tahoma" w:cs="Tahoma"/>
        </w:rPr>
      </w:pPr>
      <w:r>
        <w:rPr>
          <w:rFonts w:ascii="Tahoma" w:hAnsi="Tahoma" w:cs="Tahoma"/>
          <w:noProof/>
        </w:rPr>
        <w:drawing>
          <wp:inline distT="0" distB="0" distL="0" distR="0" wp14:anchorId="258D269B" wp14:editId="19C43CD5">
            <wp:extent cx="5438140" cy="3695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5441439" cy="3697942"/>
                    </a:xfrm>
                    <a:prstGeom prst="rect">
                      <a:avLst/>
                    </a:prstGeom>
                  </pic:spPr>
                </pic:pic>
              </a:graphicData>
            </a:graphic>
          </wp:inline>
        </w:drawing>
      </w:r>
    </w:p>
    <w:p w14:paraId="69549828" w14:textId="6D5E34A2" w:rsidR="005B3FB9" w:rsidRDefault="005B3FB9" w:rsidP="00780755">
      <w:pPr>
        <w:jc w:val="center"/>
        <w:rPr>
          <w:rFonts w:ascii="Tahoma" w:hAnsi="Tahoma" w:cs="Tahoma"/>
        </w:rPr>
      </w:pPr>
    </w:p>
    <w:p w14:paraId="52161F97" w14:textId="77777777" w:rsidR="005B3FB9" w:rsidRDefault="005B3FB9" w:rsidP="00780755">
      <w:pPr>
        <w:jc w:val="center"/>
        <w:rPr>
          <w:rFonts w:ascii="Tahoma" w:hAnsi="Tahoma" w:cs="Tahoma"/>
        </w:rPr>
      </w:pPr>
    </w:p>
    <w:p w14:paraId="4E56807D" w14:textId="7EF6C2B0" w:rsidR="004F12BC" w:rsidRDefault="004F12BC" w:rsidP="004F12BC">
      <w:pPr>
        <w:pStyle w:val="Prrafodelista"/>
        <w:numPr>
          <w:ilvl w:val="0"/>
          <w:numId w:val="1"/>
        </w:numPr>
        <w:rPr>
          <w:rFonts w:ascii="Tahoma" w:hAnsi="Tahoma" w:cs="Tahoma"/>
          <w:b/>
          <w:bCs/>
          <w:sz w:val="24"/>
          <w:szCs w:val="24"/>
        </w:rPr>
      </w:pPr>
      <w:r w:rsidRPr="004F12BC">
        <w:rPr>
          <w:rFonts w:ascii="Tahoma" w:hAnsi="Tahoma" w:cs="Tahoma"/>
          <w:b/>
          <w:bCs/>
          <w:sz w:val="24"/>
          <w:szCs w:val="24"/>
        </w:rPr>
        <w:lastRenderedPageBreak/>
        <w:t>Comparación portafolios de inversión.</w:t>
      </w:r>
    </w:p>
    <w:p w14:paraId="5B97E5FA" w14:textId="77777777" w:rsidR="00780755" w:rsidRPr="004F12BC" w:rsidRDefault="00780755" w:rsidP="00780755">
      <w:pPr>
        <w:pStyle w:val="Prrafodelista"/>
        <w:rPr>
          <w:rFonts w:ascii="Tahoma" w:hAnsi="Tahoma" w:cs="Tahoma"/>
          <w:b/>
          <w:bCs/>
          <w:sz w:val="24"/>
          <w:szCs w:val="24"/>
        </w:rPr>
      </w:pPr>
    </w:p>
    <w:p w14:paraId="02B959B4" w14:textId="77777777" w:rsidR="004F12BC" w:rsidRDefault="004F12BC" w:rsidP="004F12BC">
      <w:pPr>
        <w:jc w:val="center"/>
        <w:rPr>
          <w:rFonts w:ascii="Tahoma" w:hAnsi="Tahoma" w:cs="Tahoma"/>
        </w:rPr>
      </w:pPr>
      <w:r>
        <w:rPr>
          <w:rFonts w:ascii="Tahoma" w:hAnsi="Tahoma" w:cs="Tahoma"/>
        </w:rPr>
        <w:t>Tabla. Proporciones de inversión en los portafolios.</w:t>
      </w:r>
    </w:p>
    <w:tbl>
      <w:tblPr>
        <w:tblStyle w:val="Tablaconcuadrcula"/>
        <w:tblW w:w="0" w:type="auto"/>
        <w:tblLook w:val="04A0" w:firstRow="1" w:lastRow="0" w:firstColumn="1" w:lastColumn="0" w:noHBand="0" w:noVBand="1"/>
      </w:tblPr>
      <w:tblGrid>
        <w:gridCol w:w="3823"/>
        <w:gridCol w:w="992"/>
        <w:gridCol w:w="992"/>
        <w:gridCol w:w="992"/>
        <w:gridCol w:w="993"/>
        <w:gridCol w:w="1036"/>
      </w:tblGrid>
      <w:tr w:rsidR="00D633DF" w:rsidRPr="007B55D7" w14:paraId="38EEE49F" w14:textId="77777777" w:rsidTr="00CF779A">
        <w:tc>
          <w:tcPr>
            <w:tcW w:w="3823" w:type="dxa"/>
          </w:tcPr>
          <w:p w14:paraId="1BB30577" w14:textId="77777777" w:rsidR="00D633DF" w:rsidRDefault="00D633DF" w:rsidP="00D633DF">
            <w:pPr>
              <w:jc w:val="both"/>
              <w:rPr>
                <w:rFonts w:ascii="Tahoma" w:hAnsi="Tahoma" w:cs="Tahoma"/>
              </w:rPr>
            </w:pPr>
          </w:p>
        </w:tc>
        <w:tc>
          <w:tcPr>
            <w:tcW w:w="992" w:type="dxa"/>
          </w:tcPr>
          <w:p w14:paraId="3DE56D1E" w14:textId="7F3AE8B0" w:rsidR="00D633DF" w:rsidRPr="007B55D7" w:rsidRDefault="00D633DF" w:rsidP="00D633DF">
            <w:pPr>
              <w:jc w:val="center"/>
              <w:rPr>
                <w:rFonts w:ascii="Tahoma" w:hAnsi="Tahoma" w:cs="Tahoma"/>
                <w:sz w:val="20"/>
                <w:szCs w:val="20"/>
              </w:rPr>
            </w:pPr>
            <w:r>
              <w:rPr>
                <w:rFonts w:ascii="Tahoma" w:hAnsi="Tahoma" w:cs="Tahoma"/>
                <w:sz w:val="20"/>
                <w:szCs w:val="20"/>
              </w:rPr>
              <w:t>GE</w:t>
            </w:r>
          </w:p>
        </w:tc>
        <w:tc>
          <w:tcPr>
            <w:tcW w:w="992" w:type="dxa"/>
          </w:tcPr>
          <w:p w14:paraId="2597DBEF" w14:textId="11FDA7FE" w:rsidR="00D633DF" w:rsidRPr="007B55D7" w:rsidRDefault="00D633DF" w:rsidP="00D633DF">
            <w:pPr>
              <w:jc w:val="center"/>
              <w:rPr>
                <w:rFonts w:ascii="Tahoma" w:hAnsi="Tahoma" w:cs="Tahoma"/>
                <w:sz w:val="20"/>
                <w:szCs w:val="20"/>
              </w:rPr>
            </w:pPr>
            <w:r>
              <w:rPr>
                <w:rFonts w:ascii="Tahoma" w:hAnsi="Tahoma" w:cs="Tahoma"/>
                <w:sz w:val="20"/>
                <w:szCs w:val="20"/>
              </w:rPr>
              <w:t>AAL</w:t>
            </w:r>
          </w:p>
        </w:tc>
        <w:tc>
          <w:tcPr>
            <w:tcW w:w="992" w:type="dxa"/>
          </w:tcPr>
          <w:p w14:paraId="4DDD36F7" w14:textId="4B227F15" w:rsidR="00D633DF" w:rsidRPr="007B55D7" w:rsidRDefault="00D633DF" w:rsidP="00D633DF">
            <w:pPr>
              <w:jc w:val="center"/>
              <w:rPr>
                <w:rFonts w:ascii="Tahoma" w:hAnsi="Tahoma" w:cs="Tahoma"/>
                <w:sz w:val="20"/>
                <w:szCs w:val="20"/>
              </w:rPr>
            </w:pPr>
            <w:r>
              <w:rPr>
                <w:rFonts w:ascii="Tahoma" w:hAnsi="Tahoma" w:cs="Tahoma"/>
                <w:sz w:val="20"/>
                <w:szCs w:val="20"/>
              </w:rPr>
              <w:t>F</w:t>
            </w:r>
          </w:p>
        </w:tc>
        <w:tc>
          <w:tcPr>
            <w:tcW w:w="993" w:type="dxa"/>
          </w:tcPr>
          <w:p w14:paraId="3A928516" w14:textId="0572313C" w:rsidR="00D633DF" w:rsidRPr="007B55D7" w:rsidRDefault="00D633DF" w:rsidP="00D633DF">
            <w:pPr>
              <w:jc w:val="center"/>
              <w:rPr>
                <w:rFonts w:ascii="Tahoma" w:hAnsi="Tahoma" w:cs="Tahoma"/>
                <w:sz w:val="20"/>
                <w:szCs w:val="20"/>
              </w:rPr>
            </w:pPr>
            <w:r>
              <w:rPr>
                <w:rFonts w:ascii="Tahoma" w:hAnsi="Tahoma" w:cs="Tahoma"/>
                <w:sz w:val="20"/>
                <w:szCs w:val="20"/>
              </w:rPr>
              <w:t>UAL</w:t>
            </w:r>
          </w:p>
        </w:tc>
        <w:tc>
          <w:tcPr>
            <w:tcW w:w="1036" w:type="dxa"/>
          </w:tcPr>
          <w:p w14:paraId="2208714A" w14:textId="08D76DCB" w:rsidR="00D633DF" w:rsidRPr="007B55D7" w:rsidRDefault="00D633DF" w:rsidP="00D633DF">
            <w:pPr>
              <w:jc w:val="center"/>
              <w:rPr>
                <w:rFonts w:ascii="Tahoma" w:hAnsi="Tahoma" w:cs="Tahoma"/>
                <w:sz w:val="20"/>
                <w:szCs w:val="20"/>
              </w:rPr>
            </w:pPr>
            <w:r>
              <w:rPr>
                <w:rFonts w:ascii="Tahoma" w:hAnsi="Tahoma" w:cs="Tahoma"/>
                <w:sz w:val="20"/>
                <w:szCs w:val="20"/>
              </w:rPr>
              <w:t>PF</w:t>
            </w:r>
          </w:p>
        </w:tc>
      </w:tr>
      <w:tr w:rsidR="00C032DD" w14:paraId="09D3E259" w14:textId="77777777" w:rsidTr="00CF779A">
        <w:tc>
          <w:tcPr>
            <w:tcW w:w="3823" w:type="dxa"/>
          </w:tcPr>
          <w:p w14:paraId="3FC57F34" w14:textId="77777777" w:rsidR="00C032DD" w:rsidRDefault="00C032DD" w:rsidP="00C032DD">
            <w:pPr>
              <w:jc w:val="both"/>
              <w:rPr>
                <w:rFonts w:ascii="Tahoma" w:hAnsi="Tahoma" w:cs="Tahoma"/>
              </w:rPr>
            </w:pPr>
            <w:r>
              <w:rPr>
                <w:rFonts w:ascii="Tahoma" w:hAnsi="Tahoma" w:cs="Tahoma"/>
              </w:rPr>
              <w:t>Portafolio específico</w:t>
            </w:r>
          </w:p>
        </w:tc>
        <w:tc>
          <w:tcPr>
            <w:tcW w:w="992" w:type="dxa"/>
          </w:tcPr>
          <w:p w14:paraId="16ADC6C2" w14:textId="6A67F064" w:rsidR="00C032DD" w:rsidRDefault="00067BE4" w:rsidP="00C032DD">
            <w:pPr>
              <w:jc w:val="right"/>
              <w:rPr>
                <w:rFonts w:ascii="Tahoma" w:hAnsi="Tahoma" w:cs="Tahoma"/>
              </w:rPr>
            </w:pPr>
            <w:r>
              <w:rPr>
                <w:rFonts w:ascii="Tahoma" w:hAnsi="Tahoma" w:cs="Tahoma"/>
              </w:rPr>
              <w:t>20</w:t>
            </w:r>
            <w:r w:rsidR="00C032DD">
              <w:rPr>
                <w:rFonts w:ascii="Tahoma" w:hAnsi="Tahoma" w:cs="Tahoma"/>
              </w:rPr>
              <w:t>%</w:t>
            </w:r>
          </w:p>
        </w:tc>
        <w:tc>
          <w:tcPr>
            <w:tcW w:w="992" w:type="dxa"/>
          </w:tcPr>
          <w:p w14:paraId="23AEC44A" w14:textId="731D7379" w:rsidR="00C032DD" w:rsidRDefault="00067BE4" w:rsidP="00C032DD">
            <w:pPr>
              <w:jc w:val="right"/>
              <w:rPr>
                <w:rFonts w:ascii="Tahoma" w:hAnsi="Tahoma" w:cs="Tahoma"/>
              </w:rPr>
            </w:pPr>
            <w:r>
              <w:rPr>
                <w:rFonts w:ascii="Tahoma" w:hAnsi="Tahoma" w:cs="Tahoma"/>
              </w:rPr>
              <w:t>25</w:t>
            </w:r>
            <w:r w:rsidR="00C032DD">
              <w:rPr>
                <w:rFonts w:ascii="Tahoma" w:hAnsi="Tahoma" w:cs="Tahoma"/>
              </w:rPr>
              <w:t>%</w:t>
            </w:r>
          </w:p>
        </w:tc>
        <w:tc>
          <w:tcPr>
            <w:tcW w:w="992" w:type="dxa"/>
          </w:tcPr>
          <w:p w14:paraId="02AD0D20" w14:textId="7F63B36F" w:rsidR="00C032DD" w:rsidRDefault="00067BE4" w:rsidP="00C032DD">
            <w:pPr>
              <w:jc w:val="right"/>
              <w:rPr>
                <w:rFonts w:ascii="Tahoma" w:hAnsi="Tahoma" w:cs="Tahoma"/>
              </w:rPr>
            </w:pPr>
            <w:r>
              <w:rPr>
                <w:rFonts w:ascii="Tahoma" w:hAnsi="Tahoma" w:cs="Tahoma"/>
              </w:rPr>
              <w:t>20</w:t>
            </w:r>
            <w:r w:rsidR="00C032DD">
              <w:rPr>
                <w:rFonts w:ascii="Tahoma" w:hAnsi="Tahoma" w:cs="Tahoma"/>
              </w:rPr>
              <w:t>%</w:t>
            </w:r>
          </w:p>
        </w:tc>
        <w:tc>
          <w:tcPr>
            <w:tcW w:w="993" w:type="dxa"/>
          </w:tcPr>
          <w:p w14:paraId="43DD279E" w14:textId="08009623" w:rsidR="00C032DD" w:rsidRDefault="00067BE4" w:rsidP="00C032DD">
            <w:pPr>
              <w:jc w:val="right"/>
              <w:rPr>
                <w:rFonts w:ascii="Tahoma" w:hAnsi="Tahoma" w:cs="Tahoma"/>
              </w:rPr>
            </w:pPr>
            <w:r>
              <w:rPr>
                <w:rFonts w:ascii="Tahoma" w:hAnsi="Tahoma" w:cs="Tahoma"/>
              </w:rPr>
              <w:t>15</w:t>
            </w:r>
            <w:r w:rsidR="00C032DD">
              <w:rPr>
                <w:rFonts w:ascii="Tahoma" w:hAnsi="Tahoma" w:cs="Tahoma"/>
              </w:rPr>
              <w:t>%</w:t>
            </w:r>
          </w:p>
        </w:tc>
        <w:tc>
          <w:tcPr>
            <w:tcW w:w="1036" w:type="dxa"/>
          </w:tcPr>
          <w:p w14:paraId="1645AB93" w14:textId="3B208054" w:rsidR="00C032DD" w:rsidRDefault="00067BE4" w:rsidP="00C032DD">
            <w:pPr>
              <w:jc w:val="right"/>
              <w:rPr>
                <w:rFonts w:ascii="Tahoma" w:hAnsi="Tahoma" w:cs="Tahoma"/>
              </w:rPr>
            </w:pPr>
            <w:r>
              <w:rPr>
                <w:rFonts w:ascii="Tahoma" w:hAnsi="Tahoma" w:cs="Tahoma"/>
              </w:rPr>
              <w:t>20</w:t>
            </w:r>
            <w:r w:rsidR="00C032DD">
              <w:rPr>
                <w:rFonts w:ascii="Tahoma" w:hAnsi="Tahoma" w:cs="Tahoma"/>
              </w:rPr>
              <w:t>%</w:t>
            </w:r>
          </w:p>
        </w:tc>
      </w:tr>
      <w:tr w:rsidR="00C032DD" w14:paraId="23F8D02D" w14:textId="77777777" w:rsidTr="00CF779A">
        <w:tc>
          <w:tcPr>
            <w:tcW w:w="3823" w:type="dxa"/>
          </w:tcPr>
          <w:p w14:paraId="209F2FCC" w14:textId="77777777" w:rsidR="00C032DD" w:rsidRDefault="00C032DD" w:rsidP="00C032DD">
            <w:pPr>
              <w:jc w:val="both"/>
              <w:rPr>
                <w:rFonts w:ascii="Tahoma" w:hAnsi="Tahoma" w:cs="Tahoma"/>
              </w:rPr>
            </w:pPr>
            <w:r>
              <w:rPr>
                <w:rFonts w:ascii="Tahoma" w:hAnsi="Tahoma" w:cs="Tahoma"/>
              </w:rPr>
              <w:t>Portafolio tangente</w:t>
            </w:r>
          </w:p>
        </w:tc>
        <w:tc>
          <w:tcPr>
            <w:tcW w:w="992" w:type="dxa"/>
          </w:tcPr>
          <w:p w14:paraId="15F9792F" w14:textId="6E0F7D92" w:rsidR="00C032DD" w:rsidRDefault="0027278C" w:rsidP="00C032DD">
            <w:pPr>
              <w:jc w:val="right"/>
              <w:rPr>
                <w:rFonts w:ascii="Tahoma" w:hAnsi="Tahoma" w:cs="Tahoma"/>
              </w:rPr>
            </w:pPr>
            <w:r>
              <w:rPr>
                <w:rFonts w:ascii="Tahoma" w:hAnsi="Tahoma" w:cs="Tahoma"/>
              </w:rPr>
              <w:t>0</w:t>
            </w:r>
            <w:r w:rsidR="00C032DD">
              <w:rPr>
                <w:rFonts w:ascii="Tahoma" w:hAnsi="Tahoma" w:cs="Tahoma"/>
              </w:rPr>
              <w:t>%</w:t>
            </w:r>
          </w:p>
        </w:tc>
        <w:tc>
          <w:tcPr>
            <w:tcW w:w="992" w:type="dxa"/>
          </w:tcPr>
          <w:p w14:paraId="1EAAABE9" w14:textId="63513662" w:rsidR="00C032DD" w:rsidRDefault="0027278C" w:rsidP="00C032DD">
            <w:pPr>
              <w:jc w:val="right"/>
              <w:rPr>
                <w:rFonts w:ascii="Tahoma" w:hAnsi="Tahoma" w:cs="Tahoma"/>
              </w:rPr>
            </w:pPr>
            <w:r>
              <w:rPr>
                <w:rFonts w:ascii="Tahoma" w:hAnsi="Tahoma" w:cs="Tahoma"/>
              </w:rPr>
              <w:t>0</w:t>
            </w:r>
            <w:r w:rsidR="00C032DD">
              <w:rPr>
                <w:rFonts w:ascii="Tahoma" w:hAnsi="Tahoma" w:cs="Tahoma"/>
              </w:rPr>
              <w:t>%</w:t>
            </w:r>
          </w:p>
        </w:tc>
        <w:tc>
          <w:tcPr>
            <w:tcW w:w="992" w:type="dxa"/>
          </w:tcPr>
          <w:p w14:paraId="1491C717" w14:textId="3DA0409E" w:rsidR="00C032DD" w:rsidRDefault="0027278C" w:rsidP="00C032DD">
            <w:pPr>
              <w:jc w:val="right"/>
              <w:rPr>
                <w:rFonts w:ascii="Tahoma" w:hAnsi="Tahoma" w:cs="Tahoma"/>
              </w:rPr>
            </w:pPr>
            <w:r>
              <w:rPr>
                <w:rFonts w:ascii="Tahoma" w:hAnsi="Tahoma" w:cs="Tahoma"/>
              </w:rPr>
              <w:t>0</w:t>
            </w:r>
            <w:r w:rsidR="00C032DD">
              <w:rPr>
                <w:rFonts w:ascii="Tahoma" w:hAnsi="Tahoma" w:cs="Tahoma"/>
              </w:rPr>
              <w:t>%</w:t>
            </w:r>
          </w:p>
        </w:tc>
        <w:tc>
          <w:tcPr>
            <w:tcW w:w="993" w:type="dxa"/>
          </w:tcPr>
          <w:p w14:paraId="378F6EBC" w14:textId="47DBC045" w:rsidR="00C032DD" w:rsidRDefault="0027278C" w:rsidP="00C032DD">
            <w:pPr>
              <w:jc w:val="right"/>
              <w:rPr>
                <w:rFonts w:ascii="Tahoma" w:hAnsi="Tahoma" w:cs="Tahoma"/>
              </w:rPr>
            </w:pPr>
            <w:r>
              <w:rPr>
                <w:rFonts w:ascii="Tahoma" w:hAnsi="Tahoma" w:cs="Tahoma"/>
              </w:rPr>
              <w:t>0</w:t>
            </w:r>
            <w:r w:rsidR="00C032DD">
              <w:rPr>
                <w:rFonts w:ascii="Tahoma" w:hAnsi="Tahoma" w:cs="Tahoma"/>
              </w:rPr>
              <w:t>%</w:t>
            </w:r>
          </w:p>
        </w:tc>
        <w:tc>
          <w:tcPr>
            <w:tcW w:w="1036" w:type="dxa"/>
          </w:tcPr>
          <w:p w14:paraId="1497F0AD" w14:textId="51ADA4EF" w:rsidR="00C032DD" w:rsidRDefault="0027278C" w:rsidP="00C032DD">
            <w:pPr>
              <w:jc w:val="right"/>
              <w:rPr>
                <w:rFonts w:ascii="Tahoma" w:hAnsi="Tahoma" w:cs="Tahoma"/>
              </w:rPr>
            </w:pPr>
            <w:r>
              <w:rPr>
                <w:rFonts w:ascii="Tahoma" w:hAnsi="Tahoma" w:cs="Tahoma"/>
              </w:rPr>
              <w:t>100</w:t>
            </w:r>
            <w:r w:rsidR="00C032DD">
              <w:rPr>
                <w:rFonts w:ascii="Tahoma" w:hAnsi="Tahoma" w:cs="Tahoma"/>
              </w:rPr>
              <w:t>%</w:t>
            </w:r>
          </w:p>
        </w:tc>
      </w:tr>
      <w:tr w:rsidR="00C032DD" w14:paraId="68E291D0" w14:textId="77777777" w:rsidTr="00CF779A">
        <w:tc>
          <w:tcPr>
            <w:tcW w:w="3823" w:type="dxa"/>
          </w:tcPr>
          <w:p w14:paraId="1B571216" w14:textId="77777777" w:rsidR="00C032DD" w:rsidRDefault="00C032DD" w:rsidP="00C032DD">
            <w:pPr>
              <w:jc w:val="both"/>
              <w:rPr>
                <w:rFonts w:ascii="Tahoma" w:hAnsi="Tahoma" w:cs="Tahoma"/>
              </w:rPr>
            </w:pPr>
            <w:r>
              <w:rPr>
                <w:rFonts w:ascii="Tahoma" w:hAnsi="Tahoma" w:cs="Tahoma"/>
              </w:rPr>
              <w:t>Portafolio de mínima varianza</w:t>
            </w:r>
          </w:p>
        </w:tc>
        <w:tc>
          <w:tcPr>
            <w:tcW w:w="992" w:type="dxa"/>
          </w:tcPr>
          <w:p w14:paraId="765D9142" w14:textId="1FDB04D9" w:rsidR="00C032DD" w:rsidRDefault="00067BE4" w:rsidP="00C032DD">
            <w:pPr>
              <w:jc w:val="right"/>
              <w:rPr>
                <w:rFonts w:ascii="Tahoma" w:hAnsi="Tahoma" w:cs="Tahoma"/>
              </w:rPr>
            </w:pPr>
            <w:r>
              <w:rPr>
                <w:rFonts w:ascii="Tahoma" w:hAnsi="Tahoma" w:cs="Tahoma"/>
              </w:rPr>
              <w:t>19,97</w:t>
            </w:r>
            <w:r w:rsidR="00C032DD">
              <w:rPr>
                <w:rFonts w:ascii="Tahoma" w:hAnsi="Tahoma" w:cs="Tahoma"/>
              </w:rPr>
              <w:t>%</w:t>
            </w:r>
          </w:p>
        </w:tc>
        <w:tc>
          <w:tcPr>
            <w:tcW w:w="992" w:type="dxa"/>
          </w:tcPr>
          <w:p w14:paraId="7E9A84D0" w14:textId="3055B381" w:rsidR="00C032DD" w:rsidRDefault="00067BE4" w:rsidP="00C032DD">
            <w:pPr>
              <w:jc w:val="right"/>
              <w:rPr>
                <w:rFonts w:ascii="Tahoma" w:hAnsi="Tahoma" w:cs="Tahoma"/>
              </w:rPr>
            </w:pPr>
            <w:r>
              <w:rPr>
                <w:rFonts w:ascii="Tahoma" w:hAnsi="Tahoma" w:cs="Tahoma"/>
              </w:rPr>
              <w:t>0</w:t>
            </w:r>
            <w:r w:rsidR="00C032DD">
              <w:rPr>
                <w:rFonts w:ascii="Tahoma" w:hAnsi="Tahoma" w:cs="Tahoma"/>
              </w:rPr>
              <w:t>%</w:t>
            </w:r>
          </w:p>
        </w:tc>
        <w:tc>
          <w:tcPr>
            <w:tcW w:w="992" w:type="dxa"/>
          </w:tcPr>
          <w:p w14:paraId="08E618E0" w14:textId="21041ACA" w:rsidR="00C032DD" w:rsidRDefault="00067BE4" w:rsidP="00C032DD">
            <w:pPr>
              <w:jc w:val="right"/>
              <w:rPr>
                <w:rFonts w:ascii="Tahoma" w:hAnsi="Tahoma" w:cs="Tahoma"/>
              </w:rPr>
            </w:pPr>
            <w:r>
              <w:rPr>
                <w:rFonts w:ascii="Tahoma" w:hAnsi="Tahoma" w:cs="Tahoma"/>
              </w:rPr>
              <w:t>9,77</w:t>
            </w:r>
            <w:r w:rsidR="00C032DD">
              <w:rPr>
                <w:rFonts w:ascii="Tahoma" w:hAnsi="Tahoma" w:cs="Tahoma"/>
              </w:rPr>
              <w:t>%</w:t>
            </w:r>
          </w:p>
        </w:tc>
        <w:tc>
          <w:tcPr>
            <w:tcW w:w="993" w:type="dxa"/>
          </w:tcPr>
          <w:p w14:paraId="7E54FFD8" w14:textId="47519079" w:rsidR="00C032DD" w:rsidRDefault="00067BE4" w:rsidP="00C032DD">
            <w:pPr>
              <w:jc w:val="right"/>
              <w:rPr>
                <w:rFonts w:ascii="Tahoma" w:hAnsi="Tahoma" w:cs="Tahoma"/>
              </w:rPr>
            </w:pPr>
            <w:r>
              <w:rPr>
                <w:rFonts w:ascii="Tahoma" w:hAnsi="Tahoma" w:cs="Tahoma"/>
              </w:rPr>
              <w:t>2,15</w:t>
            </w:r>
            <w:r w:rsidR="00C032DD">
              <w:rPr>
                <w:rFonts w:ascii="Tahoma" w:hAnsi="Tahoma" w:cs="Tahoma"/>
              </w:rPr>
              <w:t>%</w:t>
            </w:r>
          </w:p>
        </w:tc>
        <w:tc>
          <w:tcPr>
            <w:tcW w:w="1036" w:type="dxa"/>
          </w:tcPr>
          <w:p w14:paraId="1DE803B2" w14:textId="0762BC2D" w:rsidR="00C032DD" w:rsidRDefault="00067BE4" w:rsidP="00C032DD">
            <w:pPr>
              <w:jc w:val="right"/>
              <w:rPr>
                <w:rFonts w:ascii="Tahoma" w:hAnsi="Tahoma" w:cs="Tahoma"/>
              </w:rPr>
            </w:pPr>
            <w:r>
              <w:rPr>
                <w:rFonts w:ascii="Tahoma" w:hAnsi="Tahoma" w:cs="Tahoma"/>
              </w:rPr>
              <w:t>68,12</w:t>
            </w:r>
            <w:r w:rsidR="00C032DD">
              <w:rPr>
                <w:rFonts w:ascii="Tahoma" w:hAnsi="Tahoma" w:cs="Tahoma"/>
              </w:rPr>
              <w:t>%</w:t>
            </w:r>
          </w:p>
        </w:tc>
      </w:tr>
    </w:tbl>
    <w:p w14:paraId="5700C3B5" w14:textId="77777777" w:rsidR="004F12BC" w:rsidRDefault="004F12BC" w:rsidP="004F12BC">
      <w:pPr>
        <w:jc w:val="both"/>
        <w:rPr>
          <w:rFonts w:ascii="Tahoma" w:hAnsi="Tahoma" w:cs="Tahoma"/>
        </w:rPr>
      </w:pPr>
    </w:p>
    <w:p w14:paraId="5360ED37" w14:textId="77777777" w:rsidR="00563F51" w:rsidRDefault="00563F51" w:rsidP="00D31BF0">
      <w:pPr>
        <w:jc w:val="center"/>
        <w:rPr>
          <w:rFonts w:ascii="Tahoma" w:hAnsi="Tahoma" w:cs="Tahoma"/>
        </w:rPr>
      </w:pPr>
    </w:p>
    <w:p w14:paraId="4879377D" w14:textId="77777777" w:rsidR="00563F51" w:rsidRDefault="00563F51" w:rsidP="00D31BF0">
      <w:pPr>
        <w:jc w:val="center"/>
        <w:rPr>
          <w:rFonts w:ascii="Tahoma" w:hAnsi="Tahoma" w:cs="Tahoma"/>
        </w:rPr>
      </w:pPr>
    </w:p>
    <w:p w14:paraId="6D528E73" w14:textId="77777777" w:rsidR="00D31BF0" w:rsidRDefault="00D31BF0" w:rsidP="00D31BF0">
      <w:pPr>
        <w:jc w:val="center"/>
        <w:rPr>
          <w:rFonts w:ascii="Tahoma" w:hAnsi="Tahoma" w:cs="Tahoma"/>
        </w:rPr>
      </w:pPr>
      <w:r>
        <w:rPr>
          <w:rFonts w:ascii="Tahoma" w:hAnsi="Tahoma" w:cs="Tahoma"/>
        </w:rPr>
        <w:t>Tabla. Comparación portafolios de inversión.</w:t>
      </w:r>
    </w:p>
    <w:tbl>
      <w:tblPr>
        <w:tblStyle w:val="Tablaconcuadrcula"/>
        <w:tblW w:w="0" w:type="auto"/>
        <w:tblLook w:val="04A0" w:firstRow="1" w:lastRow="0" w:firstColumn="1" w:lastColumn="0" w:noHBand="0" w:noVBand="1"/>
      </w:tblPr>
      <w:tblGrid>
        <w:gridCol w:w="3823"/>
        <w:gridCol w:w="1275"/>
        <w:gridCol w:w="2127"/>
        <w:gridCol w:w="1559"/>
      </w:tblGrid>
      <w:tr w:rsidR="00D31BF0" w:rsidRPr="007B55D7" w14:paraId="3D3CDAE8" w14:textId="77777777" w:rsidTr="008573B3">
        <w:tc>
          <w:tcPr>
            <w:tcW w:w="3823" w:type="dxa"/>
          </w:tcPr>
          <w:p w14:paraId="132FBC07" w14:textId="77777777" w:rsidR="00D31BF0" w:rsidRDefault="00D31BF0" w:rsidP="00CF779A">
            <w:pPr>
              <w:jc w:val="both"/>
              <w:rPr>
                <w:rFonts w:ascii="Tahoma" w:hAnsi="Tahoma" w:cs="Tahoma"/>
              </w:rPr>
            </w:pPr>
          </w:p>
        </w:tc>
        <w:tc>
          <w:tcPr>
            <w:tcW w:w="1275" w:type="dxa"/>
          </w:tcPr>
          <w:p w14:paraId="294D21E6" w14:textId="77777777" w:rsidR="00D31BF0" w:rsidRPr="007B55D7" w:rsidRDefault="00D31BF0" w:rsidP="00CF779A">
            <w:pPr>
              <w:jc w:val="center"/>
              <w:rPr>
                <w:rFonts w:ascii="Tahoma" w:hAnsi="Tahoma" w:cs="Tahoma"/>
                <w:sz w:val="20"/>
                <w:szCs w:val="20"/>
              </w:rPr>
            </w:pPr>
            <w:r>
              <w:rPr>
                <w:rFonts w:ascii="Tahoma" w:hAnsi="Tahoma" w:cs="Tahoma"/>
              </w:rPr>
              <w:t>Portafolio específico</w:t>
            </w:r>
          </w:p>
        </w:tc>
        <w:tc>
          <w:tcPr>
            <w:tcW w:w="2127" w:type="dxa"/>
          </w:tcPr>
          <w:p w14:paraId="0F1A47BA" w14:textId="77777777" w:rsidR="00D31BF0" w:rsidRPr="007B55D7" w:rsidRDefault="00D31BF0" w:rsidP="00CF779A">
            <w:pPr>
              <w:jc w:val="center"/>
              <w:rPr>
                <w:rFonts w:ascii="Tahoma" w:hAnsi="Tahoma" w:cs="Tahoma"/>
                <w:sz w:val="20"/>
                <w:szCs w:val="20"/>
              </w:rPr>
            </w:pPr>
            <w:r>
              <w:rPr>
                <w:rFonts w:ascii="Tahoma" w:hAnsi="Tahoma" w:cs="Tahoma"/>
              </w:rPr>
              <w:t>Portafolio de mínima varianza</w:t>
            </w:r>
          </w:p>
        </w:tc>
        <w:tc>
          <w:tcPr>
            <w:tcW w:w="1559" w:type="dxa"/>
          </w:tcPr>
          <w:p w14:paraId="7E3E75DF" w14:textId="77777777" w:rsidR="00D31BF0" w:rsidRPr="007B55D7" w:rsidRDefault="00D31BF0" w:rsidP="00CF779A">
            <w:pPr>
              <w:jc w:val="center"/>
              <w:rPr>
                <w:rFonts w:ascii="Tahoma" w:hAnsi="Tahoma" w:cs="Tahoma"/>
                <w:sz w:val="20"/>
                <w:szCs w:val="20"/>
              </w:rPr>
            </w:pPr>
            <w:r>
              <w:rPr>
                <w:rFonts w:ascii="Tahoma" w:hAnsi="Tahoma" w:cs="Tahoma"/>
              </w:rPr>
              <w:t>Portafolio tangente</w:t>
            </w:r>
          </w:p>
        </w:tc>
      </w:tr>
      <w:tr w:rsidR="00C032DD" w14:paraId="7C56A888" w14:textId="77777777" w:rsidTr="008573B3">
        <w:tc>
          <w:tcPr>
            <w:tcW w:w="3823" w:type="dxa"/>
          </w:tcPr>
          <w:p w14:paraId="62A6C986" w14:textId="77777777" w:rsidR="00C032DD" w:rsidRDefault="00C032DD" w:rsidP="00C032DD">
            <w:pPr>
              <w:jc w:val="both"/>
              <w:rPr>
                <w:rFonts w:ascii="Tahoma" w:hAnsi="Tahoma" w:cs="Tahoma"/>
              </w:rPr>
            </w:pPr>
            <w:r>
              <w:rPr>
                <w:rFonts w:ascii="Tahoma" w:hAnsi="Tahoma" w:cs="Tahoma"/>
              </w:rPr>
              <w:t>Rendimiento esperado anualizado</w:t>
            </w:r>
          </w:p>
        </w:tc>
        <w:tc>
          <w:tcPr>
            <w:tcW w:w="1275" w:type="dxa"/>
          </w:tcPr>
          <w:p w14:paraId="338E1251" w14:textId="37C1728B" w:rsidR="00C032DD" w:rsidRPr="00BC7CA2" w:rsidRDefault="00BC7CA2" w:rsidP="00BC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BC7CA2">
              <w:rPr>
                <w:rFonts w:ascii="Lucida Console" w:eastAsia="Times New Roman" w:hAnsi="Lucida Console" w:cs="Courier New"/>
                <w:color w:val="000000"/>
                <w:sz w:val="20"/>
                <w:szCs w:val="20"/>
                <w:bdr w:val="none" w:sz="0" w:space="0" w:color="auto" w:frame="1"/>
                <w:lang w:eastAsia="es-CO"/>
              </w:rPr>
              <w:t>-12</w:t>
            </w:r>
            <w:r w:rsidR="008573B3">
              <w:rPr>
                <w:rFonts w:ascii="Lucida Console" w:eastAsia="Times New Roman" w:hAnsi="Lucida Console" w:cs="Courier New"/>
                <w:color w:val="000000"/>
                <w:sz w:val="20"/>
                <w:szCs w:val="20"/>
                <w:bdr w:val="none" w:sz="0" w:space="0" w:color="auto" w:frame="1"/>
                <w:lang w:eastAsia="es-CO"/>
              </w:rPr>
              <w:t>,</w:t>
            </w:r>
            <w:r w:rsidRPr="00BC7CA2">
              <w:rPr>
                <w:rFonts w:ascii="Lucida Console" w:eastAsia="Times New Roman" w:hAnsi="Lucida Console" w:cs="Courier New"/>
                <w:color w:val="000000"/>
                <w:sz w:val="20"/>
                <w:szCs w:val="20"/>
                <w:bdr w:val="none" w:sz="0" w:space="0" w:color="auto" w:frame="1"/>
                <w:lang w:eastAsia="es-CO"/>
              </w:rPr>
              <w:t>12808</w:t>
            </w:r>
            <w:r w:rsidR="00C032DD">
              <w:rPr>
                <w:rFonts w:ascii="Tahoma" w:hAnsi="Tahoma" w:cs="Tahoma"/>
              </w:rPr>
              <w:t>%</w:t>
            </w:r>
          </w:p>
        </w:tc>
        <w:tc>
          <w:tcPr>
            <w:tcW w:w="2127" w:type="dxa"/>
          </w:tcPr>
          <w:p w14:paraId="6C6171D5" w14:textId="1A760117" w:rsidR="00C032DD" w:rsidRPr="00D609A4" w:rsidRDefault="008573B3" w:rsidP="00D60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8573B3">
              <w:rPr>
                <w:rFonts w:ascii="Lucida Console" w:eastAsia="Times New Roman" w:hAnsi="Lucida Console" w:cs="Courier New"/>
                <w:color w:val="000000"/>
                <w:sz w:val="20"/>
                <w:szCs w:val="20"/>
                <w:bdr w:val="none" w:sz="0" w:space="0" w:color="auto" w:frame="1"/>
                <w:lang w:eastAsia="es-CO"/>
              </w:rPr>
              <w:t>-1</w:t>
            </w:r>
            <w:r>
              <w:rPr>
                <w:rFonts w:ascii="Lucida Console" w:eastAsia="Times New Roman" w:hAnsi="Lucida Console" w:cs="Courier New"/>
                <w:color w:val="000000"/>
                <w:sz w:val="20"/>
                <w:szCs w:val="20"/>
                <w:bdr w:val="none" w:sz="0" w:space="0" w:color="auto" w:frame="1"/>
                <w:lang w:eastAsia="es-CO"/>
              </w:rPr>
              <w:t>,</w:t>
            </w:r>
            <w:r w:rsidRPr="008573B3">
              <w:rPr>
                <w:rFonts w:ascii="Lucida Console" w:eastAsia="Times New Roman" w:hAnsi="Lucida Console" w:cs="Courier New"/>
                <w:color w:val="000000"/>
                <w:sz w:val="20"/>
                <w:szCs w:val="20"/>
                <w:bdr w:val="none" w:sz="0" w:space="0" w:color="auto" w:frame="1"/>
                <w:lang w:eastAsia="es-CO"/>
              </w:rPr>
              <w:t>681746</w:t>
            </w:r>
            <w:r w:rsidR="00C032DD">
              <w:rPr>
                <w:rFonts w:ascii="Tahoma" w:hAnsi="Tahoma" w:cs="Tahoma"/>
              </w:rPr>
              <w:t>%</w:t>
            </w:r>
          </w:p>
        </w:tc>
        <w:tc>
          <w:tcPr>
            <w:tcW w:w="1559" w:type="dxa"/>
          </w:tcPr>
          <w:p w14:paraId="7158F25C" w14:textId="0EDB107F" w:rsidR="00C032DD" w:rsidRPr="00173C1C" w:rsidRDefault="00FC1A28" w:rsidP="00173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FC1A28">
              <w:rPr>
                <w:rFonts w:ascii="Lucida Console" w:eastAsia="Times New Roman" w:hAnsi="Lucida Console" w:cs="Courier New"/>
                <w:color w:val="000000"/>
                <w:sz w:val="20"/>
                <w:szCs w:val="20"/>
                <w:bdr w:val="none" w:sz="0" w:space="0" w:color="auto" w:frame="1"/>
                <w:lang w:eastAsia="es-CO"/>
              </w:rPr>
              <w:t>6</w:t>
            </w:r>
            <w:r w:rsidR="008573B3">
              <w:rPr>
                <w:rFonts w:ascii="Lucida Console" w:eastAsia="Times New Roman" w:hAnsi="Lucida Console" w:cs="Courier New"/>
                <w:color w:val="000000"/>
                <w:sz w:val="20"/>
                <w:szCs w:val="20"/>
                <w:bdr w:val="none" w:sz="0" w:space="0" w:color="auto" w:frame="1"/>
                <w:lang w:eastAsia="es-CO"/>
              </w:rPr>
              <w:t>,</w:t>
            </w:r>
            <w:r w:rsidRPr="00FC1A28">
              <w:rPr>
                <w:rFonts w:ascii="Lucida Console" w:eastAsia="Times New Roman" w:hAnsi="Lucida Console" w:cs="Courier New"/>
                <w:color w:val="000000"/>
                <w:sz w:val="20"/>
                <w:szCs w:val="20"/>
                <w:bdr w:val="none" w:sz="0" w:space="0" w:color="auto" w:frame="1"/>
                <w:lang w:eastAsia="es-CO"/>
              </w:rPr>
              <w:t>41166</w:t>
            </w:r>
            <w:r w:rsidR="00C032DD">
              <w:rPr>
                <w:rFonts w:ascii="Tahoma" w:hAnsi="Tahoma" w:cs="Tahoma"/>
              </w:rPr>
              <w:t>%</w:t>
            </w:r>
          </w:p>
        </w:tc>
      </w:tr>
      <w:tr w:rsidR="00C032DD" w14:paraId="0B18398D" w14:textId="77777777" w:rsidTr="008573B3">
        <w:tc>
          <w:tcPr>
            <w:tcW w:w="3823" w:type="dxa"/>
          </w:tcPr>
          <w:p w14:paraId="238C6604" w14:textId="77777777" w:rsidR="00C032DD" w:rsidRDefault="00C032DD" w:rsidP="00C032DD">
            <w:pPr>
              <w:jc w:val="both"/>
              <w:rPr>
                <w:rFonts w:ascii="Tahoma" w:hAnsi="Tahoma" w:cs="Tahoma"/>
              </w:rPr>
            </w:pPr>
            <w:r>
              <w:rPr>
                <w:rFonts w:ascii="Tahoma" w:hAnsi="Tahoma" w:cs="Tahoma"/>
              </w:rPr>
              <w:t>Volatilidad anualizada</w:t>
            </w:r>
          </w:p>
        </w:tc>
        <w:tc>
          <w:tcPr>
            <w:tcW w:w="1275" w:type="dxa"/>
          </w:tcPr>
          <w:p w14:paraId="5C325DA0" w14:textId="24517B20" w:rsidR="00C032DD" w:rsidRPr="00BC7CA2" w:rsidRDefault="00BC7CA2" w:rsidP="00BC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BC7CA2">
              <w:rPr>
                <w:rFonts w:ascii="Lucida Console" w:eastAsia="Times New Roman" w:hAnsi="Lucida Console" w:cs="Courier New"/>
                <w:color w:val="000000"/>
                <w:sz w:val="20"/>
                <w:szCs w:val="20"/>
                <w:bdr w:val="none" w:sz="0" w:space="0" w:color="auto" w:frame="1"/>
                <w:lang w:eastAsia="es-CO"/>
              </w:rPr>
              <w:t>26</w:t>
            </w:r>
            <w:r w:rsidR="008573B3">
              <w:rPr>
                <w:rFonts w:ascii="Lucida Console" w:eastAsia="Times New Roman" w:hAnsi="Lucida Console" w:cs="Courier New"/>
                <w:color w:val="000000"/>
                <w:sz w:val="20"/>
                <w:szCs w:val="20"/>
                <w:bdr w:val="none" w:sz="0" w:space="0" w:color="auto" w:frame="1"/>
                <w:lang w:eastAsia="es-CO"/>
              </w:rPr>
              <w:t>,</w:t>
            </w:r>
            <w:r w:rsidRPr="00BC7CA2">
              <w:rPr>
                <w:rFonts w:ascii="Lucida Console" w:eastAsia="Times New Roman" w:hAnsi="Lucida Console" w:cs="Courier New"/>
                <w:color w:val="000000"/>
                <w:sz w:val="20"/>
                <w:szCs w:val="20"/>
                <w:bdr w:val="none" w:sz="0" w:space="0" w:color="auto" w:frame="1"/>
                <w:lang w:eastAsia="es-CO"/>
              </w:rPr>
              <w:t>0398</w:t>
            </w:r>
            <w:r w:rsidR="00C032DD">
              <w:rPr>
                <w:rFonts w:ascii="Tahoma" w:hAnsi="Tahoma" w:cs="Tahoma"/>
              </w:rPr>
              <w:t>%</w:t>
            </w:r>
          </w:p>
        </w:tc>
        <w:tc>
          <w:tcPr>
            <w:tcW w:w="2127" w:type="dxa"/>
          </w:tcPr>
          <w:p w14:paraId="133EA97B" w14:textId="32EAD8FF" w:rsidR="00C032DD" w:rsidRPr="00D609A4" w:rsidRDefault="00D609A4" w:rsidP="00D609A4">
            <w:pPr>
              <w:pStyle w:val="HTMLconformatoprevio"/>
              <w:shd w:val="clear" w:color="auto" w:fill="FFFFFF"/>
              <w:wordWrap w:val="0"/>
              <w:rPr>
                <w:rFonts w:ascii="Lucida Console" w:hAnsi="Lucida Console"/>
                <w:color w:val="000000"/>
              </w:rPr>
            </w:pPr>
            <w:r w:rsidRPr="00D609A4">
              <w:rPr>
                <w:rFonts w:ascii="Lucida Console" w:hAnsi="Lucida Console"/>
                <w:color w:val="000000"/>
                <w:bdr w:val="none" w:sz="0" w:space="0" w:color="auto" w:frame="1"/>
              </w:rPr>
              <w:t>16</w:t>
            </w:r>
            <w:r w:rsidR="008573B3">
              <w:rPr>
                <w:rFonts w:ascii="Lucida Console" w:hAnsi="Lucida Console"/>
                <w:color w:val="000000"/>
                <w:bdr w:val="none" w:sz="0" w:space="0" w:color="auto" w:frame="1"/>
              </w:rPr>
              <w:t>,</w:t>
            </w:r>
            <w:r w:rsidRPr="00D609A4">
              <w:rPr>
                <w:rFonts w:ascii="Lucida Console" w:hAnsi="Lucida Console"/>
                <w:color w:val="000000"/>
                <w:bdr w:val="none" w:sz="0" w:space="0" w:color="auto" w:frame="1"/>
              </w:rPr>
              <w:t>67609</w:t>
            </w:r>
            <w:r w:rsidR="00C032DD">
              <w:rPr>
                <w:rFonts w:ascii="Tahoma" w:hAnsi="Tahoma" w:cs="Tahoma"/>
              </w:rPr>
              <w:t>%</w:t>
            </w:r>
          </w:p>
        </w:tc>
        <w:tc>
          <w:tcPr>
            <w:tcW w:w="1559" w:type="dxa"/>
          </w:tcPr>
          <w:p w14:paraId="65F88BCE" w14:textId="2ECFD414" w:rsidR="00C032DD" w:rsidRPr="00173C1C" w:rsidRDefault="00FC1A28" w:rsidP="00173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FC1A28">
              <w:rPr>
                <w:rFonts w:ascii="Lucida Console" w:eastAsia="Times New Roman" w:hAnsi="Lucida Console" w:cs="Courier New"/>
                <w:color w:val="000000"/>
                <w:sz w:val="20"/>
                <w:szCs w:val="20"/>
                <w:bdr w:val="none" w:sz="0" w:space="0" w:color="auto" w:frame="1"/>
                <w:lang w:eastAsia="es-CO"/>
              </w:rPr>
              <w:t>19</w:t>
            </w:r>
            <w:r w:rsidR="008573B3">
              <w:rPr>
                <w:rFonts w:ascii="Lucida Console" w:eastAsia="Times New Roman" w:hAnsi="Lucida Console" w:cs="Courier New"/>
                <w:color w:val="000000"/>
                <w:sz w:val="20"/>
                <w:szCs w:val="20"/>
                <w:bdr w:val="none" w:sz="0" w:space="0" w:color="auto" w:frame="1"/>
                <w:lang w:eastAsia="es-CO"/>
              </w:rPr>
              <w:t>,</w:t>
            </w:r>
            <w:r w:rsidRPr="00FC1A28">
              <w:rPr>
                <w:rFonts w:ascii="Lucida Console" w:eastAsia="Times New Roman" w:hAnsi="Lucida Console" w:cs="Courier New"/>
                <w:color w:val="000000"/>
                <w:sz w:val="20"/>
                <w:szCs w:val="20"/>
                <w:bdr w:val="none" w:sz="0" w:space="0" w:color="auto" w:frame="1"/>
                <w:lang w:eastAsia="es-CO"/>
              </w:rPr>
              <w:t>9126</w:t>
            </w:r>
            <w:r w:rsidR="00C032DD">
              <w:rPr>
                <w:rFonts w:ascii="Tahoma" w:hAnsi="Tahoma" w:cs="Tahoma"/>
              </w:rPr>
              <w:t>%</w:t>
            </w:r>
          </w:p>
        </w:tc>
      </w:tr>
      <w:tr w:rsidR="00D31BF0" w14:paraId="423D14D3" w14:textId="77777777" w:rsidTr="008573B3">
        <w:tc>
          <w:tcPr>
            <w:tcW w:w="3823" w:type="dxa"/>
          </w:tcPr>
          <w:p w14:paraId="3B649649" w14:textId="77777777" w:rsidR="00D31BF0" w:rsidRDefault="0009440F" w:rsidP="00CF779A">
            <w:pPr>
              <w:jc w:val="both"/>
              <w:rPr>
                <w:rFonts w:ascii="Tahoma" w:hAnsi="Tahoma" w:cs="Tahoma"/>
              </w:rPr>
            </w:pPr>
            <w:r>
              <w:rPr>
                <w:rFonts w:ascii="Tahoma" w:hAnsi="Tahoma" w:cs="Tahoma"/>
              </w:rPr>
              <w:t>Beta</w:t>
            </w:r>
          </w:p>
        </w:tc>
        <w:tc>
          <w:tcPr>
            <w:tcW w:w="1275" w:type="dxa"/>
          </w:tcPr>
          <w:p w14:paraId="1CE653FA" w14:textId="526CD4AA" w:rsidR="00D31BF0" w:rsidRPr="00BC7CA2" w:rsidRDefault="00BC7CA2" w:rsidP="00BC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BC7CA2">
              <w:rPr>
                <w:rFonts w:ascii="Lucida Console" w:eastAsia="Times New Roman" w:hAnsi="Lucida Console" w:cs="Courier New"/>
                <w:color w:val="000000"/>
                <w:sz w:val="20"/>
                <w:szCs w:val="20"/>
                <w:bdr w:val="none" w:sz="0" w:space="0" w:color="auto" w:frame="1"/>
                <w:lang w:eastAsia="es-CO"/>
              </w:rPr>
              <w:t>1.244</w:t>
            </w:r>
          </w:p>
        </w:tc>
        <w:tc>
          <w:tcPr>
            <w:tcW w:w="2127" w:type="dxa"/>
          </w:tcPr>
          <w:p w14:paraId="4B304F0C" w14:textId="16C85C88" w:rsidR="00D31BF0" w:rsidRPr="00D609A4" w:rsidRDefault="00D609A4" w:rsidP="00D60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D609A4">
              <w:rPr>
                <w:rFonts w:ascii="Lucida Console" w:eastAsia="Times New Roman" w:hAnsi="Lucida Console" w:cs="Courier New"/>
                <w:color w:val="000000"/>
                <w:sz w:val="20"/>
                <w:szCs w:val="20"/>
                <w:bdr w:val="none" w:sz="0" w:space="0" w:color="auto" w:frame="1"/>
                <w:lang w:eastAsia="es-CO"/>
              </w:rPr>
              <w:t>0.7986564</w:t>
            </w:r>
          </w:p>
        </w:tc>
        <w:tc>
          <w:tcPr>
            <w:tcW w:w="1559" w:type="dxa"/>
          </w:tcPr>
          <w:p w14:paraId="1755662A" w14:textId="7AE55F2C" w:rsidR="00D31BF0" w:rsidRPr="00173C1C" w:rsidRDefault="00173C1C" w:rsidP="00D60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173C1C">
              <w:rPr>
                <w:rFonts w:ascii="Lucida Console" w:eastAsia="Times New Roman" w:hAnsi="Lucida Console" w:cs="Courier New"/>
                <w:color w:val="000000"/>
                <w:sz w:val="20"/>
                <w:szCs w:val="20"/>
                <w:bdr w:val="none" w:sz="0" w:space="0" w:color="auto" w:frame="1"/>
                <w:lang w:eastAsia="es-CO"/>
              </w:rPr>
              <w:t>0.6556353</w:t>
            </w:r>
          </w:p>
        </w:tc>
      </w:tr>
      <w:tr w:rsidR="00C032DD" w14:paraId="742708F2" w14:textId="77777777" w:rsidTr="008573B3">
        <w:tc>
          <w:tcPr>
            <w:tcW w:w="3823" w:type="dxa"/>
          </w:tcPr>
          <w:p w14:paraId="3C54CC01" w14:textId="77777777" w:rsidR="00C032DD" w:rsidRDefault="00C032DD" w:rsidP="00C032DD">
            <w:pPr>
              <w:jc w:val="both"/>
              <w:rPr>
                <w:rFonts w:ascii="Tahoma" w:hAnsi="Tahoma" w:cs="Tahoma"/>
              </w:rPr>
            </w:pPr>
            <w:r>
              <w:rPr>
                <w:rFonts w:ascii="Tahoma" w:hAnsi="Tahoma" w:cs="Tahoma"/>
              </w:rPr>
              <w:t>CAPM anualizado</w:t>
            </w:r>
          </w:p>
        </w:tc>
        <w:tc>
          <w:tcPr>
            <w:tcW w:w="1275" w:type="dxa"/>
          </w:tcPr>
          <w:p w14:paraId="1C2304AD" w14:textId="14112675" w:rsidR="00C032DD" w:rsidRPr="00BC7CA2" w:rsidRDefault="003A22A5" w:rsidP="00BC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14</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11393</w:t>
            </w:r>
            <w:r w:rsidR="00F36119">
              <w:rPr>
                <w:rFonts w:ascii="Lucida Console" w:eastAsia="Times New Roman" w:hAnsi="Lucida Console" w:cs="Courier New"/>
                <w:color w:val="000000"/>
                <w:sz w:val="20"/>
                <w:szCs w:val="20"/>
                <w:bdr w:val="none" w:sz="0" w:space="0" w:color="auto" w:frame="1"/>
                <w:lang w:eastAsia="es-CO"/>
              </w:rPr>
              <w:t>%</w:t>
            </w:r>
          </w:p>
        </w:tc>
        <w:tc>
          <w:tcPr>
            <w:tcW w:w="2127" w:type="dxa"/>
          </w:tcPr>
          <w:p w14:paraId="0677312D" w14:textId="09CDAFE5" w:rsidR="00C032DD" w:rsidRPr="00D609A4" w:rsidRDefault="003A22A5" w:rsidP="00D60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9</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296025</w:t>
            </w:r>
            <w:r w:rsidR="00F36119">
              <w:rPr>
                <w:rFonts w:ascii="Lucida Console" w:eastAsia="Times New Roman" w:hAnsi="Lucida Console" w:cs="Courier New"/>
                <w:color w:val="000000"/>
                <w:sz w:val="20"/>
                <w:szCs w:val="20"/>
                <w:bdr w:val="none" w:sz="0" w:space="0" w:color="auto" w:frame="1"/>
                <w:lang w:eastAsia="es-CO"/>
              </w:rPr>
              <w:t>%</w:t>
            </w:r>
          </w:p>
        </w:tc>
        <w:tc>
          <w:tcPr>
            <w:tcW w:w="1559" w:type="dxa"/>
          </w:tcPr>
          <w:p w14:paraId="25A63409" w14:textId="4EC9CFFF" w:rsidR="00C032DD" w:rsidRPr="00173C1C" w:rsidRDefault="003A22A5" w:rsidP="00173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7</w:t>
            </w:r>
            <w:r>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748767</w:t>
            </w:r>
            <w:r w:rsidR="00C032DD">
              <w:rPr>
                <w:rFonts w:ascii="Tahoma" w:hAnsi="Tahoma" w:cs="Tahoma"/>
              </w:rPr>
              <w:t>%</w:t>
            </w:r>
          </w:p>
        </w:tc>
      </w:tr>
      <w:tr w:rsidR="00C032DD" w14:paraId="7B59D4CF" w14:textId="77777777" w:rsidTr="008573B3">
        <w:tc>
          <w:tcPr>
            <w:tcW w:w="3823" w:type="dxa"/>
          </w:tcPr>
          <w:p w14:paraId="188F174A" w14:textId="77777777" w:rsidR="00C032DD" w:rsidRDefault="00C032DD" w:rsidP="00C032DD">
            <w:pPr>
              <w:jc w:val="both"/>
              <w:rPr>
                <w:rFonts w:ascii="Tahoma" w:hAnsi="Tahoma" w:cs="Tahoma"/>
              </w:rPr>
            </w:pPr>
            <w:r>
              <w:rPr>
                <w:rFonts w:ascii="Tahoma" w:hAnsi="Tahoma" w:cs="Tahoma"/>
              </w:rPr>
              <w:t>Ratio de Sharpe anualizado</w:t>
            </w:r>
          </w:p>
        </w:tc>
        <w:tc>
          <w:tcPr>
            <w:tcW w:w="1275" w:type="dxa"/>
          </w:tcPr>
          <w:p w14:paraId="447D3099" w14:textId="0066A09B" w:rsidR="00C032DD" w:rsidRPr="00F52874" w:rsidRDefault="003A22A5" w:rsidP="00F5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-49</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09379</w:t>
            </w:r>
            <w:r w:rsidR="00F36119">
              <w:rPr>
                <w:rFonts w:ascii="Lucida Console" w:eastAsia="Times New Roman" w:hAnsi="Lucida Console" w:cs="Courier New"/>
                <w:color w:val="000000"/>
                <w:sz w:val="20"/>
                <w:szCs w:val="20"/>
                <w:bdr w:val="none" w:sz="0" w:space="0" w:color="auto" w:frame="1"/>
                <w:lang w:eastAsia="es-CO"/>
              </w:rPr>
              <w:t>%</w:t>
            </w:r>
          </w:p>
        </w:tc>
        <w:tc>
          <w:tcPr>
            <w:tcW w:w="2127" w:type="dxa"/>
          </w:tcPr>
          <w:p w14:paraId="05649656" w14:textId="778C388A" w:rsidR="003A22A5" w:rsidRPr="003A22A5" w:rsidRDefault="003A22A5" w:rsidP="003A2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-14</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01762</w:t>
            </w:r>
            <w:r w:rsidR="00F36119">
              <w:rPr>
                <w:rFonts w:ascii="Lucida Console" w:eastAsia="Times New Roman" w:hAnsi="Lucida Console" w:cs="Courier New"/>
                <w:color w:val="000000"/>
                <w:sz w:val="20"/>
                <w:szCs w:val="20"/>
                <w:bdr w:val="none" w:sz="0" w:space="0" w:color="auto" w:frame="1"/>
                <w:lang w:eastAsia="es-CO"/>
              </w:rPr>
              <w:t>%</w:t>
            </w:r>
          </w:p>
          <w:p w14:paraId="11BE38B3" w14:textId="2F535E2D" w:rsidR="00C032DD" w:rsidRPr="00F52874" w:rsidRDefault="00C032DD" w:rsidP="00F5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p>
        </w:tc>
        <w:tc>
          <w:tcPr>
            <w:tcW w:w="1559" w:type="dxa"/>
          </w:tcPr>
          <w:p w14:paraId="42A962D4" w14:textId="319F32BD" w:rsidR="003A22A5" w:rsidRPr="003A22A5" w:rsidRDefault="003A22A5" w:rsidP="003A22A5">
            <w:pPr>
              <w:pStyle w:val="HTMLconformatoprevio"/>
              <w:shd w:val="clear" w:color="auto" w:fill="FFFFFF"/>
              <w:wordWrap w:val="0"/>
              <w:rPr>
                <w:rFonts w:ascii="Lucida Console" w:hAnsi="Lucida Console"/>
                <w:color w:val="000000"/>
              </w:rPr>
            </w:pPr>
            <w:r w:rsidRPr="003A22A5">
              <w:rPr>
                <w:rFonts w:ascii="Lucida Console" w:hAnsi="Lucida Console"/>
                <w:color w:val="000000"/>
                <w:bdr w:val="none" w:sz="0" w:space="0" w:color="auto" w:frame="1"/>
              </w:rPr>
              <w:t>28</w:t>
            </w:r>
            <w:r w:rsidR="00F36119">
              <w:rPr>
                <w:rFonts w:ascii="Lucida Console" w:hAnsi="Lucida Console"/>
                <w:color w:val="000000"/>
                <w:bdr w:val="none" w:sz="0" w:space="0" w:color="auto" w:frame="1"/>
              </w:rPr>
              <w:t>,</w:t>
            </w:r>
            <w:r w:rsidRPr="003A22A5">
              <w:rPr>
                <w:rFonts w:ascii="Lucida Console" w:hAnsi="Lucida Console"/>
                <w:color w:val="000000"/>
                <w:bdr w:val="none" w:sz="0" w:space="0" w:color="auto" w:frame="1"/>
              </w:rPr>
              <w:t>90538</w:t>
            </w:r>
            <w:r w:rsidR="00F36119">
              <w:rPr>
                <w:rFonts w:ascii="Lucida Console" w:hAnsi="Lucida Console"/>
                <w:color w:val="000000"/>
                <w:bdr w:val="none" w:sz="0" w:space="0" w:color="auto" w:frame="1"/>
              </w:rPr>
              <w:t>%</w:t>
            </w:r>
          </w:p>
          <w:p w14:paraId="4991D9B5" w14:textId="77413867" w:rsidR="00C032DD" w:rsidRPr="00F52874" w:rsidRDefault="00C032DD" w:rsidP="00F5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p>
        </w:tc>
      </w:tr>
      <w:tr w:rsidR="00C032DD" w14:paraId="02FBD92A" w14:textId="77777777" w:rsidTr="008573B3">
        <w:tc>
          <w:tcPr>
            <w:tcW w:w="3823" w:type="dxa"/>
          </w:tcPr>
          <w:p w14:paraId="40460428" w14:textId="77777777" w:rsidR="00C032DD" w:rsidRDefault="00C032DD" w:rsidP="00C032DD">
            <w:pPr>
              <w:jc w:val="both"/>
              <w:rPr>
                <w:rFonts w:ascii="Tahoma" w:hAnsi="Tahoma" w:cs="Tahoma"/>
              </w:rPr>
            </w:pPr>
            <w:r>
              <w:rPr>
                <w:rFonts w:ascii="Tahoma" w:hAnsi="Tahoma" w:cs="Tahoma"/>
              </w:rPr>
              <w:t>Ratio de Treynor anualizado</w:t>
            </w:r>
          </w:p>
        </w:tc>
        <w:tc>
          <w:tcPr>
            <w:tcW w:w="1275" w:type="dxa"/>
          </w:tcPr>
          <w:p w14:paraId="591A4F37" w14:textId="16F50E8F" w:rsidR="00C032DD" w:rsidRPr="00F52874" w:rsidRDefault="003A22A5" w:rsidP="00F5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-10</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27647</w:t>
            </w:r>
            <w:r w:rsidR="00F36119">
              <w:rPr>
                <w:rFonts w:ascii="Lucida Console" w:eastAsia="Times New Roman" w:hAnsi="Lucida Console" w:cs="Courier New"/>
                <w:color w:val="000000"/>
                <w:sz w:val="20"/>
                <w:szCs w:val="20"/>
                <w:bdr w:val="none" w:sz="0" w:space="0" w:color="auto" w:frame="1"/>
                <w:lang w:eastAsia="es-CO"/>
              </w:rPr>
              <w:t>%</w:t>
            </w:r>
          </w:p>
        </w:tc>
        <w:tc>
          <w:tcPr>
            <w:tcW w:w="2127" w:type="dxa"/>
          </w:tcPr>
          <w:p w14:paraId="54346C9F" w14:textId="7A6CEEE5" w:rsidR="003A22A5" w:rsidRPr="003A22A5" w:rsidRDefault="003A22A5" w:rsidP="003A2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-2</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926904</w:t>
            </w:r>
            <w:r w:rsidR="00F36119">
              <w:rPr>
                <w:rFonts w:ascii="Lucida Console" w:eastAsia="Times New Roman" w:hAnsi="Lucida Console" w:cs="Courier New"/>
                <w:color w:val="000000"/>
                <w:sz w:val="20"/>
                <w:szCs w:val="20"/>
                <w:bdr w:val="none" w:sz="0" w:space="0" w:color="auto" w:frame="1"/>
                <w:lang w:eastAsia="es-CO"/>
              </w:rPr>
              <w:t>%</w:t>
            </w:r>
          </w:p>
          <w:p w14:paraId="615DE544" w14:textId="3166400F" w:rsidR="00C032DD" w:rsidRPr="00F52874" w:rsidRDefault="00C032DD" w:rsidP="00F5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p>
        </w:tc>
        <w:tc>
          <w:tcPr>
            <w:tcW w:w="1559" w:type="dxa"/>
          </w:tcPr>
          <w:p w14:paraId="2CFDEB85" w14:textId="1EA437DD" w:rsidR="003A22A5" w:rsidRPr="003A22A5" w:rsidRDefault="003A22A5" w:rsidP="003A2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8</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778996</w:t>
            </w:r>
            <w:r w:rsidR="00F36119">
              <w:rPr>
                <w:rFonts w:ascii="Lucida Console" w:eastAsia="Times New Roman" w:hAnsi="Lucida Console" w:cs="Courier New"/>
                <w:color w:val="000000"/>
                <w:sz w:val="20"/>
                <w:szCs w:val="20"/>
                <w:bdr w:val="none" w:sz="0" w:space="0" w:color="auto" w:frame="1"/>
                <w:lang w:eastAsia="es-CO"/>
              </w:rPr>
              <w:t>%</w:t>
            </w:r>
          </w:p>
          <w:p w14:paraId="6A315E4E" w14:textId="00F75ED6" w:rsidR="00C032DD" w:rsidRPr="00F52874" w:rsidRDefault="00C032DD" w:rsidP="00F5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p>
        </w:tc>
      </w:tr>
      <w:tr w:rsidR="00C032DD" w14:paraId="124CCCAA" w14:textId="77777777" w:rsidTr="008573B3">
        <w:tc>
          <w:tcPr>
            <w:tcW w:w="3823" w:type="dxa"/>
          </w:tcPr>
          <w:p w14:paraId="12C6D948" w14:textId="77777777" w:rsidR="00C032DD" w:rsidRDefault="00C032DD" w:rsidP="00C032DD">
            <w:pPr>
              <w:jc w:val="both"/>
              <w:rPr>
                <w:rFonts w:ascii="Tahoma" w:hAnsi="Tahoma" w:cs="Tahoma"/>
              </w:rPr>
            </w:pPr>
            <w:r>
              <w:rPr>
                <w:rFonts w:ascii="Tahoma" w:hAnsi="Tahoma" w:cs="Tahoma"/>
              </w:rPr>
              <w:t>Alfa de Jensen anualizado</w:t>
            </w:r>
          </w:p>
        </w:tc>
        <w:tc>
          <w:tcPr>
            <w:tcW w:w="1275" w:type="dxa"/>
          </w:tcPr>
          <w:p w14:paraId="718A5B66" w14:textId="481EB0A3" w:rsidR="00C032DD" w:rsidRPr="00F52874" w:rsidRDefault="003A22A5" w:rsidP="00F5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-26</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24201</w:t>
            </w:r>
            <w:r w:rsidR="00F36119">
              <w:rPr>
                <w:rFonts w:ascii="Lucida Console" w:eastAsia="Times New Roman" w:hAnsi="Lucida Console" w:cs="Courier New"/>
                <w:color w:val="000000"/>
                <w:sz w:val="20"/>
                <w:szCs w:val="20"/>
                <w:bdr w:val="none" w:sz="0" w:space="0" w:color="auto" w:frame="1"/>
                <w:lang w:eastAsia="es-CO"/>
              </w:rPr>
              <w:t>%</w:t>
            </w:r>
          </w:p>
        </w:tc>
        <w:tc>
          <w:tcPr>
            <w:tcW w:w="2127" w:type="dxa"/>
          </w:tcPr>
          <w:p w14:paraId="13876AD0" w14:textId="48DEB459" w:rsidR="003A22A5" w:rsidRPr="003A22A5" w:rsidRDefault="003A22A5" w:rsidP="003A2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-10</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97777</w:t>
            </w:r>
            <w:r w:rsidR="00F36119">
              <w:rPr>
                <w:rFonts w:ascii="Lucida Console" w:eastAsia="Times New Roman" w:hAnsi="Lucida Console" w:cs="Courier New"/>
                <w:color w:val="000000"/>
                <w:sz w:val="20"/>
                <w:szCs w:val="20"/>
                <w:bdr w:val="none" w:sz="0" w:space="0" w:color="auto" w:frame="1"/>
                <w:lang w:eastAsia="es-CO"/>
              </w:rPr>
              <w:t>%</w:t>
            </w:r>
          </w:p>
          <w:p w14:paraId="63E14A65" w14:textId="3AB444E9" w:rsidR="00C032DD" w:rsidRPr="00F52874" w:rsidRDefault="00C032DD" w:rsidP="00F5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p>
        </w:tc>
        <w:tc>
          <w:tcPr>
            <w:tcW w:w="1559" w:type="dxa"/>
          </w:tcPr>
          <w:p w14:paraId="5190D1EF" w14:textId="6B9670C5" w:rsidR="003A22A5" w:rsidRPr="003A22A5" w:rsidRDefault="003A22A5" w:rsidP="003A2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r w:rsidRPr="003A22A5">
              <w:rPr>
                <w:rFonts w:ascii="Lucida Console" w:eastAsia="Times New Roman" w:hAnsi="Lucida Console" w:cs="Courier New"/>
                <w:color w:val="000000"/>
                <w:sz w:val="20"/>
                <w:szCs w:val="20"/>
                <w:bdr w:val="none" w:sz="0" w:space="0" w:color="auto" w:frame="1"/>
                <w:lang w:eastAsia="es-CO"/>
              </w:rPr>
              <w:t>-1</w:t>
            </w:r>
            <w:r w:rsidR="00F36119">
              <w:rPr>
                <w:rFonts w:ascii="Lucida Console" w:eastAsia="Times New Roman" w:hAnsi="Lucida Console" w:cs="Courier New"/>
                <w:color w:val="000000"/>
                <w:sz w:val="20"/>
                <w:szCs w:val="20"/>
                <w:bdr w:val="none" w:sz="0" w:space="0" w:color="auto" w:frame="1"/>
                <w:lang w:eastAsia="es-CO"/>
              </w:rPr>
              <w:t>,</w:t>
            </w:r>
            <w:r w:rsidRPr="003A22A5">
              <w:rPr>
                <w:rFonts w:ascii="Lucida Console" w:eastAsia="Times New Roman" w:hAnsi="Lucida Console" w:cs="Courier New"/>
                <w:color w:val="000000"/>
                <w:sz w:val="20"/>
                <w:szCs w:val="20"/>
                <w:bdr w:val="none" w:sz="0" w:space="0" w:color="auto" w:frame="1"/>
                <w:lang w:eastAsia="es-CO"/>
              </w:rPr>
              <w:t>337102</w:t>
            </w:r>
            <w:r w:rsidR="00F36119">
              <w:rPr>
                <w:rFonts w:ascii="Lucida Console" w:eastAsia="Times New Roman" w:hAnsi="Lucida Console" w:cs="Courier New"/>
                <w:color w:val="000000"/>
                <w:sz w:val="20"/>
                <w:szCs w:val="20"/>
                <w:bdr w:val="none" w:sz="0" w:space="0" w:color="auto" w:frame="1"/>
                <w:lang w:eastAsia="es-CO"/>
              </w:rPr>
              <w:t>%</w:t>
            </w:r>
          </w:p>
          <w:p w14:paraId="54EFE5B9" w14:textId="24411480" w:rsidR="00C032DD" w:rsidRPr="00F52874" w:rsidRDefault="00C032DD" w:rsidP="00F5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CO"/>
              </w:rPr>
            </w:pPr>
          </w:p>
        </w:tc>
      </w:tr>
    </w:tbl>
    <w:p w14:paraId="27546329" w14:textId="0E8AF325" w:rsidR="00D31BF0" w:rsidRDefault="00554534" w:rsidP="00D31BF0">
      <w:pPr>
        <w:jc w:val="center"/>
        <w:rPr>
          <w:rFonts w:ascii="Tahoma" w:hAnsi="Tahoma" w:cs="Tahoma"/>
        </w:rPr>
      </w:pPr>
      <w:r>
        <w:rPr>
          <w:rFonts w:ascii="Tahoma" w:hAnsi="Tahoma" w:cs="Tahoma"/>
        </w:rPr>
        <w:t xml:space="preserve"> </w:t>
      </w:r>
    </w:p>
    <w:p w14:paraId="6B6CE7B8" w14:textId="77777777" w:rsidR="00D31BF0" w:rsidRDefault="00563F51" w:rsidP="00563F51">
      <w:pPr>
        <w:jc w:val="both"/>
        <w:rPr>
          <w:rFonts w:ascii="Tahoma" w:hAnsi="Tahoma" w:cs="Tahoma"/>
        </w:rPr>
      </w:pPr>
      <w:r>
        <w:rPr>
          <w:rFonts w:ascii="Tahoma" w:hAnsi="Tahoma" w:cs="Tahoma"/>
        </w:rPr>
        <w:t xml:space="preserve">Los resultados de la tabla anterior son obtenidos con rendimientos continuos, exceptuando el Beta de los portafolios porque </w:t>
      </w:r>
      <w:r w:rsidR="008D4BF6">
        <w:rPr>
          <w:rFonts w:ascii="Tahoma" w:hAnsi="Tahoma" w:cs="Tahoma"/>
        </w:rPr>
        <w:t>s</w:t>
      </w:r>
      <w:r>
        <w:rPr>
          <w:rFonts w:ascii="Tahoma" w:hAnsi="Tahoma" w:cs="Tahoma"/>
        </w:rPr>
        <w:t xml:space="preserve">on calculados con los Betas de las acciones con rendimientos aritméticos (discretos). </w:t>
      </w:r>
    </w:p>
    <w:p w14:paraId="4C027727" w14:textId="1540B048" w:rsidR="00D31BF0" w:rsidRDefault="00B958F7" w:rsidP="00BB2403">
      <w:pPr>
        <w:rPr>
          <w:rFonts w:ascii="Tahoma" w:hAnsi="Tahoma" w:cs="Tahoma"/>
        </w:rPr>
      </w:pPr>
      <w:r>
        <w:rPr>
          <w:rFonts w:ascii="Tahoma" w:hAnsi="Tahoma" w:cs="Tahoma"/>
        </w:rPr>
        <w:t xml:space="preserve">Como se dijo, el portafolio de mínima varianza le da una proporción de 0 a la acción AAL, mientras que el portafolio tangente le da todo el peso, es decir, el 100% del peso de inversión a la acción PFE, lo cual es lógico ya que es la única con rendimientos esperados positivos. El portafolio especifico por su parte tiene una distribución de proporciones más cercana al reparto equitativo de proporciones en todas las acciones ya que viene del trabajo 1 y estas proporciones fueron asignadas arbitrariamente. </w:t>
      </w:r>
    </w:p>
    <w:p w14:paraId="6DB76C6E" w14:textId="46704498" w:rsidR="00B958F7" w:rsidRDefault="00B958F7" w:rsidP="00BB2403">
      <w:pPr>
        <w:rPr>
          <w:rFonts w:ascii="Tahoma" w:hAnsi="Tahoma" w:cs="Tahoma"/>
        </w:rPr>
      </w:pPr>
      <w:r>
        <w:rPr>
          <w:rFonts w:ascii="Tahoma" w:hAnsi="Tahoma" w:cs="Tahoma"/>
        </w:rPr>
        <w:t xml:space="preserve">Respecto al rendimiento esperado anualizado, el único con valor positivo es el portafolio tangente. El portafolio especifico, se podría decir que tiene el peor valor en cuanto a rendimiento. Respecto a la volatilidad, es bastante obvio que el portafolio con menor volatilidad se ale portafolio de mínima varianza, ya que fue según este criterio con el que se eligieron estas proporciones. </w:t>
      </w:r>
    </w:p>
    <w:p w14:paraId="5C045AAD" w14:textId="56843C64" w:rsidR="00B958F7" w:rsidRDefault="00B958F7" w:rsidP="00BB2403">
      <w:pPr>
        <w:rPr>
          <w:rFonts w:ascii="Tahoma" w:hAnsi="Tahoma" w:cs="Tahoma"/>
        </w:rPr>
      </w:pPr>
      <w:r>
        <w:rPr>
          <w:rFonts w:ascii="Tahoma" w:hAnsi="Tahoma" w:cs="Tahoma"/>
        </w:rPr>
        <w:t xml:space="preserve">El coeficiente Beta indica </w:t>
      </w:r>
      <w:r w:rsidR="00441398">
        <w:rPr>
          <w:rFonts w:ascii="Tahoma" w:hAnsi="Tahoma" w:cs="Tahoma"/>
        </w:rPr>
        <w:t xml:space="preserve">que </w:t>
      </w:r>
      <w:r>
        <w:rPr>
          <w:rFonts w:ascii="Tahoma" w:hAnsi="Tahoma" w:cs="Tahoma"/>
        </w:rPr>
        <w:t>el portafolio especifico</w:t>
      </w:r>
      <w:r w:rsidR="00441398">
        <w:rPr>
          <w:rFonts w:ascii="Tahoma" w:hAnsi="Tahoma" w:cs="Tahoma"/>
        </w:rPr>
        <w:t xml:space="preserve"> tiene un </w:t>
      </w:r>
      <w:r>
        <w:rPr>
          <w:rFonts w:ascii="Tahoma" w:hAnsi="Tahoma" w:cs="Tahoma"/>
        </w:rPr>
        <w:t>valor mayor a 1</w:t>
      </w:r>
      <w:r w:rsidR="00441398">
        <w:rPr>
          <w:rFonts w:ascii="Tahoma" w:hAnsi="Tahoma" w:cs="Tahoma"/>
        </w:rPr>
        <w:t xml:space="preserve">, lo que significa que tiene mayor riesgo que el mercado. El portafolio de mínima varianza y el portafolio tangente tienen valores menores a 1 por lo que fluctúan menos que el mercado. Según el valor por el método CAPM, el portafolio especifico se estima que dé un rendimiento de 14% aproximadamente en función de su riesgo sistemático lo cual se aleja mucho del rendimiento esperado calculado con los rendimientos históricos, mientras que </w:t>
      </w:r>
      <w:r w:rsidR="00441398">
        <w:rPr>
          <w:rFonts w:ascii="Tahoma" w:hAnsi="Tahoma" w:cs="Tahoma"/>
        </w:rPr>
        <w:lastRenderedPageBreak/>
        <w:t xml:space="preserve">el portafolio tangente que debería rentar un 7,7% aproximadamente en función de su riesgo sistemático, no se aleja tanto del rendimiento esperado de este portafolio que se encuentra en 6,4%. </w:t>
      </w:r>
    </w:p>
    <w:p w14:paraId="39F99E92" w14:textId="2E75B314" w:rsidR="00CE7862" w:rsidRDefault="00CE7862" w:rsidP="00BB2403">
      <w:pPr>
        <w:rPr>
          <w:rFonts w:ascii="Tahoma" w:hAnsi="Tahoma" w:cs="Tahoma"/>
        </w:rPr>
      </w:pPr>
      <w:r>
        <w:rPr>
          <w:rFonts w:ascii="Tahoma" w:hAnsi="Tahoma" w:cs="Tahoma"/>
        </w:rPr>
        <w:t>Respecto a los indicadores de desempeño, vemos que el portafolio especifico y el portafolio de mínima varianza presentan ratio de Sharp anualizado negativo, por lo que no es recomendable compararlos. Lo que si se puede decir es que el portafolio tangente tiene un buen desempeño según este indicador. Incluso en ratio de Treynor el portafolio tangente obtiene un valor positivo, lo que nos dice que su desempeño es relativamente bueno ya que</w:t>
      </w:r>
      <w:r w:rsidR="008B18DF">
        <w:rPr>
          <w:rFonts w:ascii="Tahoma" w:hAnsi="Tahoma" w:cs="Tahoma"/>
        </w:rPr>
        <w:t xml:space="preserve"> tiene una prima del 8% aproximadamente de rendimiento por unidad de riesgo sistemático. Los otros dos portafolios obtienen nuevamente valores negativos, por lo que no hay mucho que decir.  </w:t>
      </w:r>
    </w:p>
    <w:p w14:paraId="1BE4689A" w14:textId="12623661" w:rsidR="008B18DF" w:rsidRDefault="008B18DF" w:rsidP="00BB2403">
      <w:pPr>
        <w:rPr>
          <w:rFonts w:ascii="Lucida Console" w:eastAsia="Times New Roman" w:hAnsi="Lucida Console" w:cs="Courier New"/>
          <w:color w:val="000000"/>
          <w:sz w:val="20"/>
          <w:szCs w:val="20"/>
          <w:bdr w:val="none" w:sz="0" w:space="0" w:color="auto" w:frame="1"/>
          <w:lang w:eastAsia="es-CO"/>
        </w:rPr>
      </w:pPr>
      <w:r>
        <w:rPr>
          <w:rFonts w:ascii="Tahoma" w:hAnsi="Tahoma" w:cs="Tahoma"/>
        </w:rPr>
        <w:t xml:space="preserve">El alfa de Jensen confirma lo que habíamos notado antes y es que, aunque los rendimientos esperados de los 3 portafolios se alejan del estimado por el CAPM, el portafolio tangente es el que se acerca más, con una diferencia de 1,33% por debajo del valor calculado según el riesgo sistemático. </w:t>
      </w:r>
      <w:r w:rsidR="00B43750">
        <w:rPr>
          <w:rFonts w:ascii="Tahoma" w:hAnsi="Tahoma" w:cs="Tahoma"/>
        </w:rPr>
        <w:t xml:space="preserve">Los otros dos portafolios se alejan bastante del valor según el CAPM con valores en el alfa de Jensen de </w:t>
      </w:r>
      <w:r w:rsidR="00B43750" w:rsidRPr="00B43750">
        <w:rPr>
          <w:rFonts w:ascii="Tahoma" w:eastAsia="Times New Roman" w:hAnsi="Tahoma" w:cs="Tahoma"/>
          <w:color w:val="000000"/>
          <w:bdr w:val="none" w:sz="0" w:space="0" w:color="auto" w:frame="1"/>
          <w:lang w:eastAsia="es-CO"/>
        </w:rPr>
        <w:t>-26,24% y -10,97 respectivamente</w:t>
      </w:r>
      <w:r w:rsidR="00B43750">
        <w:rPr>
          <w:rFonts w:ascii="Lucida Console" w:eastAsia="Times New Roman" w:hAnsi="Lucida Console" w:cs="Courier New"/>
          <w:color w:val="000000"/>
          <w:sz w:val="20"/>
          <w:szCs w:val="20"/>
          <w:bdr w:val="none" w:sz="0" w:space="0" w:color="auto" w:frame="1"/>
          <w:lang w:eastAsia="es-CO"/>
        </w:rPr>
        <w:t>.</w:t>
      </w:r>
    </w:p>
    <w:p w14:paraId="5CCCF397" w14:textId="348DEE80" w:rsidR="00B43750" w:rsidRDefault="00B43750" w:rsidP="00BB2403">
      <w:pPr>
        <w:rPr>
          <w:rFonts w:ascii="Tahoma" w:eastAsia="Times New Roman" w:hAnsi="Tahoma" w:cs="Tahoma"/>
          <w:color w:val="000000"/>
          <w:bdr w:val="none" w:sz="0" w:space="0" w:color="auto" w:frame="1"/>
          <w:lang w:eastAsia="es-CO"/>
        </w:rPr>
      </w:pPr>
      <w:r w:rsidRPr="00B43750">
        <w:rPr>
          <w:rFonts w:ascii="Tahoma" w:eastAsia="Times New Roman" w:hAnsi="Tahoma" w:cs="Tahoma"/>
          <w:color w:val="000000"/>
          <w:bdr w:val="none" w:sz="0" w:space="0" w:color="auto" w:frame="1"/>
          <w:lang w:eastAsia="es-CO"/>
        </w:rPr>
        <w:t xml:space="preserve">En general el mejor portafolio de los analizados anteriormente es el portafolio tangente </w:t>
      </w:r>
      <w:r>
        <w:rPr>
          <w:rFonts w:ascii="Tahoma" w:eastAsia="Times New Roman" w:hAnsi="Tahoma" w:cs="Tahoma"/>
          <w:color w:val="000000"/>
          <w:bdr w:val="none" w:sz="0" w:space="0" w:color="auto" w:frame="1"/>
          <w:lang w:eastAsia="es-CO"/>
        </w:rPr>
        <w:t xml:space="preserve">ya que presenta mayor rendimiento esperado, menor volatilidad y tiene indicadores de desempeño que se comportan de mejor manera que los otros portafolios analizados. </w:t>
      </w:r>
    </w:p>
    <w:p w14:paraId="44036743" w14:textId="77777777" w:rsidR="00B43750" w:rsidRPr="00B43750" w:rsidRDefault="00B43750" w:rsidP="00BB2403">
      <w:pPr>
        <w:rPr>
          <w:rFonts w:ascii="Tahoma" w:hAnsi="Tahoma" w:cs="Tahoma"/>
        </w:rPr>
      </w:pPr>
    </w:p>
    <w:p w14:paraId="606FA1BC" w14:textId="77777777" w:rsidR="00780755" w:rsidRPr="004F12BC" w:rsidRDefault="00780755" w:rsidP="00BB2403">
      <w:pPr>
        <w:rPr>
          <w:rFonts w:ascii="Tahoma" w:hAnsi="Tahoma" w:cs="Tahoma"/>
        </w:rPr>
      </w:pPr>
    </w:p>
    <w:sectPr w:rsidR="00780755" w:rsidRPr="004F12BC" w:rsidSect="00DC5C52">
      <w:pgSz w:w="12240" w:h="15840"/>
      <w:pgMar w:top="851" w:right="170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9578E"/>
    <w:multiLevelType w:val="multilevel"/>
    <w:tmpl w:val="4E2A0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9808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D7"/>
    <w:rsid w:val="00011039"/>
    <w:rsid w:val="00020304"/>
    <w:rsid w:val="000264F5"/>
    <w:rsid w:val="00057520"/>
    <w:rsid w:val="00062D6E"/>
    <w:rsid w:val="00067BE4"/>
    <w:rsid w:val="0009440F"/>
    <w:rsid w:val="000C7AE1"/>
    <w:rsid w:val="000E2C5C"/>
    <w:rsid w:val="00173C1C"/>
    <w:rsid w:val="001B7A32"/>
    <w:rsid w:val="0025214D"/>
    <w:rsid w:val="002713C7"/>
    <w:rsid w:val="0027278C"/>
    <w:rsid w:val="003035E4"/>
    <w:rsid w:val="00337C21"/>
    <w:rsid w:val="00355D71"/>
    <w:rsid w:val="00381BBE"/>
    <w:rsid w:val="0038595F"/>
    <w:rsid w:val="003A22A5"/>
    <w:rsid w:val="003C4B69"/>
    <w:rsid w:val="00413FEF"/>
    <w:rsid w:val="00441398"/>
    <w:rsid w:val="00481902"/>
    <w:rsid w:val="004F12BC"/>
    <w:rsid w:val="00503E48"/>
    <w:rsid w:val="00531C21"/>
    <w:rsid w:val="00554534"/>
    <w:rsid w:val="00563F51"/>
    <w:rsid w:val="005842CC"/>
    <w:rsid w:val="005B3FB9"/>
    <w:rsid w:val="00671B89"/>
    <w:rsid w:val="00685B6F"/>
    <w:rsid w:val="006A4F1B"/>
    <w:rsid w:val="00780755"/>
    <w:rsid w:val="007B55D7"/>
    <w:rsid w:val="007D6650"/>
    <w:rsid w:val="008216E9"/>
    <w:rsid w:val="00840062"/>
    <w:rsid w:val="008573B3"/>
    <w:rsid w:val="00861D25"/>
    <w:rsid w:val="008B18DF"/>
    <w:rsid w:val="008D4BF6"/>
    <w:rsid w:val="0096093E"/>
    <w:rsid w:val="00B43750"/>
    <w:rsid w:val="00B82A50"/>
    <w:rsid w:val="00B958F7"/>
    <w:rsid w:val="00BB2403"/>
    <w:rsid w:val="00BB5F93"/>
    <w:rsid w:val="00BC5711"/>
    <w:rsid w:val="00BC7CA2"/>
    <w:rsid w:val="00BE076E"/>
    <w:rsid w:val="00BE1A61"/>
    <w:rsid w:val="00C007FA"/>
    <w:rsid w:val="00C032DD"/>
    <w:rsid w:val="00C21C86"/>
    <w:rsid w:val="00C42A38"/>
    <w:rsid w:val="00C711B7"/>
    <w:rsid w:val="00C8775E"/>
    <w:rsid w:val="00CD3C1F"/>
    <w:rsid w:val="00CE7862"/>
    <w:rsid w:val="00D01BCF"/>
    <w:rsid w:val="00D31BF0"/>
    <w:rsid w:val="00D609A4"/>
    <w:rsid w:val="00D633DF"/>
    <w:rsid w:val="00DC5C52"/>
    <w:rsid w:val="00DC7E2F"/>
    <w:rsid w:val="00F237C7"/>
    <w:rsid w:val="00F36119"/>
    <w:rsid w:val="00F52874"/>
    <w:rsid w:val="00FA2911"/>
    <w:rsid w:val="00FC1A28"/>
    <w:rsid w:val="00FC1D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7142"/>
  <w15:chartTrackingRefBased/>
  <w15:docId w15:val="{8D11F71B-6367-4449-8FA5-BD504E93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D7"/>
  </w:style>
  <w:style w:type="paragraph" w:styleId="Ttulo3">
    <w:name w:val="heading 3"/>
    <w:basedOn w:val="Normal"/>
    <w:link w:val="Ttulo3Car"/>
    <w:uiPriority w:val="9"/>
    <w:qFormat/>
    <w:rsid w:val="00355D7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55D7"/>
    <w:pPr>
      <w:ind w:left="720"/>
      <w:contextualSpacing/>
    </w:pPr>
  </w:style>
  <w:style w:type="table" w:styleId="Tablaconcuadrcula">
    <w:name w:val="Table Grid"/>
    <w:basedOn w:val="Tablanormal"/>
    <w:uiPriority w:val="39"/>
    <w:rsid w:val="007B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Fuentedeprrafopredeter"/>
    <w:rsid w:val="007B55D7"/>
    <w:rPr>
      <w:rFonts w:ascii="Consolas" w:hAnsi="Consolas"/>
      <w:b/>
      <w:color w:val="204A87"/>
      <w:sz w:val="22"/>
      <w:shd w:val="clear" w:color="auto" w:fill="F8F8F8"/>
    </w:rPr>
  </w:style>
  <w:style w:type="character" w:customStyle="1" w:styleId="Ttulo3Car">
    <w:name w:val="Título 3 Car"/>
    <w:basedOn w:val="Fuentedeprrafopredeter"/>
    <w:link w:val="Ttulo3"/>
    <w:uiPriority w:val="9"/>
    <w:rsid w:val="00355D71"/>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355D71"/>
    <w:rPr>
      <w:color w:val="0000FF"/>
      <w:u w:val="single"/>
    </w:rPr>
  </w:style>
  <w:style w:type="character" w:styleId="Textodelmarcadordeposicin">
    <w:name w:val="Placeholder Text"/>
    <w:basedOn w:val="Fuentedeprrafopredeter"/>
    <w:uiPriority w:val="99"/>
    <w:semiHidden/>
    <w:rsid w:val="00563F51"/>
    <w:rPr>
      <w:color w:val="808080"/>
    </w:rPr>
  </w:style>
  <w:style w:type="paragraph" w:styleId="HTMLconformatoprevio">
    <w:name w:val="HTML Preformatted"/>
    <w:basedOn w:val="Normal"/>
    <w:link w:val="HTMLconformatoprevioCar"/>
    <w:uiPriority w:val="99"/>
    <w:unhideWhenUsed/>
    <w:rsid w:val="0005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057520"/>
    <w:rPr>
      <w:rFonts w:ascii="Courier New" w:eastAsia="Times New Roman" w:hAnsi="Courier New" w:cs="Courier New"/>
      <w:sz w:val="20"/>
      <w:szCs w:val="20"/>
      <w:lang w:eastAsia="es-CO"/>
    </w:rPr>
  </w:style>
  <w:style w:type="character" w:customStyle="1" w:styleId="gd15mcfceub">
    <w:name w:val="gd15mcfceub"/>
    <w:basedOn w:val="Fuentedeprrafopredeter"/>
    <w:rsid w:val="00057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01">
      <w:bodyDiv w:val="1"/>
      <w:marLeft w:val="0"/>
      <w:marRight w:val="0"/>
      <w:marTop w:val="0"/>
      <w:marBottom w:val="0"/>
      <w:divBdr>
        <w:top w:val="none" w:sz="0" w:space="0" w:color="auto"/>
        <w:left w:val="none" w:sz="0" w:space="0" w:color="auto"/>
        <w:bottom w:val="none" w:sz="0" w:space="0" w:color="auto"/>
        <w:right w:val="none" w:sz="0" w:space="0" w:color="auto"/>
      </w:divBdr>
    </w:div>
    <w:div w:id="10189477">
      <w:bodyDiv w:val="1"/>
      <w:marLeft w:val="0"/>
      <w:marRight w:val="0"/>
      <w:marTop w:val="0"/>
      <w:marBottom w:val="0"/>
      <w:divBdr>
        <w:top w:val="none" w:sz="0" w:space="0" w:color="auto"/>
        <w:left w:val="none" w:sz="0" w:space="0" w:color="auto"/>
        <w:bottom w:val="none" w:sz="0" w:space="0" w:color="auto"/>
        <w:right w:val="none" w:sz="0" w:space="0" w:color="auto"/>
      </w:divBdr>
    </w:div>
    <w:div w:id="16395873">
      <w:bodyDiv w:val="1"/>
      <w:marLeft w:val="0"/>
      <w:marRight w:val="0"/>
      <w:marTop w:val="0"/>
      <w:marBottom w:val="0"/>
      <w:divBdr>
        <w:top w:val="none" w:sz="0" w:space="0" w:color="auto"/>
        <w:left w:val="none" w:sz="0" w:space="0" w:color="auto"/>
        <w:bottom w:val="none" w:sz="0" w:space="0" w:color="auto"/>
        <w:right w:val="none" w:sz="0" w:space="0" w:color="auto"/>
      </w:divBdr>
    </w:div>
    <w:div w:id="25451103">
      <w:bodyDiv w:val="1"/>
      <w:marLeft w:val="0"/>
      <w:marRight w:val="0"/>
      <w:marTop w:val="0"/>
      <w:marBottom w:val="0"/>
      <w:divBdr>
        <w:top w:val="none" w:sz="0" w:space="0" w:color="auto"/>
        <w:left w:val="none" w:sz="0" w:space="0" w:color="auto"/>
        <w:bottom w:val="none" w:sz="0" w:space="0" w:color="auto"/>
        <w:right w:val="none" w:sz="0" w:space="0" w:color="auto"/>
      </w:divBdr>
    </w:div>
    <w:div w:id="33583384">
      <w:bodyDiv w:val="1"/>
      <w:marLeft w:val="0"/>
      <w:marRight w:val="0"/>
      <w:marTop w:val="0"/>
      <w:marBottom w:val="0"/>
      <w:divBdr>
        <w:top w:val="none" w:sz="0" w:space="0" w:color="auto"/>
        <w:left w:val="none" w:sz="0" w:space="0" w:color="auto"/>
        <w:bottom w:val="none" w:sz="0" w:space="0" w:color="auto"/>
        <w:right w:val="none" w:sz="0" w:space="0" w:color="auto"/>
      </w:divBdr>
    </w:div>
    <w:div w:id="33624514">
      <w:bodyDiv w:val="1"/>
      <w:marLeft w:val="0"/>
      <w:marRight w:val="0"/>
      <w:marTop w:val="0"/>
      <w:marBottom w:val="0"/>
      <w:divBdr>
        <w:top w:val="none" w:sz="0" w:space="0" w:color="auto"/>
        <w:left w:val="none" w:sz="0" w:space="0" w:color="auto"/>
        <w:bottom w:val="none" w:sz="0" w:space="0" w:color="auto"/>
        <w:right w:val="none" w:sz="0" w:space="0" w:color="auto"/>
      </w:divBdr>
    </w:div>
    <w:div w:id="45836758">
      <w:bodyDiv w:val="1"/>
      <w:marLeft w:val="0"/>
      <w:marRight w:val="0"/>
      <w:marTop w:val="0"/>
      <w:marBottom w:val="0"/>
      <w:divBdr>
        <w:top w:val="none" w:sz="0" w:space="0" w:color="auto"/>
        <w:left w:val="none" w:sz="0" w:space="0" w:color="auto"/>
        <w:bottom w:val="none" w:sz="0" w:space="0" w:color="auto"/>
        <w:right w:val="none" w:sz="0" w:space="0" w:color="auto"/>
      </w:divBdr>
    </w:div>
    <w:div w:id="67309478">
      <w:bodyDiv w:val="1"/>
      <w:marLeft w:val="0"/>
      <w:marRight w:val="0"/>
      <w:marTop w:val="0"/>
      <w:marBottom w:val="0"/>
      <w:divBdr>
        <w:top w:val="none" w:sz="0" w:space="0" w:color="auto"/>
        <w:left w:val="none" w:sz="0" w:space="0" w:color="auto"/>
        <w:bottom w:val="none" w:sz="0" w:space="0" w:color="auto"/>
        <w:right w:val="none" w:sz="0" w:space="0" w:color="auto"/>
      </w:divBdr>
    </w:div>
    <w:div w:id="96947841">
      <w:bodyDiv w:val="1"/>
      <w:marLeft w:val="0"/>
      <w:marRight w:val="0"/>
      <w:marTop w:val="0"/>
      <w:marBottom w:val="0"/>
      <w:divBdr>
        <w:top w:val="none" w:sz="0" w:space="0" w:color="auto"/>
        <w:left w:val="none" w:sz="0" w:space="0" w:color="auto"/>
        <w:bottom w:val="none" w:sz="0" w:space="0" w:color="auto"/>
        <w:right w:val="none" w:sz="0" w:space="0" w:color="auto"/>
      </w:divBdr>
    </w:div>
    <w:div w:id="114254849">
      <w:bodyDiv w:val="1"/>
      <w:marLeft w:val="0"/>
      <w:marRight w:val="0"/>
      <w:marTop w:val="0"/>
      <w:marBottom w:val="0"/>
      <w:divBdr>
        <w:top w:val="none" w:sz="0" w:space="0" w:color="auto"/>
        <w:left w:val="none" w:sz="0" w:space="0" w:color="auto"/>
        <w:bottom w:val="none" w:sz="0" w:space="0" w:color="auto"/>
        <w:right w:val="none" w:sz="0" w:space="0" w:color="auto"/>
      </w:divBdr>
    </w:div>
    <w:div w:id="313993463">
      <w:bodyDiv w:val="1"/>
      <w:marLeft w:val="0"/>
      <w:marRight w:val="0"/>
      <w:marTop w:val="0"/>
      <w:marBottom w:val="0"/>
      <w:divBdr>
        <w:top w:val="none" w:sz="0" w:space="0" w:color="auto"/>
        <w:left w:val="none" w:sz="0" w:space="0" w:color="auto"/>
        <w:bottom w:val="none" w:sz="0" w:space="0" w:color="auto"/>
        <w:right w:val="none" w:sz="0" w:space="0" w:color="auto"/>
      </w:divBdr>
    </w:div>
    <w:div w:id="326903856">
      <w:bodyDiv w:val="1"/>
      <w:marLeft w:val="0"/>
      <w:marRight w:val="0"/>
      <w:marTop w:val="0"/>
      <w:marBottom w:val="0"/>
      <w:divBdr>
        <w:top w:val="none" w:sz="0" w:space="0" w:color="auto"/>
        <w:left w:val="none" w:sz="0" w:space="0" w:color="auto"/>
        <w:bottom w:val="none" w:sz="0" w:space="0" w:color="auto"/>
        <w:right w:val="none" w:sz="0" w:space="0" w:color="auto"/>
      </w:divBdr>
    </w:div>
    <w:div w:id="340668697">
      <w:bodyDiv w:val="1"/>
      <w:marLeft w:val="0"/>
      <w:marRight w:val="0"/>
      <w:marTop w:val="0"/>
      <w:marBottom w:val="0"/>
      <w:divBdr>
        <w:top w:val="none" w:sz="0" w:space="0" w:color="auto"/>
        <w:left w:val="none" w:sz="0" w:space="0" w:color="auto"/>
        <w:bottom w:val="none" w:sz="0" w:space="0" w:color="auto"/>
        <w:right w:val="none" w:sz="0" w:space="0" w:color="auto"/>
      </w:divBdr>
    </w:div>
    <w:div w:id="471294597">
      <w:bodyDiv w:val="1"/>
      <w:marLeft w:val="0"/>
      <w:marRight w:val="0"/>
      <w:marTop w:val="0"/>
      <w:marBottom w:val="0"/>
      <w:divBdr>
        <w:top w:val="none" w:sz="0" w:space="0" w:color="auto"/>
        <w:left w:val="none" w:sz="0" w:space="0" w:color="auto"/>
        <w:bottom w:val="none" w:sz="0" w:space="0" w:color="auto"/>
        <w:right w:val="none" w:sz="0" w:space="0" w:color="auto"/>
      </w:divBdr>
    </w:div>
    <w:div w:id="479810748">
      <w:bodyDiv w:val="1"/>
      <w:marLeft w:val="0"/>
      <w:marRight w:val="0"/>
      <w:marTop w:val="0"/>
      <w:marBottom w:val="0"/>
      <w:divBdr>
        <w:top w:val="none" w:sz="0" w:space="0" w:color="auto"/>
        <w:left w:val="none" w:sz="0" w:space="0" w:color="auto"/>
        <w:bottom w:val="none" w:sz="0" w:space="0" w:color="auto"/>
        <w:right w:val="none" w:sz="0" w:space="0" w:color="auto"/>
      </w:divBdr>
    </w:div>
    <w:div w:id="505873303">
      <w:bodyDiv w:val="1"/>
      <w:marLeft w:val="0"/>
      <w:marRight w:val="0"/>
      <w:marTop w:val="0"/>
      <w:marBottom w:val="0"/>
      <w:divBdr>
        <w:top w:val="none" w:sz="0" w:space="0" w:color="auto"/>
        <w:left w:val="none" w:sz="0" w:space="0" w:color="auto"/>
        <w:bottom w:val="none" w:sz="0" w:space="0" w:color="auto"/>
        <w:right w:val="none" w:sz="0" w:space="0" w:color="auto"/>
      </w:divBdr>
    </w:div>
    <w:div w:id="521435843">
      <w:bodyDiv w:val="1"/>
      <w:marLeft w:val="0"/>
      <w:marRight w:val="0"/>
      <w:marTop w:val="0"/>
      <w:marBottom w:val="0"/>
      <w:divBdr>
        <w:top w:val="none" w:sz="0" w:space="0" w:color="auto"/>
        <w:left w:val="none" w:sz="0" w:space="0" w:color="auto"/>
        <w:bottom w:val="none" w:sz="0" w:space="0" w:color="auto"/>
        <w:right w:val="none" w:sz="0" w:space="0" w:color="auto"/>
      </w:divBdr>
    </w:div>
    <w:div w:id="521627311">
      <w:bodyDiv w:val="1"/>
      <w:marLeft w:val="0"/>
      <w:marRight w:val="0"/>
      <w:marTop w:val="0"/>
      <w:marBottom w:val="0"/>
      <w:divBdr>
        <w:top w:val="none" w:sz="0" w:space="0" w:color="auto"/>
        <w:left w:val="none" w:sz="0" w:space="0" w:color="auto"/>
        <w:bottom w:val="none" w:sz="0" w:space="0" w:color="auto"/>
        <w:right w:val="none" w:sz="0" w:space="0" w:color="auto"/>
      </w:divBdr>
    </w:div>
    <w:div w:id="541938071">
      <w:bodyDiv w:val="1"/>
      <w:marLeft w:val="0"/>
      <w:marRight w:val="0"/>
      <w:marTop w:val="0"/>
      <w:marBottom w:val="0"/>
      <w:divBdr>
        <w:top w:val="none" w:sz="0" w:space="0" w:color="auto"/>
        <w:left w:val="none" w:sz="0" w:space="0" w:color="auto"/>
        <w:bottom w:val="none" w:sz="0" w:space="0" w:color="auto"/>
        <w:right w:val="none" w:sz="0" w:space="0" w:color="auto"/>
      </w:divBdr>
    </w:div>
    <w:div w:id="569847077">
      <w:bodyDiv w:val="1"/>
      <w:marLeft w:val="0"/>
      <w:marRight w:val="0"/>
      <w:marTop w:val="0"/>
      <w:marBottom w:val="0"/>
      <w:divBdr>
        <w:top w:val="none" w:sz="0" w:space="0" w:color="auto"/>
        <w:left w:val="none" w:sz="0" w:space="0" w:color="auto"/>
        <w:bottom w:val="none" w:sz="0" w:space="0" w:color="auto"/>
        <w:right w:val="none" w:sz="0" w:space="0" w:color="auto"/>
      </w:divBdr>
    </w:div>
    <w:div w:id="596522995">
      <w:bodyDiv w:val="1"/>
      <w:marLeft w:val="0"/>
      <w:marRight w:val="0"/>
      <w:marTop w:val="0"/>
      <w:marBottom w:val="0"/>
      <w:divBdr>
        <w:top w:val="none" w:sz="0" w:space="0" w:color="auto"/>
        <w:left w:val="none" w:sz="0" w:space="0" w:color="auto"/>
        <w:bottom w:val="none" w:sz="0" w:space="0" w:color="auto"/>
        <w:right w:val="none" w:sz="0" w:space="0" w:color="auto"/>
      </w:divBdr>
    </w:div>
    <w:div w:id="615402828">
      <w:bodyDiv w:val="1"/>
      <w:marLeft w:val="0"/>
      <w:marRight w:val="0"/>
      <w:marTop w:val="0"/>
      <w:marBottom w:val="0"/>
      <w:divBdr>
        <w:top w:val="none" w:sz="0" w:space="0" w:color="auto"/>
        <w:left w:val="none" w:sz="0" w:space="0" w:color="auto"/>
        <w:bottom w:val="none" w:sz="0" w:space="0" w:color="auto"/>
        <w:right w:val="none" w:sz="0" w:space="0" w:color="auto"/>
      </w:divBdr>
    </w:div>
    <w:div w:id="656373980">
      <w:bodyDiv w:val="1"/>
      <w:marLeft w:val="0"/>
      <w:marRight w:val="0"/>
      <w:marTop w:val="0"/>
      <w:marBottom w:val="0"/>
      <w:divBdr>
        <w:top w:val="none" w:sz="0" w:space="0" w:color="auto"/>
        <w:left w:val="none" w:sz="0" w:space="0" w:color="auto"/>
        <w:bottom w:val="none" w:sz="0" w:space="0" w:color="auto"/>
        <w:right w:val="none" w:sz="0" w:space="0" w:color="auto"/>
      </w:divBdr>
    </w:div>
    <w:div w:id="684751038">
      <w:bodyDiv w:val="1"/>
      <w:marLeft w:val="0"/>
      <w:marRight w:val="0"/>
      <w:marTop w:val="0"/>
      <w:marBottom w:val="0"/>
      <w:divBdr>
        <w:top w:val="none" w:sz="0" w:space="0" w:color="auto"/>
        <w:left w:val="none" w:sz="0" w:space="0" w:color="auto"/>
        <w:bottom w:val="none" w:sz="0" w:space="0" w:color="auto"/>
        <w:right w:val="none" w:sz="0" w:space="0" w:color="auto"/>
      </w:divBdr>
    </w:div>
    <w:div w:id="709038668">
      <w:bodyDiv w:val="1"/>
      <w:marLeft w:val="0"/>
      <w:marRight w:val="0"/>
      <w:marTop w:val="0"/>
      <w:marBottom w:val="0"/>
      <w:divBdr>
        <w:top w:val="none" w:sz="0" w:space="0" w:color="auto"/>
        <w:left w:val="none" w:sz="0" w:space="0" w:color="auto"/>
        <w:bottom w:val="none" w:sz="0" w:space="0" w:color="auto"/>
        <w:right w:val="none" w:sz="0" w:space="0" w:color="auto"/>
      </w:divBdr>
    </w:div>
    <w:div w:id="718475161">
      <w:bodyDiv w:val="1"/>
      <w:marLeft w:val="0"/>
      <w:marRight w:val="0"/>
      <w:marTop w:val="0"/>
      <w:marBottom w:val="0"/>
      <w:divBdr>
        <w:top w:val="none" w:sz="0" w:space="0" w:color="auto"/>
        <w:left w:val="none" w:sz="0" w:space="0" w:color="auto"/>
        <w:bottom w:val="none" w:sz="0" w:space="0" w:color="auto"/>
        <w:right w:val="none" w:sz="0" w:space="0" w:color="auto"/>
      </w:divBdr>
    </w:div>
    <w:div w:id="731735672">
      <w:bodyDiv w:val="1"/>
      <w:marLeft w:val="0"/>
      <w:marRight w:val="0"/>
      <w:marTop w:val="0"/>
      <w:marBottom w:val="0"/>
      <w:divBdr>
        <w:top w:val="none" w:sz="0" w:space="0" w:color="auto"/>
        <w:left w:val="none" w:sz="0" w:space="0" w:color="auto"/>
        <w:bottom w:val="none" w:sz="0" w:space="0" w:color="auto"/>
        <w:right w:val="none" w:sz="0" w:space="0" w:color="auto"/>
      </w:divBdr>
    </w:div>
    <w:div w:id="782192506">
      <w:bodyDiv w:val="1"/>
      <w:marLeft w:val="0"/>
      <w:marRight w:val="0"/>
      <w:marTop w:val="0"/>
      <w:marBottom w:val="0"/>
      <w:divBdr>
        <w:top w:val="none" w:sz="0" w:space="0" w:color="auto"/>
        <w:left w:val="none" w:sz="0" w:space="0" w:color="auto"/>
        <w:bottom w:val="none" w:sz="0" w:space="0" w:color="auto"/>
        <w:right w:val="none" w:sz="0" w:space="0" w:color="auto"/>
      </w:divBdr>
    </w:div>
    <w:div w:id="783812115">
      <w:bodyDiv w:val="1"/>
      <w:marLeft w:val="0"/>
      <w:marRight w:val="0"/>
      <w:marTop w:val="0"/>
      <w:marBottom w:val="0"/>
      <w:divBdr>
        <w:top w:val="none" w:sz="0" w:space="0" w:color="auto"/>
        <w:left w:val="none" w:sz="0" w:space="0" w:color="auto"/>
        <w:bottom w:val="none" w:sz="0" w:space="0" w:color="auto"/>
        <w:right w:val="none" w:sz="0" w:space="0" w:color="auto"/>
      </w:divBdr>
    </w:div>
    <w:div w:id="805464184">
      <w:bodyDiv w:val="1"/>
      <w:marLeft w:val="0"/>
      <w:marRight w:val="0"/>
      <w:marTop w:val="0"/>
      <w:marBottom w:val="0"/>
      <w:divBdr>
        <w:top w:val="none" w:sz="0" w:space="0" w:color="auto"/>
        <w:left w:val="none" w:sz="0" w:space="0" w:color="auto"/>
        <w:bottom w:val="none" w:sz="0" w:space="0" w:color="auto"/>
        <w:right w:val="none" w:sz="0" w:space="0" w:color="auto"/>
      </w:divBdr>
    </w:div>
    <w:div w:id="814567037">
      <w:bodyDiv w:val="1"/>
      <w:marLeft w:val="0"/>
      <w:marRight w:val="0"/>
      <w:marTop w:val="0"/>
      <w:marBottom w:val="0"/>
      <w:divBdr>
        <w:top w:val="none" w:sz="0" w:space="0" w:color="auto"/>
        <w:left w:val="none" w:sz="0" w:space="0" w:color="auto"/>
        <w:bottom w:val="none" w:sz="0" w:space="0" w:color="auto"/>
        <w:right w:val="none" w:sz="0" w:space="0" w:color="auto"/>
      </w:divBdr>
    </w:div>
    <w:div w:id="851912477">
      <w:bodyDiv w:val="1"/>
      <w:marLeft w:val="0"/>
      <w:marRight w:val="0"/>
      <w:marTop w:val="0"/>
      <w:marBottom w:val="0"/>
      <w:divBdr>
        <w:top w:val="none" w:sz="0" w:space="0" w:color="auto"/>
        <w:left w:val="none" w:sz="0" w:space="0" w:color="auto"/>
        <w:bottom w:val="none" w:sz="0" w:space="0" w:color="auto"/>
        <w:right w:val="none" w:sz="0" w:space="0" w:color="auto"/>
      </w:divBdr>
    </w:div>
    <w:div w:id="854923544">
      <w:bodyDiv w:val="1"/>
      <w:marLeft w:val="0"/>
      <w:marRight w:val="0"/>
      <w:marTop w:val="0"/>
      <w:marBottom w:val="0"/>
      <w:divBdr>
        <w:top w:val="none" w:sz="0" w:space="0" w:color="auto"/>
        <w:left w:val="none" w:sz="0" w:space="0" w:color="auto"/>
        <w:bottom w:val="none" w:sz="0" w:space="0" w:color="auto"/>
        <w:right w:val="none" w:sz="0" w:space="0" w:color="auto"/>
      </w:divBdr>
    </w:div>
    <w:div w:id="877855511">
      <w:bodyDiv w:val="1"/>
      <w:marLeft w:val="0"/>
      <w:marRight w:val="0"/>
      <w:marTop w:val="0"/>
      <w:marBottom w:val="0"/>
      <w:divBdr>
        <w:top w:val="none" w:sz="0" w:space="0" w:color="auto"/>
        <w:left w:val="none" w:sz="0" w:space="0" w:color="auto"/>
        <w:bottom w:val="none" w:sz="0" w:space="0" w:color="auto"/>
        <w:right w:val="none" w:sz="0" w:space="0" w:color="auto"/>
      </w:divBdr>
    </w:div>
    <w:div w:id="908422667">
      <w:bodyDiv w:val="1"/>
      <w:marLeft w:val="0"/>
      <w:marRight w:val="0"/>
      <w:marTop w:val="0"/>
      <w:marBottom w:val="0"/>
      <w:divBdr>
        <w:top w:val="none" w:sz="0" w:space="0" w:color="auto"/>
        <w:left w:val="none" w:sz="0" w:space="0" w:color="auto"/>
        <w:bottom w:val="none" w:sz="0" w:space="0" w:color="auto"/>
        <w:right w:val="none" w:sz="0" w:space="0" w:color="auto"/>
      </w:divBdr>
    </w:div>
    <w:div w:id="923731900">
      <w:bodyDiv w:val="1"/>
      <w:marLeft w:val="0"/>
      <w:marRight w:val="0"/>
      <w:marTop w:val="0"/>
      <w:marBottom w:val="0"/>
      <w:divBdr>
        <w:top w:val="none" w:sz="0" w:space="0" w:color="auto"/>
        <w:left w:val="none" w:sz="0" w:space="0" w:color="auto"/>
        <w:bottom w:val="none" w:sz="0" w:space="0" w:color="auto"/>
        <w:right w:val="none" w:sz="0" w:space="0" w:color="auto"/>
      </w:divBdr>
    </w:div>
    <w:div w:id="931932725">
      <w:bodyDiv w:val="1"/>
      <w:marLeft w:val="0"/>
      <w:marRight w:val="0"/>
      <w:marTop w:val="0"/>
      <w:marBottom w:val="0"/>
      <w:divBdr>
        <w:top w:val="none" w:sz="0" w:space="0" w:color="auto"/>
        <w:left w:val="none" w:sz="0" w:space="0" w:color="auto"/>
        <w:bottom w:val="none" w:sz="0" w:space="0" w:color="auto"/>
        <w:right w:val="none" w:sz="0" w:space="0" w:color="auto"/>
      </w:divBdr>
    </w:div>
    <w:div w:id="945694286">
      <w:bodyDiv w:val="1"/>
      <w:marLeft w:val="0"/>
      <w:marRight w:val="0"/>
      <w:marTop w:val="0"/>
      <w:marBottom w:val="0"/>
      <w:divBdr>
        <w:top w:val="none" w:sz="0" w:space="0" w:color="auto"/>
        <w:left w:val="none" w:sz="0" w:space="0" w:color="auto"/>
        <w:bottom w:val="none" w:sz="0" w:space="0" w:color="auto"/>
        <w:right w:val="none" w:sz="0" w:space="0" w:color="auto"/>
      </w:divBdr>
    </w:div>
    <w:div w:id="977422323">
      <w:bodyDiv w:val="1"/>
      <w:marLeft w:val="0"/>
      <w:marRight w:val="0"/>
      <w:marTop w:val="0"/>
      <w:marBottom w:val="0"/>
      <w:divBdr>
        <w:top w:val="none" w:sz="0" w:space="0" w:color="auto"/>
        <w:left w:val="none" w:sz="0" w:space="0" w:color="auto"/>
        <w:bottom w:val="none" w:sz="0" w:space="0" w:color="auto"/>
        <w:right w:val="none" w:sz="0" w:space="0" w:color="auto"/>
      </w:divBdr>
    </w:div>
    <w:div w:id="996961316">
      <w:bodyDiv w:val="1"/>
      <w:marLeft w:val="0"/>
      <w:marRight w:val="0"/>
      <w:marTop w:val="0"/>
      <w:marBottom w:val="0"/>
      <w:divBdr>
        <w:top w:val="none" w:sz="0" w:space="0" w:color="auto"/>
        <w:left w:val="none" w:sz="0" w:space="0" w:color="auto"/>
        <w:bottom w:val="none" w:sz="0" w:space="0" w:color="auto"/>
        <w:right w:val="none" w:sz="0" w:space="0" w:color="auto"/>
      </w:divBdr>
    </w:div>
    <w:div w:id="1005665773">
      <w:bodyDiv w:val="1"/>
      <w:marLeft w:val="0"/>
      <w:marRight w:val="0"/>
      <w:marTop w:val="0"/>
      <w:marBottom w:val="0"/>
      <w:divBdr>
        <w:top w:val="none" w:sz="0" w:space="0" w:color="auto"/>
        <w:left w:val="none" w:sz="0" w:space="0" w:color="auto"/>
        <w:bottom w:val="none" w:sz="0" w:space="0" w:color="auto"/>
        <w:right w:val="none" w:sz="0" w:space="0" w:color="auto"/>
      </w:divBdr>
    </w:div>
    <w:div w:id="1025205303">
      <w:bodyDiv w:val="1"/>
      <w:marLeft w:val="0"/>
      <w:marRight w:val="0"/>
      <w:marTop w:val="0"/>
      <w:marBottom w:val="0"/>
      <w:divBdr>
        <w:top w:val="none" w:sz="0" w:space="0" w:color="auto"/>
        <w:left w:val="none" w:sz="0" w:space="0" w:color="auto"/>
        <w:bottom w:val="none" w:sz="0" w:space="0" w:color="auto"/>
        <w:right w:val="none" w:sz="0" w:space="0" w:color="auto"/>
      </w:divBdr>
    </w:div>
    <w:div w:id="1041827163">
      <w:bodyDiv w:val="1"/>
      <w:marLeft w:val="0"/>
      <w:marRight w:val="0"/>
      <w:marTop w:val="0"/>
      <w:marBottom w:val="0"/>
      <w:divBdr>
        <w:top w:val="none" w:sz="0" w:space="0" w:color="auto"/>
        <w:left w:val="none" w:sz="0" w:space="0" w:color="auto"/>
        <w:bottom w:val="none" w:sz="0" w:space="0" w:color="auto"/>
        <w:right w:val="none" w:sz="0" w:space="0" w:color="auto"/>
      </w:divBdr>
    </w:div>
    <w:div w:id="1140029200">
      <w:bodyDiv w:val="1"/>
      <w:marLeft w:val="0"/>
      <w:marRight w:val="0"/>
      <w:marTop w:val="0"/>
      <w:marBottom w:val="0"/>
      <w:divBdr>
        <w:top w:val="none" w:sz="0" w:space="0" w:color="auto"/>
        <w:left w:val="none" w:sz="0" w:space="0" w:color="auto"/>
        <w:bottom w:val="none" w:sz="0" w:space="0" w:color="auto"/>
        <w:right w:val="none" w:sz="0" w:space="0" w:color="auto"/>
      </w:divBdr>
    </w:div>
    <w:div w:id="1159005448">
      <w:bodyDiv w:val="1"/>
      <w:marLeft w:val="0"/>
      <w:marRight w:val="0"/>
      <w:marTop w:val="0"/>
      <w:marBottom w:val="0"/>
      <w:divBdr>
        <w:top w:val="none" w:sz="0" w:space="0" w:color="auto"/>
        <w:left w:val="none" w:sz="0" w:space="0" w:color="auto"/>
        <w:bottom w:val="none" w:sz="0" w:space="0" w:color="auto"/>
        <w:right w:val="none" w:sz="0" w:space="0" w:color="auto"/>
      </w:divBdr>
    </w:div>
    <w:div w:id="1179781720">
      <w:bodyDiv w:val="1"/>
      <w:marLeft w:val="0"/>
      <w:marRight w:val="0"/>
      <w:marTop w:val="0"/>
      <w:marBottom w:val="0"/>
      <w:divBdr>
        <w:top w:val="none" w:sz="0" w:space="0" w:color="auto"/>
        <w:left w:val="none" w:sz="0" w:space="0" w:color="auto"/>
        <w:bottom w:val="none" w:sz="0" w:space="0" w:color="auto"/>
        <w:right w:val="none" w:sz="0" w:space="0" w:color="auto"/>
      </w:divBdr>
    </w:div>
    <w:div w:id="1185095955">
      <w:bodyDiv w:val="1"/>
      <w:marLeft w:val="0"/>
      <w:marRight w:val="0"/>
      <w:marTop w:val="0"/>
      <w:marBottom w:val="0"/>
      <w:divBdr>
        <w:top w:val="none" w:sz="0" w:space="0" w:color="auto"/>
        <w:left w:val="none" w:sz="0" w:space="0" w:color="auto"/>
        <w:bottom w:val="none" w:sz="0" w:space="0" w:color="auto"/>
        <w:right w:val="none" w:sz="0" w:space="0" w:color="auto"/>
      </w:divBdr>
    </w:div>
    <w:div w:id="1221791951">
      <w:bodyDiv w:val="1"/>
      <w:marLeft w:val="0"/>
      <w:marRight w:val="0"/>
      <w:marTop w:val="0"/>
      <w:marBottom w:val="0"/>
      <w:divBdr>
        <w:top w:val="none" w:sz="0" w:space="0" w:color="auto"/>
        <w:left w:val="none" w:sz="0" w:space="0" w:color="auto"/>
        <w:bottom w:val="none" w:sz="0" w:space="0" w:color="auto"/>
        <w:right w:val="none" w:sz="0" w:space="0" w:color="auto"/>
      </w:divBdr>
    </w:div>
    <w:div w:id="1278834823">
      <w:bodyDiv w:val="1"/>
      <w:marLeft w:val="0"/>
      <w:marRight w:val="0"/>
      <w:marTop w:val="0"/>
      <w:marBottom w:val="0"/>
      <w:divBdr>
        <w:top w:val="none" w:sz="0" w:space="0" w:color="auto"/>
        <w:left w:val="none" w:sz="0" w:space="0" w:color="auto"/>
        <w:bottom w:val="none" w:sz="0" w:space="0" w:color="auto"/>
        <w:right w:val="none" w:sz="0" w:space="0" w:color="auto"/>
      </w:divBdr>
    </w:div>
    <w:div w:id="1288928989">
      <w:bodyDiv w:val="1"/>
      <w:marLeft w:val="0"/>
      <w:marRight w:val="0"/>
      <w:marTop w:val="0"/>
      <w:marBottom w:val="0"/>
      <w:divBdr>
        <w:top w:val="none" w:sz="0" w:space="0" w:color="auto"/>
        <w:left w:val="none" w:sz="0" w:space="0" w:color="auto"/>
        <w:bottom w:val="none" w:sz="0" w:space="0" w:color="auto"/>
        <w:right w:val="none" w:sz="0" w:space="0" w:color="auto"/>
      </w:divBdr>
    </w:div>
    <w:div w:id="1308587576">
      <w:bodyDiv w:val="1"/>
      <w:marLeft w:val="0"/>
      <w:marRight w:val="0"/>
      <w:marTop w:val="0"/>
      <w:marBottom w:val="0"/>
      <w:divBdr>
        <w:top w:val="none" w:sz="0" w:space="0" w:color="auto"/>
        <w:left w:val="none" w:sz="0" w:space="0" w:color="auto"/>
        <w:bottom w:val="none" w:sz="0" w:space="0" w:color="auto"/>
        <w:right w:val="none" w:sz="0" w:space="0" w:color="auto"/>
      </w:divBdr>
    </w:div>
    <w:div w:id="1312446241">
      <w:bodyDiv w:val="1"/>
      <w:marLeft w:val="0"/>
      <w:marRight w:val="0"/>
      <w:marTop w:val="0"/>
      <w:marBottom w:val="0"/>
      <w:divBdr>
        <w:top w:val="none" w:sz="0" w:space="0" w:color="auto"/>
        <w:left w:val="none" w:sz="0" w:space="0" w:color="auto"/>
        <w:bottom w:val="none" w:sz="0" w:space="0" w:color="auto"/>
        <w:right w:val="none" w:sz="0" w:space="0" w:color="auto"/>
      </w:divBdr>
    </w:div>
    <w:div w:id="1337731985">
      <w:bodyDiv w:val="1"/>
      <w:marLeft w:val="0"/>
      <w:marRight w:val="0"/>
      <w:marTop w:val="0"/>
      <w:marBottom w:val="0"/>
      <w:divBdr>
        <w:top w:val="none" w:sz="0" w:space="0" w:color="auto"/>
        <w:left w:val="none" w:sz="0" w:space="0" w:color="auto"/>
        <w:bottom w:val="none" w:sz="0" w:space="0" w:color="auto"/>
        <w:right w:val="none" w:sz="0" w:space="0" w:color="auto"/>
      </w:divBdr>
    </w:div>
    <w:div w:id="1384669463">
      <w:bodyDiv w:val="1"/>
      <w:marLeft w:val="0"/>
      <w:marRight w:val="0"/>
      <w:marTop w:val="0"/>
      <w:marBottom w:val="0"/>
      <w:divBdr>
        <w:top w:val="none" w:sz="0" w:space="0" w:color="auto"/>
        <w:left w:val="none" w:sz="0" w:space="0" w:color="auto"/>
        <w:bottom w:val="none" w:sz="0" w:space="0" w:color="auto"/>
        <w:right w:val="none" w:sz="0" w:space="0" w:color="auto"/>
      </w:divBdr>
    </w:div>
    <w:div w:id="1465853157">
      <w:bodyDiv w:val="1"/>
      <w:marLeft w:val="0"/>
      <w:marRight w:val="0"/>
      <w:marTop w:val="0"/>
      <w:marBottom w:val="0"/>
      <w:divBdr>
        <w:top w:val="none" w:sz="0" w:space="0" w:color="auto"/>
        <w:left w:val="none" w:sz="0" w:space="0" w:color="auto"/>
        <w:bottom w:val="none" w:sz="0" w:space="0" w:color="auto"/>
        <w:right w:val="none" w:sz="0" w:space="0" w:color="auto"/>
      </w:divBdr>
    </w:div>
    <w:div w:id="1477913987">
      <w:bodyDiv w:val="1"/>
      <w:marLeft w:val="0"/>
      <w:marRight w:val="0"/>
      <w:marTop w:val="0"/>
      <w:marBottom w:val="0"/>
      <w:divBdr>
        <w:top w:val="none" w:sz="0" w:space="0" w:color="auto"/>
        <w:left w:val="none" w:sz="0" w:space="0" w:color="auto"/>
        <w:bottom w:val="none" w:sz="0" w:space="0" w:color="auto"/>
        <w:right w:val="none" w:sz="0" w:space="0" w:color="auto"/>
      </w:divBdr>
    </w:div>
    <w:div w:id="1485706425">
      <w:bodyDiv w:val="1"/>
      <w:marLeft w:val="0"/>
      <w:marRight w:val="0"/>
      <w:marTop w:val="0"/>
      <w:marBottom w:val="0"/>
      <w:divBdr>
        <w:top w:val="none" w:sz="0" w:space="0" w:color="auto"/>
        <w:left w:val="none" w:sz="0" w:space="0" w:color="auto"/>
        <w:bottom w:val="none" w:sz="0" w:space="0" w:color="auto"/>
        <w:right w:val="none" w:sz="0" w:space="0" w:color="auto"/>
      </w:divBdr>
    </w:div>
    <w:div w:id="1512602256">
      <w:bodyDiv w:val="1"/>
      <w:marLeft w:val="0"/>
      <w:marRight w:val="0"/>
      <w:marTop w:val="0"/>
      <w:marBottom w:val="0"/>
      <w:divBdr>
        <w:top w:val="none" w:sz="0" w:space="0" w:color="auto"/>
        <w:left w:val="none" w:sz="0" w:space="0" w:color="auto"/>
        <w:bottom w:val="none" w:sz="0" w:space="0" w:color="auto"/>
        <w:right w:val="none" w:sz="0" w:space="0" w:color="auto"/>
      </w:divBdr>
    </w:div>
    <w:div w:id="1603344478">
      <w:bodyDiv w:val="1"/>
      <w:marLeft w:val="0"/>
      <w:marRight w:val="0"/>
      <w:marTop w:val="0"/>
      <w:marBottom w:val="0"/>
      <w:divBdr>
        <w:top w:val="none" w:sz="0" w:space="0" w:color="auto"/>
        <w:left w:val="none" w:sz="0" w:space="0" w:color="auto"/>
        <w:bottom w:val="none" w:sz="0" w:space="0" w:color="auto"/>
        <w:right w:val="none" w:sz="0" w:space="0" w:color="auto"/>
      </w:divBdr>
    </w:div>
    <w:div w:id="1616322976">
      <w:bodyDiv w:val="1"/>
      <w:marLeft w:val="0"/>
      <w:marRight w:val="0"/>
      <w:marTop w:val="0"/>
      <w:marBottom w:val="0"/>
      <w:divBdr>
        <w:top w:val="none" w:sz="0" w:space="0" w:color="auto"/>
        <w:left w:val="none" w:sz="0" w:space="0" w:color="auto"/>
        <w:bottom w:val="none" w:sz="0" w:space="0" w:color="auto"/>
        <w:right w:val="none" w:sz="0" w:space="0" w:color="auto"/>
      </w:divBdr>
    </w:div>
    <w:div w:id="1636178584">
      <w:bodyDiv w:val="1"/>
      <w:marLeft w:val="0"/>
      <w:marRight w:val="0"/>
      <w:marTop w:val="0"/>
      <w:marBottom w:val="0"/>
      <w:divBdr>
        <w:top w:val="none" w:sz="0" w:space="0" w:color="auto"/>
        <w:left w:val="none" w:sz="0" w:space="0" w:color="auto"/>
        <w:bottom w:val="none" w:sz="0" w:space="0" w:color="auto"/>
        <w:right w:val="none" w:sz="0" w:space="0" w:color="auto"/>
      </w:divBdr>
    </w:div>
    <w:div w:id="1641690714">
      <w:bodyDiv w:val="1"/>
      <w:marLeft w:val="0"/>
      <w:marRight w:val="0"/>
      <w:marTop w:val="0"/>
      <w:marBottom w:val="0"/>
      <w:divBdr>
        <w:top w:val="none" w:sz="0" w:space="0" w:color="auto"/>
        <w:left w:val="none" w:sz="0" w:space="0" w:color="auto"/>
        <w:bottom w:val="none" w:sz="0" w:space="0" w:color="auto"/>
        <w:right w:val="none" w:sz="0" w:space="0" w:color="auto"/>
      </w:divBdr>
    </w:div>
    <w:div w:id="1650204793">
      <w:bodyDiv w:val="1"/>
      <w:marLeft w:val="0"/>
      <w:marRight w:val="0"/>
      <w:marTop w:val="0"/>
      <w:marBottom w:val="0"/>
      <w:divBdr>
        <w:top w:val="none" w:sz="0" w:space="0" w:color="auto"/>
        <w:left w:val="none" w:sz="0" w:space="0" w:color="auto"/>
        <w:bottom w:val="none" w:sz="0" w:space="0" w:color="auto"/>
        <w:right w:val="none" w:sz="0" w:space="0" w:color="auto"/>
      </w:divBdr>
    </w:div>
    <w:div w:id="1677541086">
      <w:bodyDiv w:val="1"/>
      <w:marLeft w:val="0"/>
      <w:marRight w:val="0"/>
      <w:marTop w:val="0"/>
      <w:marBottom w:val="0"/>
      <w:divBdr>
        <w:top w:val="none" w:sz="0" w:space="0" w:color="auto"/>
        <w:left w:val="none" w:sz="0" w:space="0" w:color="auto"/>
        <w:bottom w:val="none" w:sz="0" w:space="0" w:color="auto"/>
        <w:right w:val="none" w:sz="0" w:space="0" w:color="auto"/>
      </w:divBdr>
    </w:div>
    <w:div w:id="1688479175">
      <w:bodyDiv w:val="1"/>
      <w:marLeft w:val="0"/>
      <w:marRight w:val="0"/>
      <w:marTop w:val="0"/>
      <w:marBottom w:val="0"/>
      <w:divBdr>
        <w:top w:val="none" w:sz="0" w:space="0" w:color="auto"/>
        <w:left w:val="none" w:sz="0" w:space="0" w:color="auto"/>
        <w:bottom w:val="none" w:sz="0" w:space="0" w:color="auto"/>
        <w:right w:val="none" w:sz="0" w:space="0" w:color="auto"/>
      </w:divBdr>
    </w:div>
    <w:div w:id="1699088079">
      <w:bodyDiv w:val="1"/>
      <w:marLeft w:val="0"/>
      <w:marRight w:val="0"/>
      <w:marTop w:val="0"/>
      <w:marBottom w:val="0"/>
      <w:divBdr>
        <w:top w:val="none" w:sz="0" w:space="0" w:color="auto"/>
        <w:left w:val="none" w:sz="0" w:space="0" w:color="auto"/>
        <w:bottom w:val="none" w:sz="0" w:space="0" w:color="auto"/>
        <w:right w:val="none" w:sz="0" w:space="0" w:color="auto"/>
      </w:divBdr>
    </w:div>
    <w:div w:id="1702051221">
      <w:bodyDiv w:val="1"/>
      <w:marLeft w:val="0"/>
      <w:marRight w:val="0"/>
      <w:marTop w:val="0"/>
      <w:marBottom w:val="0"/>
      <w:divBdr>
        <w:top w:val="none" w:sz="0" w:space="0" w:color="auto"/>
        <w:left w:val="none" w:sz="0" w:space="0" w:color="auto"/>
        <w:bottom w:val="none" w:sz="0" w:space="0" w:color="auto"/>
        <w:right w:val="none" w:sz="0" w:space="0" w:color="auto"/>
      </w:divBdr>
    </w:div>
    <w:div w:id="1713386065">
      <w:bodyDiv w:val="1"/>
      <w:marLeft w:val="0"/>
      <w:marRight w:val="0"/>
      <w:marTop w:val="0"/>
      <w:marBottom w:val="0"/>
      <w:divBdr>
        <w:top w:val="none" w:sz="0" w:space="0" w:color="auto"/>
        <w:left w:val="none" w:sz="0" w:space="0" w:color="auto"/>
        <w:bottom w:val="none" w:sz="0" w:space="0" w:color="auto"/>
        <w:right w:val="none" w:sz="0" w:space="0" w:color="auto"/>
      </w:divBdr>
    </w:div>
    <w:div w:id="1723169238">
      <w:bodyDiv w:val="1"/>
      <w:marLeft w:val="0"/>
      <w:marRight w:val="0"/>
      <w:marTop w:val="0"/>
      <w:marBottom w:val="0"/>
      <w:divBdr>
        <w:top w:val="none" w:sz="0" w:space="0" w:color="auto"/>
        <w:left w:val="none" w:sz="0" w:space="0" w:color="auto"/>
        <w:bottom w:val="none" w:sz="0" w:space="0" w:color="auto"/>
        <w:right w:val="none" w:sz="0" w:space="0" w:color="auto"/>
      </w:divBdr>
    </w:div>
    <w:div w:id="1760440083">
      <w:bodyDiv w:val="1"/>
      <w:marLeft w:val="0"/>
      <w:marRight w:val="0"/>
      <w:marTop w:val="0"/>
      <w:marBottom w:val="0"/>
      <w:divBdr>
        <w:top w:val="none" w:sz="0" w:space="0" w:color="auto"/>
        <w:left w:val="none" w:sz="0" w:space="0" w:color="auto"/>
        <w:bottom w:val="none" w:sz="0" w:space="0" w:color="auto"/>
        <w:right w:val="none" w:sz="0" w:space="0" w:color="auto"/>
      </w:divBdr>
    </w:div>
    <w:div w:id="1787500432">
      <w:bodyDiv w:val="1"/>
      <w:marLeft w:val="0"/>
      <w:marRight w:val="0"/>
      <w:marTop w:val="0"/>
      <w:marBottom w:val="0"/>
      <w:divBdr>
        <w:top w:val="none" w:sz="0" w:space="0" w:color="auto"/>
        <w:left w:val="none" w:sz="0" w:space="0" w:color="auto"/>
        <w:bottom w:val="none" w:sz="0" w:space="0" w:color="auto"/>
        <w:right w:val="none" w:sz="0" w:space="0" w:color="auto"/>
      </w:divBdr>
    </w:div>
    <w:div w:id="1872571120">
      <w:bodyDiv w:val="1"/>
      <w:marLeft w:val="0"/>
      <w:marRight w:val="0"/>
      <w:marTop w:val="0"/>
      <w:marBottom w:val="0"/>
      <w:divBdr>
        <w:top w:val="none" w:sz="0" w:space="0" w:color="auto"/>
        <w:left w:val="none" w:sz="0" w:space="0" w:color="auto"/>
        <w:bottom w:val="none" w:sz="0" w:space="0" w:color="auto"/>
        <w:right w:val="none" w:sz="0" w:space="0" w:color="auto"/>
      </w:divBdr>
    </w:div>
    <w:div w:id="1885098201">
      <w:bodyDiv w:val="1"/>
      <w:marLeft w:val="0"/>
      <w:marRight w:val="0"/>
      <w:marTop w:val="0"/>
      <w:marBottom w:val="0"/>
      <w:divBdr>
        <w:top w:val="none" w:sz="0" w:space="0" w:color="auto"/>
        <w:left w:val="none" w:sz="0" w:space="0" w:color="auto"/>
        <w:bottom w:val="none" w:sz="0" w:space="0" w:color="auto"/>
        <w:right w:val="none" w:sz="0" w:space="0" w:color="auto"/>
      </w:divBdr>
    </w:div>
    <w:div w:id="1890680012">
      <w:bodyDiv w:val="1"/>
      <w:marLeft w:val="0"/>
      <w:marRight w:val="0"/>
      <w:marTop w:val="0"/>
      <w:marBottom w:val="0"/>
      <w:divBdr>
        <w:top w:val="none" w:sz="0" w:space="0" w:color="auto"/>
        <w:left w:val="none" w:sz="0" w:space="0" w:color="auto"/>
        <w:bottom w:val="none" w:sz="0" w:space="0" w:color="auto"/>
        <w:right w:val="none" w:sz="0" w:space="0" w:color="auto"/>
      </w:divBdr>
    </w:div>
    <w:div w:id="1901283300">
      <w:bodyDiv w:val="1"/>
      <w:marLeft w:val="0"/>
      <w:marRight w:val="0"/>
      <w:marTop w:val="0"/>
      <w:marBottom w:val="0"/>
      <w:divBdr>
        <w:top w:val="none" w:sz="0" w:space="0" w:color="auto"/>
        <w:left w:val="none" w:sz="0" w:space="0" w:color="auto"/>
        <w:bottom w:val="none" w:sz="0" w:space="0" w:color="auto"/>
        <w:right w:val="none" w:sz="0" w:space="0" w:color="auto"/>
      </w:divBdr>
    </w:div>
    <w:div w:id="1925600510">
      <w:bodyDiv w:val="1"/>
      <w:marLeft w:val="0"/>
      <w:marRight w:val="0"/>
      <w:marTop w:val="0"/>
      <w:marBottom w:val="0"/>
      <w:divBdr>
        <w:top w:val="none" w:sz="0" w:space="0" w:color="auto"/>
        <w:left w:val="none" w:sz="0" w:space="0" w:color="auto"/>
        <w:bottom w:val="none" w:sz="0" w:space="0" w:color="auto"/>
        <w:right w:val="none" w:sz="0" w:space="0" w:color="auto"/>
      </w:divBdr>
    </w:div>
    <w:div w:id="1927111435">
      <w:bodyDiv w:val="1"/>
      <w:marLeft w:val="0"/>
      <w:marRight w:val="0"/>
      <w:marTop w:val="0"/>
      <w:marBottom w:val="0"/>
      <w:divBdr>
        <w:top w:val="none" w:sz="0" w:space="0" w:color="auto"/>
        <w:left w:val="none" w:sz="0" w:space="0" w:color="auto"/>
        <w:bottom w:val="none" w:sz="0" w:space="0" w:color="auto"/>
        <w:right w:val="none" w:sz="0" w:space="0" w:color="auto"/>
      </w:divBdr>
    </w:div>
    <w:div w:id="2040666317">
      <w:bodyDiv w:val="1"/>
      <w:marLeft w:val="0"/>
      <w:marRight w:val="0"/>
      <w:marTop w:val="0"/>
      <w:marBottom w:val="0"/>
      <w:divBdr>
        <w:top w:val="none" w:sz="0" w:space="0" w:color="auto"/>
        <w:left w:val="none" w:sz="0" w:space="0" w:color="auto"/>
        <w:bottom w:val="none" w:sz="0" w:space="0" w:color="auto"/>
        <w:right w:val="none" w:sz="0" w:space="0" w:color="auto"/>
      </w:divBdr>
    </w:div>
    <w:div w:id="2041591082">
      <w:bodyDiv w:val="1"/>
      <w:marLeft w:val="0"/>
      <w:marRight w:val="0"/>
      <w:marTop w:val="0"/>
      <w:marBottom w:val="0"/>
      <w:divBdr>
        <w:top w:val="none" w:sz="0" w:space="0" w:color="auto"/>
        <w:left w:val="none" w:sz="0" w:space="0" w:color="auto"/>
        <w:bottom w:val="none" w:sz="0" w:space="0" w:color="auto"/>
        <w:right w:val="none" w:sz="0" w:space="0" w:color="auto"/>
      </w:divBdr>
    </w:div>
    <w:div w:id="2053267311">
      <w:bodyDiv w:val="1"/>
      <w:marLeft w:val="0"/>
      <w:marRight w:val="0"/>
      <w:marTop w:val="0"/>
      <w:marBottom w:val="0"/>
      <w:divBdr>
        <w:top w:val="none" w:sz="0" w:space="0" w:color="auto"/>
        <w:left w:val="none" w:sz="0" w:space="0" w:color="auto"/>
        <w:bottom w:val="none" w:sz="0" w:space="0" w:color="auto"/>
        <w:right w:val="none" w:sz="0" w:space="0" w:color="auto"/>
      </w:divBdr>
    </w:div>
    <w:div w:id="2115010175">
      <w:bodyDiv w:val="1"/>
      <w:marLeft w:val="0"/>
      <w:marRight w:val="0"/>
      <w:marTop w:val="0"/>
      <w:marBottom w:val="0"/>
      <w:divBdr>
        <w:top w:val="none" w:sz="0" w:space="0" w:color="auto"/>
        <w:left w:val="none" w:sz="0" w:space="0" w:color="auto"/>
        <w:bottom w:val="none" w:sz="0" w:space="0" w:color="auto"/>
        <w:right w:val="none" w:sz="0" w:space="0" w:color="auto"/>
      </w:divBdr>
    </w:div>
    <w:div w:id="2139913161">
      <w:bodyDiv w:val="1"/>
      <w:marLeft w:val="0"/>
      <w:marRight w:val="0"/>
      <w:marTop w:val="0"/>
      <w:marBottom w:val="0"/>
      <w:divBdr>
        <w:top w:val="none" w:sz="0" w:space="0" w:color="auto"/>
        <w:left w:val="none" w:sz="0" w:space="0" w:color="auto"/>
        <w:bottom w:val="none" w:sz="0" w:space="0" w:color="auto"/>
        <w:right w:val="none" w:sz="0" w:space="0" w:color="auto"/>
      </w:divBdr>
    </w:div>
    <w:div w:id="214022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ACA59-7F98-4D0C-831E-3CABF215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6</Pages>
  <Words>1170</Words>
  <Characters>6438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JIMÉNEZ</dc:creator>
  <cp:keywords/>
  <dc:description/>
  <cp:lastModifiedBy>Santiago Giraldo Henao</cp:lastModifiedBy>
  <cp:revision>44</cp:revision>
  <dcterms:created xsi:type="dcterms:W3CDTF">2020-08-30T17:12:00Z</dcterms:created>
  <dcterms:modified xsi:type="dcterms:W3CDTF">2024-04-05T23:50:00Z</dcterms:modified>
</cp:coreProperties>
</file>