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Vista de desarrollo — guía de dónde tocar</w:t>
      </w:r>
    </w:p>
    <w:p>
      <w:r>
        <w:rPr>
          <w:i/>
        </w:rPr>
        <w:t>Para quien entre al equipo sin haber estado en ninguna reunión y necesite hacer un cambio sin romper nada. Referencias completas (fichas de una página por patrón, diagramas AS-IS/TO-BE, matriz SOLID) en Actividades/Actividad 3 y Actividad 4 — este documento es el resumen operativo, no el reemplazo.</w:t>
      </w:r>
    </w:p>
    <w:p>
      <w:pPr>
        <w:pStyle w:val="Heading2"/>
      </w:pPr>
      <w:r>
        <w:t>1. Qué patrones hay, dónde viven, cómo se relacionan</w:t>
      </w:r>
    </w:p>
    <w:tbl>
      <w:tblPr>
        <w:tblStyle w:val="TableGrid"/>
        <w:tblW w:type="auto" w:w="0"/>
        <w:tblLayout w:type="fixed"/>
        <w:tblLook w:firstColumn="1" w:firstRow="1" w:lastColumn="0" w:lastRow="0" w:noHBand="0" w:noVBand="1" w:val="04A0"/>
      </w:tblPr>
      <w:tblGrid>
        <w:gridCol w:w="1417"/>
        <w:gridCol w:w="3118"/>
        <w:gridCol w:w="3118"/>
        <w:gridCol w:w="3118"/>
      </w:tblGrid>
      <w:tr>
        <w:tc>
          <w:tcPr>
            <w:tcW w:type="dxa" w:w="1417"/>
            <w:shd w:val="clear" w:color="auto" w:fill="D9E2F3"/>
          </w:tcPr>
          <w:p>
            <w:r/>
            <w:r>
              <w:rPr>
                <w:b/>
                <w:sz w:val="18"/>
              </w:rPr>
              <w:t>Patrón</w:t>
            </w:r>
          </w:p>
        </w:tc>
        <w:tc>
          <w:tcPr>
            <w:tcW w:type="dxa" w:w="3118"/>
            <w:shd w:val="clear" w:color="auto" w:fill="D9E2F3"/>
          </w:tcPr>
          <w:p>
            <w:r/>
            <w:r>
              <w:rPr>
                <w:b/>
                <w:sz w:val="18"/>
              </w:rPr>
              <w:t>Dónde vive</w:t>
            </w:r>
          </w:p>
        </w:tc>
        <w:tc>
          <w:tcPr>
            <w:tcW w:type="dxa" w:w="3118"/>
            <w:shd w:val="clear" w:color="auto" w:fill="D9E2F3"/>
          </w:tcPr>
          <w:p>
            <w:r/>
            <w:r>
              <w:rPr>
                <w:b/>
                <w:sz w:val="18"/>
              </w:rPr>
              <w:t>Qué resuelve</w:t>
            </w:r>
          </w:p>
        </w:tc>
        <w:tc>
          <w:tcPr>
            <w:tcW w:type="dxa" w:w="3118"/>
            <w:shd w:val="clear" w:color="auto" w:fill="D9E2F3"/>
          </w:tcPr>
          <w:p>
            <w:r/>
            <w:r>
              <w:rPr>
                <w:b/>
                <w:sz w:val="18"/>
              </w:rPr>
              <w:t>Se relaciona con</w:t>
            </w:r>
          </w:p>
        </w:tc>
      </w:tr>
      <w:tr>
        <w:tc>
          <w:tcPr>
            <w:tcW w:type="dxa" w:w="1417"/>
          </w:tcPr>
          <w:p>
            <w:r/>
            <w:r>
              <w:rPr>
                <w:b w:val="0"/>
                <w:sz w:val="17"/>
              </w:rPr>
              <w:t>Factory Method</w:t>
            </w:r>
          </w:p>
        </w:tc>
        <w:tc>
          <w:tcPr>
            <w:tcW w:type="dxa" w:w="3118"/>
          </w:tcPr>
          <w:p>
            <w:r/>
            <w:r>
              <w:rPr>
                <w:b w:val="0"/>
                <w:sz w:val="17"/>
              </w:rPr>
              <w:t>BibFarmacia/Factories/ (ProductoFactory, CreadorCapsula, CreadorLiquido) + BibFarmacia/Interfaces/IProductoCreador.cs</w:t>
            </w:r>
          </w:p>
        </w:tc>
        <w:tc>
          <w:tcPr>
            <w:tcW w:type="dxa" w:w="3118"/>
          </w:tcPr>
          <w:p>
            <w:r/>
            <w:r>
              <w:rPr>
                <w:b w:val="0"/>
                <w:sz w:val="17"/>
              </w:rPr>
              <w:t>Construye el Producto correcto según el tipo leído del archivo (P-01).</w:t>
            </w:r>
          </w:p>
        </w:tc>
        <w:tc>
          <w:tcPr>
            <w:tcW w:type="dxa" w:w="3118"/>
          </w:tcPr>
          <w:p>
            <w:r/>
            <w:r>
              <w:rPr>
                <w:b w:val="0"/>
                <w:sz w:val="17"/>
              </w:rPr>
              <w:t>Consumido por RepositorioProductoArchivo.Cargar.</w:t>
            </w:r>
          </w:p>
        </w:tc>
      </w:tr>
      <w:tr>
        <w:tc>
          <w:tcPr>
            <w:tcW w:type="dxa" w:w="1417"/>
          </w:tcPr>
          <w:p>
            <w:r/>
            <w:r>
              <w:rPr>
                <w:b w:val="0"/>
                <w:sz w:val="17"/>
              </w:rPr>
              <w:t>Strategy</w:t>
            </w:r>
          </w:p>
        </w:tc>
        <w:tc>
          <w:tcPr>
            <w:tcW w:type="dxa" w:w="3118"/>
          </w:tcPr>
          <w:p>
            <w:r/>
            <w:r>
              <w:rPr>
                <w:b w:val="0"/>
                <w:sz w:val="17"/>
              </w:rPr>
              <w:t>BibFarmacia/Clases/Convenio.cs + BibFarmacia/Interfaces/IDescuento.cs + BibFarmacia/Servicios/ServicioDescuento.cs</w:t>
            </w:r>
          </w:p>
        </w:tc>
        <w:tc>
          <w:tcPr>
            <w:tcW w:type="dxa" w:w="3118"/>
          </w:tcPr>
          <w:p>
            <w:r/>
            <w:r>
              <w:rPr>
                <w:b w:val="0"/>
                <w:sz w:val="17"/>
              </w:rPr>
              <w:t>Calcula el descuento de un convenio (P-02 → SC-3, activado).</w:t>
            </w:r>
          </w:p>
        </w:tc>
        <w:tc>
          <w:tcPr>
            <w:tcW w:type="dxa" w:w="3118"/>
          </w:tcPr>
          <w:p>
            <w:r/>
            <w:r>
              <w:rPr>
                <w:b w:val="0"/>
                <w:sz w:val="17"/>
              </w:rPr>
              <w:t>Invocado por ServicioVentas.AplicarDescuento, llamado desde FarmaciaFacade.RegistrarVenta.</w:t>
            </w:r>
          </w:p>
        </w:tc>
      </w:tr>
      <w:tr>
        <w:tc>
          <w:tcPr>
            <w:tcW w:type="dxa" w:w="1417"/>
          </w:tcPr>
          <w:p>
            <w:r/>
            <w:r>
              <w:rPr>
                <w:b w:val="0"/>
                <w:sz w:val="17"/>
              </w:rPr>
              <w:t>Observer</w:t>
            </w:r>
          </w:p>
        </w:tc>
        <w:tc>
          <w:tcPr>
            <w:tcW w:type="dxa" w:w="3118"/>
          </w:tcPr>
          <w:p>
            <w:r/>
            <w:r>
              <w:rPr>
                <w:b w:val="0"/>
                <w:sz w:val="17"/>
              </w:rPr>
              <w:t>BibFarmacia/Eventos/Evento*.cs (Subject) + BibFarmacia/Interfaces/IServicioNotificacion.cs + BibFarmacia/Servicios/ServicioNotificacion.cs (ConcreteObserver)</w:t>
            </w:r>
          </w:p>
        </w:tc>
        <w:tc>
          <w:tcPr>
            <w:tcW w:type="dxa" w:w="3118"/>
          </w:tcPr>
          <w:p>
            <w:r/>
            <w:r>
              <w:rPr>
                <w:b w:val="0"/>
                <w:sz w:val="17"/>
              </w:rPr>
              <w:t>Centraliza el formateo de alertas — antes duplicado 4 veces (P-03).</w:t>
            </w:r>
          </w:p>
        </w:tc>
        <w:tc>
          <w:tcPr>
            <w:tcW w:type="dxa" w:w="3118"/>
          </w:tcPr>
          <w:p>
            <w:r/>
            <w:r>
              <w:rPr>
                <w:b w:val="0"/>
                <w:sz w:val="17"/>
              </w:rPr>
              <w:t>Suscrito desde el composition root a los 4 eventos, uno por vez.</w:t>
            </w:r>
          </w:p>
        </w:tc>
      </w:tr>
      <w:tr>
        <w:tc>
          <w:tcPr>
            <w:tcW w:type="dxa" w:w="1417"/>
          </w:tcPr>
          <w:p>
            <w:r/>
            <w:r>
              <w:rPr>
                <w:b w:val="0"/>
                <w:sz w:val="17"/>
              </w:rPr>
              <w:t>Command</w:t>
            </w:r>
          </w:p>
        </w:tc>
        <w:tc>
          <w:tcPr>
            <w:tcW w:type="dxa" w:w="3118"/>
          </w:tcPr>
          <w:p>
            <w:r/>
            <w:r>
              <w:rPr>
                <w:b w:val="0"/>
                <w:sz w:val="17"/>
              </w:rPr>
              <w:t>BibFarmacia/Interfaces/IComandoMenu.cs + BibFarmacia/Comandos/*.cs (7 clases)</w:t>
            </w:r>
          </w:p>
        </w:tc>
        <w:tc>
          <w:tcPr>
            <w:tcW w:type="dxa" w:w="3118"/>
          </w:tcPr>
          <w:p>
            <w:r/>
            <w:r>
              <w:rPr>
                <w:b w:val="0"/>
                <w:sz w:val="17"/>
              </w:rPr>
              <w:t>Encapsula cada opción del menú — antes un switch de 8 casos (P-02/P-04/P-06/P-07).</w:t>
            </w:r>
          </w:p>
        </w:tc>
        <w:tc>
          <w:tcPr>
            <w:tcW w:type="dxa" w:w="3118"/>
          </w:tcPr>
          <w:p>
            <w:r/>
            <w:r>
              <w:rPr>
                <w:b w:val="0"/>
                <w:sz w:val="17"/>
              </w:rPr>
              <w:t>Seleccionado por un Dictionary&lt;int, IComandoMenu&gt; en el composition root; cada comando usa FarmaciaFacade.</w:t>
            </w:r>
          </w:p>
        </w:tc>
      </w:tr>
      <w:tr>
        <w:tc>
          <w:tcPr>
            <w:tcW w:type="dxa" w:w="1417"/>
          </w:tcPr>
          <w:p>
            <w:r/>
            <w:r>
              <w:rPr>
                <w:b w:val="0"/>
                <w:sz w:val="17"/>
              </w:rPr>
              <w:t>Facade</w:t>
            </w:r>
          </w:p>
        </w:tc>
        <w:tc>
          <w:tcPr>
            <w:tcW w:type="dxa" w:w="3118"/>
          </w:tcPr>
          <w:p>
            <w:r/>
            <w:r>
              <w:rPr>
                <w:b w:val="0"/>
                <w:sz w:val="17"/>
              </w:rPr>
              <w:t>BibFarmacia/Servicios/FarmaciaFacade.cs</w:t>
            </w:r>
          </w:p>
        </w:tc>
        <w:tc>
          <w:tcPr>
            <w:tcW w:type="dxa" w:w="3118"/>
          </w:tcPr>
          <w:p>
            <w:r/>
            <w:r>
              <w:rPr>
                <w:b w:val="0"/>
                <w:sz w:val="17"/>
              </w:rPr>
              <w:t>Punto de entrada único para vender, cargar el sistema y verificar alertas (P-02/P-04/P-07).</w:t>
            </w:r>
          </w:p>
        </w:tc>
        <w:tc>
          <w:tcPr>
            <w:tcW w:type="dxa" w:w="3118"/>
          </w:tcPr>
          <w:p>
            <w:r/>
            <w:r>
              <w:rPr>
                <w:b w:val="0"/>
                <w:sz w:val="17"/>
              </w:rPr>
              <w:t>Construida en el composition root; usada por todos los Comandos.</w:t>
            </w:r>
          </w:p>
        </w:tc>
      </w:tr>
    </w:tbl>
    <w:p/>
    <w:p>
      <w:pPr>
        <w:pStyle w:val="Heading2"/>
      </w:pPr>
      <w:r>
        <w:t>2. Dónde se ensambla el sistema</w:t>
      </w:r>
    </w:p>
    <w:p>
      <w:r>
        <w:t>AppFarmaciaConsola/Program.cs es el único composition root: ahí se construyen todas las instancias concretas, en este orden — eventos → autenticación → servicios (incluido ServicioVentas) → FarmaciaFacade → suscripciones de Observer → carga de archivos → login → Dictionary de comandos → loop de menú. No hay contenedor de inyección automática: cablear un objeto nuevo significa agregar una línea aquí mismo, a mano.</w:t>
      </w:r>
    </w:p>
    <w:p>
      <w:pPr>
        <w:pStyle w:val="Heading2"/>
      </w:pPr>
      <w:r>
        <w:t>3. Reglas que no se deben romper (y por qué)</w:t>
      </w:r>
    </w:p>
    <w:p>
      <w:pPr>
        <w:pStyle w:val="ListBullet"/>
      </w:pPr>
      <w:r>
        <w:t>No agregar un contenedor de inyección de dependencias, un ORM, ni cambiar el estilo arquitectónico — regla dura del reto (ver CLAUDE.md). Todo el cableado sigue siendo manual en el composition root.</w:t>
      </w:r>
    </w:p>
    <w:p>
      <w:pPr>
        <w:pStyle w:val="ListBullet"/>
      </w:pPr>
      <w:r>
        <w:t>No modificar comportamiento observable sin que sea una solicitud de cambio del Anexo B autorizada. Cualquier cambio debe re-verificarse contra los escenarios de Actividad 4.2 (dotnet build + comparación de salida por consola, antes/después) antes de darse por bueno.</w:t>
      </w:r>
    </w:p>
    <w:p>
      <w:pPr>
        <w:pStyle w:val="ListBullet"/>
      </w:pPr>
      <w:r>
        <w:t>FarmaciaFacade no debe contener reglas de negocio (validaciones de stock, cálculos de descuento, formato de presentación) — solo delegar en los servicios existentes. Es la advertencia del Anexo A que el equipo citó en Actividad 2 y 4.1; romperla es el riesgo R-04 del registro de riesgos.</w:t>
      </w:r>
    </w:p>
    <w:p>
      <w:pPr>
        <w:pStyle w:val="ListBullet"/>
      </w:pPr>
      <w:r>
        <w:t>ProductoFactory.CrearPorTipo debe seguir despachando por switch/diccionario de valores conocidos, no por una cadena de if que crezca sin límite — es exactamente el error típico que el enunciado pide evitar.</w:t>
      </w:r>
    </w:p>
    <w:p>
      <w:pPr>
        <w:pStyle w:val="ListBullet"/>
      </w:pPr>
      <w:r>
        <w:t>Todo campo numérico con decimales que se parsee desde un archivo de texto debe usar CultureInfo.InvariantCulture. Lección aprendida en esta misma entrega (R-02): la máquina de desarrollo usa configuración regional es-CO, donde "." es separador de miles, no decimal.</w:t>
      </w:r>
    </w:p>
    <w:p>
      <w:pPr>
        <w:pStyle w:val="Heading2"/>
      </w:pPr>
      <w:r>
        <w:t>4. Deuda pendiente</w:t>
      </w:r>
    </w:p>
    <w:p>
      <w:pPr>
        <w:pStyle w:val="ListBullet"/>
      </w:pPr>
      <w:r>
        <w:t>P-06 (parseos del menú sin validar en Program.cs, ej. opción/cantidad/puntos) sigue sin resolver — se marcó "no se interviene" en Actividad 1 porque arreglarlo cambiaría comportamiento observable sin autorización de Anexo B.</w:t>
      </w:r>
    </w:p>
    <w:p>
      <w:pPr>
        <w:pStyle w:val="ListBullet"/>
      </w:pPr>
      <w:r>
        <w:t>SC-1 (cosméticos/alimentos) y SC-2 (servicios) tienen la infraestructura lista pero no están activadas de punta a punta: ProductoFactory ya soporta un tipo nuevo vía la columna "tipo" de productos.txt, y Servicio ya implementa IVendible — falta extender el archivo de datos y el flujo de venta/menú para aceptarlas realmente (ver fila E-01 y E-03 de la guía de abajo).</w:t>
      </w:r>
    </w:p>
    <w:p>
      <w:pPr>
        <w:pStyle w:val="ListBullet"/>
      </w:pPr>
      <w:r>
        <w:t>ServicioVentas.RegistrarVenta (con su validación de stock insuficiente) sigue sin un llamador real: FarmaciaFacade.RegistrarVenta replica la lógica original de resta de stock sin esa validación, para no cambiar comportamiento sin autorización. Si el negocio quiere esa validación, es un cambio de comportamiento que requiere una decisión explícita, no un ajuste silencioso.</w:t>
      </w:r>
    </w:p>
    <w:p>
      <w:pPr>
        <w:pStyle w:val="ListBullet"/>
      </w:pPr>
      <w:r>
        <w:t>R-01 a R-05 del registro de riesgos (Actividad 5.1): R-01 ya mitigado en código (validación de rango de la tasa de descuento); R-02 a R-05 quedan como vigilancia activa, no como código pendiente.</w:t>
      </w:r>
    </w:p>
    <w:p>
      <w:pPr>
        <w:pStyle w:val="Heading2"/>
      </w:pPr>
      <w:r>
        <w:t>5. Guía de dónde tocar (artefacto central)</w:t>
      </w:r>
    </w:p>
    <w:p>
      <w:r>
        <w:rPr>
          <w:i/>
        </w:rPr>
        <w:t>6 filas (mínimo exigido: 5), cubriendo las 3 solicitudes del Anexo B (SC-1, SC-2, SC-3) más los tipos de cambio previsibles alrededor de los otros patrones adoptados.</w:t>
      </w:r>
    </w:p>
    <w:tbl>
      <w:tblPr>
        <w:tblStyle w:val="TableGrid"/>
        <w:tblW w:type="auto" w:w="0"/>
        <w:tblLayout w:type="fixed"/>
        <w:tblLook w:firstColumn="1" w:firstRow="1" w:lastColumn="0" w:lastRow="0" w:noHBand="0" w:noVBand="1" w:val="04A0"/>
      </w:tblPr>
      <w:tblGrid>
        <w:gridCol w:w="2551"/>
        <w:gridCol w:w="2551"/>
        <w:gridCol w:w="2721"/>
        <w:gridCol w:w="2721"/>
      </w:tblGrid>
      <w:tr>
        <w:tc>
          <w:tcPr>
            <w:tcW w:type="dxa" w:w="2551"/>
            <w:shd w:val="clear" w:color="auto" w:fill="D9E2F3"/>
          </w:tcPr>
          <w:p>
            <w:r/>
            <w:r>
              <w:rPr>
                <w:b/>
                <w:sz w:val="18"/>
              </w:rPr>
              <w:t>Tipo de cambio previsible</w:t>
            </w:r>
          </w:p>
        </w:tc>
        <w:tc>
          <w:tcPr>
            <w:tcW w:type="dxa" w:w="2551"/>
            <w:shd w:val="clear" w:color="auto" w:fill="D9E2F3"/>
          </w:tcPr>
          <w:p>
            <w:r/>
            <w:r>
              <w:rPr>
                <w:b/>
                <w:sz w:val="18"/>
              </w:rPr>
              <w:t>Qué crear</w:t>
            </w:r>
          </w:p>
        </w:tc>
        <w:tc>
          <w:tcPr>
            <w:tcW w:type="dxa" w:w="2721"/>
            <w:shd w:val="clear" w:color="auto" w:fill="D9E2F3"/>
          </w:tcPr>
          <w:p>
            <w:r/>
            <w:r>
              <w:rPr>
                <w:b/>
                <w:sz w:val="18"/>
              </w:rPr>
              <w:t>Qué modificar</w:t>
            </w:r>
          </w:p>
        </w:tc>
        <w:tc>
          <w:tcPr>
            <w:tcW w:type="dxa" w:w="2721"/>
            <w:shd w:val="clear" w:color="auto" w:fill="D9E2F3"/>
          </w:tcPr>
          <w:p>
            <w:r/>
            <w:r>
              <w:rPr>
                <w:b/>
                <w:sz w:val="18"/>
              </w:rPr>
              <w:t>Qué NO tocar</w:t>
            </w:r>
          </w:p>
        </w:tc>
      </w:tr>
      <w:tr>
        <w:tc>
          <w:tcPr>
            <w:tcW w:type="dxa" w:w="2551"/>
          </w:tcPr>
          <w:p>
            <w:r/>
            <w:r>
              <w:rPr>
                <w:b w:val="0"/>
                <w:sz w:val="17"/>
              </w:rPr>
              <w:t>Agregar un tipo de producto nuevo — cosméticos/alimentos (SC-1)</w:t>
            </w:r>
          </w:p>
        </w:tc>
        <w:tc>
          <w:tcPr>
            <w:tcW w:type="dxa" w:w="2551"/>
          </w:tcPr>
          <w:p>
            <w:r/>
            <w:r>
              <w:rPr>
                <w:b w:val="0"/>
                <w:sz w:val="17"/>
              </w:rPr>
              <w:t>Un CreadorXxx nuevo implementando IProductoCreador (BibFarmacia/Factories/).</w:t>
            </w:r>
          </w:p>
        </w:tc>
        <w:tc>
          <w:tcPr>
            <w:tcW w:type="dxa" w:w="2721"/>
          </w:tcPr>
          <w:p>
            <w:r/>
            <w:r>
              <w:rPr>
                <w:b w:val="0"/>
                <w:sz w:val="17"/>
              </w:rPr>
              <w:t>ProductoFactory.CrearPorTipo (agregar una rama al switch) y productos.txt (agregar filas con la columna "tipo").</w:t>
            </w:r>
          </w:p>
        </w:tc>
        <w:tc>
          <w:tcPr>
            <w:tcW w:type="dxa" w:w="2721"/>
          </w:tcPr>
          <w:p>
            <w:r/>
            <w:r>
              <w:rPr>
                <w:b w:val="0"/>
                <w:sz w:val="17"/>
              </w:rPr>
              <w:t>RepositorioProductoArchivo.cs, Program.cs — ninguno necesita cambiar.</w:t>
            </w:r>
          </w:p>
        </w:tc>
      </w:tr>
      <w:tr>
        <w:tc>
          <w:tcPr>
            <w:tcW w:type="dxa" w:w="2551"/>
          </w:tcPr>
          <w:p>
            <w:r/>
            <w:r>
              <w:rPr>
                <w:b w:val="0"/>
                <w:sz w:val="17"/>
              </w:rPr>
              <w:t>Vender un tipo de item nuevo — servicios (SC-2)</w:t>
            </w:r>
          </w:p>
        </w:tc>
        <w:tc>
          <w:tcPr>
            <w:tcW w:type="dxa" w:w="2551"/>
          </w:tcPr>
          <w:p>
            <w:r/>
            <w:r>
              <w:rPr>
                <w:b w:val="0"/>
                <w:sz w:val="17"/>
              </w:rPr>
              <w:t>Nada necesariamente nuevo: Servicio ya implementa IVendible.</w:t>
            </w:r>
          </w:p>
        </w:tc>
        <w:tc>
          <w:tcPr>
            <w:tcW w:type="dxa" w:w="2721"/>
          </w:tcPr>
          <w:p>
            <w:r/>
            <w:r>
              <w:rPr>
                <w:b w:val="0"/>
                <w:sz w:val="17"/>
              </w:rPr>
              <w:t>ComandoRegistrarVenta / FarmaciaFacade.BuscarProducto para que también busquen entre Servicios (hoy solo buscan en la lista de ServicioProducto).</w:t>
            </w:r>
          </w:p>
        </w:tc>
        <w:tc>
          <w:tcPr>
            <w:tcW w:type="dxa" w:w="2721"/>
          </w:tcPr>
          <w:p>
            <w:r/>
            <w:r>
              <w:rPr>
                <w:b w:val="0"/>
                <w:sz w:val="17"/>
              </w:rPr>
              <w:t>ServicioProducto.cs — sigue siendo solo para productos físicos con stock.</w:t>
            </w:r>
          </w:p>
        </w:tc>
      </w:tr>
      <w:tr>
        <w:tc>
          <w:tcPr>
            <w:tcW w:type="dxa" w:w="2551"/>
          </w:tcPr>
          <w:p>
            <w:r/>
            <w:r>
              <w:rPr>
                <w:b w:val="0"/>
                <w:sz w:val="17"/>
              </w:rPr>
              <w:t>Cambiar la regla de descuento de un convenio, o agregar una política nueva (SC-3)</w:t>
            </w:r>
          </w:p>
        </w:tc>
        <w:tc>
          <w:tcPr>
            <w:tcW w:type="dxa" w:w="2551"/>
          </w:tcPr>
          <w:p>
            <w:r/>
            <w:r>
              <w:rPr>
                <w:b w:val="0"/>
                <w:sz w:val="17"/>
              </w:rPr>
              <w:t>Una clase que implemente IDescuento (junto a ServicioDescuento).</w:t>
            </w:r>
          </w:p>
        </w:tc>
        <w:tc>
          <w:tcPr>
            <w:tcW w:type="dxa" w:w="2721"/>
          </w:tcPr>
          <w:p>
            <w:r/>
            <w:r>
              <w:rPr>
                <w:b w:val="0"/>
                <w:sz w:val="17"/>
              </w:rPr>
              <w:t>Cómo se asigna un Convenio a un Cliente (hoy: columnas opcionales en clientes.txt vía ServicioCliente.Cargar).</w:t>
            </w:r>
          </w:p>
        </w:tc>
        <w:tc>
          <w:tcPr>
            <w:tcW w:type="dxa" w:w="2721"/>
          </w:tcPr>
          <w:p>
            <w:r/>
            <w:r>
              <w:rPr>
                <w:b w:val="0"/>
                <w:sz w:val="17"/>
              </w:rPr>
              <w:t>FarmaciaFacade.RegistrarVenta — ya soporta cualquier IDescuento a través de Convenio, sin cambios.</w:t>
            </w:r>
          </w:p>
        </w:tc>
      </w:tr>
      <w:tr>
        <w:tc>
          <w:tcPr>
            <w:tcW w:type="dxa" w:w="2551"/>
          </w:tcPr>
          <w:p>
            <w:r/>
            <w:r>
              <w:rPr>
                <w:b w:val="0"/>
                <w:sz w:val="17"/>
              </w:rPr>
              <w:t>Agregar una opción de menú nueva</w:t>
            </w:r>
          </w:p>
        </w:tc>
        <w:tc>
          <w:tcPr>
            <w:tcW w:type="dxa" w:w="2551"/>
          </w:tcPr>
          <w:p>
            <w:r/>
            <w:r>
              <w:rPr>
                <w:b w:val="0"/>
                <w:sz w:val="17"/>
              </w:rPr>
              <w:t>Un ComandoXxx nuevo implementando IComandoMenu (BibFarmacia/Comandos/).</w:t>
            </w:r>
          </w:p>
        </w:tc>
        <w:tc>
          <w:tcPr>
            <w:tcW w:type="dxa" w:w="2721"/>
          </w:tcPr>
          <w:p>
            <w:r/>
            <w:r>
              <w:rPr>
                <w:b w:val="0"/>
                <w:sz w:val="17"/>
              </w:rPr>
              <w:t>El Dictionary de comandos en Program.cs (una línea) y, si expone una operación de negocio nueva, un método en FarmaciaFacade.</w:t>
            </w:r>
          </w:p>
        </w:tc>
        <w:tc>
          <w:tcPr>
            <w:tcW w:type="dxa" w:w="2721"/>
          </w:tcPr>
          <w:p>
            <w:r/>
            <w:r>
              <w:rPr>
                <w:b w:val="0"/>
                <w:sz w:val="17"/>
              </w:rPr>
              <w:t>Los demás ComandoXxx, IComandoMenu.cs — no necesitan tocarse.</w:t>
            </w:r>
          </w:p>
        </w:tc>
      </w:tr>
      <w:tr>
        <w:tc>
          <w:tcPr>
            <w:tcW w:type="dxa" w:w="2551"/>
          </w:tcPr>
          <w:p>
            <w:r/>
            <w:r>
              <w:rPr>
                <w:b w:val="0"/>
                <w:sz w:val="17"/>
              </w:rPr>
              <w:t>Agregar un canal de notificación nuevo (ej. guardar alertas en un archivo en vez de solo consola)</w:t>
            </w:r>
          </w:p>
        </w:tc>
        <w:tc>
          <w:tcPr>
            <w:tcW w:type="dxa" w:w="2551"/>
          </w:tcPr>
          <w:p>
            <w:r/>
            <w:r>
              <w:rPr>
                <w:b w:val="0"/>
                <w:sz w:val="17"/>
              </w:rPr>
              <w:t>Una clase que implemente IServicioNotificacion.</w:t>
            </w:r>
          </w:p>
        </w:tc>
        <w:tc>
          <w:tcPr>
            <w:tcW w:type="dxa" w:w="2721"/>
          </w:tcPr>
          <w:p>
            <w:r/>
            <w:r>
              <w:rPr>
                <w:b w:val="0"/>
                <w:sz w:val="17"/>
              </w:rPr>
              <w:t>La línea del composition root que construye ServicioNotificacion (o suscribir un segundo observador además del existente).</w:t>
            </w:r>
          </w:p>
        </w:tc>
        <w:tc>
          <w:tcPr>
            <w:tcW w:type="dxa" w:w="2721"/>
          </w:tcPr>
          <w:p>
            <w:r/>
            <w:r>
              <w:rPr>
                <w:b w:val="0"/>
                <w:sz w:val="17"/>
              </w:rPr>
              <w:t>Los 4 Evento*, ServicioProducto, ServicioCliente — el mecanismo Subject no cambia.</w:t>
            </w:r>
          </w:p>
        </w:tc>
      </w:tr>
      <w:tr>
        <w:tc>
          <w:tcPr>
            <w:tcW w:type="dxa" w:w="2551"/>
          </w:tcPr>
          <w:p>
            <w:r/>
            <w:r>
              <w:rPr>
                <w:b w:val="0"/>
                <w:sz w:val="17"/>
              </w:rPr>
              <w:t>Agregar una operación de negocio nueva accesible desde el menú (combina servicios existentes)</w:t>
            </w:r>
          </w:p>
        </w:tc>
        <w:tc>
          <w:tcPr>
            <w:tcW w:type="dxa" w:w="2551"/>
          </w:tcPr>
          <w:p>
            <w:r/>
            <w:r>
              <w:rPr>
                <w:b w:val="0"/>
                <w:sz w:val="17"/>
              </w:rPr>
              <w:t>1 ComandoXxx + 1 método nuevo en FarmaciaFacade.</w:t>
            </w:r>
          </w:p>
        </w:tc>
        <w:tc>
          <w:tcPr>
            <w:tcW w:type="dxa" w:w="2721"/>
          </w:tcPr>
          <w:p>
            <w:r/>
            <w:r>
              <w:rPr>
                <w:b w:val="0"/>
                <w:sz w:val="17"/>
              </w:rPr>
              <w:t>El Dictionary de comandos en Program.cs.</w:t>
            </w:r>
          </w:p>
        </w:tc>
        <w:tc>
          <w:tcPr>
            <w:tcW w:type="dxa" w:w="2721"/>
          </w:tcPr>
          <w:p>
            <w:r/>
            <w:r>
              <w:rPr>
                <w:b w:val="0"/>
                <w:sz w:val="17"/>
              </w:rPr>
              <w:t>Los servicios existentes (ServicioProducto, ServicioCliente, ServicioMovimiento, ServicioVentas) si la operación solo combina llamadas que ya existen.</w:t>
            </w:r>
          </w:p>
        </w:tc>
      </w:tr>
    </w:tbl>
    <w:sectPr w:rsidR="00FC693F" w:rsidRPr="0006063C" w:rsidSect="00034616">
      <w:pgSz w:w="15840" w:h="12240" w:orient="landscape"/>
      <w:pgMar w:top="1440" w:right="737" w:bottom="144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