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F9" w:rsidRDefault="008B77F9" w:rsidP="008B77F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12BF88" wp14:editId="774ABE63">
                <wp:simplePos x="0" y="0"/>
                <wp:positionH relativeFrom="column">
                  <wp:posOffset>4272915</wp:posOffset>
                </wp:positionH>
                <wp:positionV relativeFrom="paragraph">
                  <wp:posOffset>1881505</wp:posOffset>
                </wp:positionV>
                <wp:extent cx="676275" cy="485775"/>
                <wp:effectExtent l="0" t="0" r="28575" b="2857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F9" w:rsidRPr="008B77F9" w:rsidRDefault="008B77F9" w:rsidP="008B77F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2BF8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36.45pt;margin-top:148.15pt;width:53.2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">
                <v:textbox>
                  <w:txbxContent>
                    <w:p w:rsidR="008B77F9" w:rsidRPr="008B77F9" w:rsidRDefault="008B77F9" w:rsidP="008B77F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5BD605" wp14:editId="292E56AF">
                <wp:simplePos x="0" y="0"/>
                <wp:positionH relativeFrom="column">
                  <wp:posOffset>662940</wp:posOffset>
                </wp:positionH>
                <wp:positionV relativeFrom="paragraph">
                  <wp:posOffset>1871980</wp:posOffset>
                </wp:positionV>
                <wp:extent cx="723900" cy="247650"/>
                <wp:effectExtent l="0" t="0" r="19050" b="1905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F9" w:rsidRPr="008B77F9" w:rsidRDefault="008B77F9" w:rsidP="008B77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D605" id="Cuadro de texto 5" o:spid="_x0000_s1027" type="#_x0000_t202" style="position:absolute;left:0;text-align:left;margin-left:52.2pt;margin-top:147.4pt;width:57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">
                <v:textbox>
                  <w:txbxContent>
                    <w:p w:rsidR="008B77F9" w:rsidRPr="008B77F9" w:rsidRDefault="008B77F9" w:rsidP="008B77F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453B77" wp14:editId="420730CD">
                <wp:simplePos x="0" y="0"/>
                <wp:positionH relativeFrom="column">
                  <wp:posOffset>662940</wp:posOffset>
                </wp:positionH>
                <wp:positionV relativeFrom="paragraph">
                  <wp:posOffset>2119630</wp:posOffset>
                </wp:positionV>
                <wp:extent cx="723900" cy="2476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F9" w:rsidRPr="008B77F9" w:rsidRDefault="008B77F9" w:rsidP="008B77F9">
                            <w:pPr>
                              <w:rPr>
                                <w:sz w:val="18"/>
                              </w:rPr>
                            </w:pPr>
                            <w:r w:rsidRPr="008B77F9">
                              <w:rPr>
                                <w:sz w:val="18"/>
                              </w:rPr>
                              <w:t>201632469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3B77" id="Cuadro de texto 4" o:spid="_x0000_s1028" type="#_x0000_t202" style="position:absolute;left:0;text-align:left;margin-left:52.2pt;margin-top:166.9pt;width:57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">
                <v:textbox>
                  <w:txbxContent>
                    <w:p w:rsidR="008B77F9" w:rsidRPr="008B77F9" w:rsidRDefault="008B77F9" w:rsidP="008B77F9">
                      <w:pPr>
                        <w:rPr>
                          <w:sz w:val="18"/>
                        </w:rPr>
                      </w:pPr>
                      <w:r w:rsidRPr="008B77F9">
                        <w:rPr>
                          <w:sz w:val="18"/>
                        </w:rPr>
                        <w:t>201632469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DDDF02" wp14:editId="31C130FC">
                <wp:simplePos x="0" y="0"/>
                <wp:positionH relativeFrom="column">
                  <wp:posOffset>1396365</wp:posOffset>
                </wp:positionH>
                <wp:positionV relativeFrom="paragraph">
                  <wp:posOffset>2119630</wp:posOffset>
                </wp:positionV>
                <wp:extent cx="1866900" cy="257175"/>
                <wp:effectExtent l="0" t="0" r="1905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F9" w:rsidRDefault="008B77F9" w:rsidP="008B77F9">
                            <w:r>
                              <w:t>Adrian S. Volcinschi 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DF02" id="Cuadro de texto 3" o:spid="_x0000_s1029" type="#_x0000_t202" style="position:absolute;left:0;text-align:left;margin-left:109.95pt;margin-top:166.9pt;width:147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">
                <v:textbox>
                  <w:txbxContent>
                    <w:p w:rsidR="008B77F9" w:rsidRDefault="008B77F9" w:rsidP="008B77F9">
                      <w:r>
                        <w:t>Adrian S. Volcinschi 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7884E5" wp14:editId="288EF5F9">
                <wp:simplePos x="0" y="0"/>
                <wp:positionH relativeFrom="column">
                  <wp:posOffset>1396365</wp:posOffset>
                </wp:positionH>
                <wp:positionV relativeFrom="paragraph">
                  <wp:posOffset>1862455</wp:posOffset>
                </wp:positionV>
                <wp:extent cx="1866900" cy="2667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F9" w:rsidRDefault="008B77F9">
                            <w:r>
                              <w:t>Santiago Rangel Mora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84E5" id="Cuadro de texto 2" o:spid="_x0000_s1030" type="#_x0000_t202" style="position:absolute;left:0;text-align:left;margin-left:109.95pt;margin-top:146.65pt;width:147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">
                <v:textbox>
                  <w:txbxContent>
                    <w:p w:rsidR="008B77F9" w:rsidRDefault="008B77F9">
                      <w:r>
                        <w:t>Santiago Rangel Mora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1862455</wp:posOffset>
                </wp:positionV>
                <wp:extent cx="990600" cy="5048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F9" w:rsidRPr="008B77F9" w:rsidRDefault="008B77F9">
                            <w:pPr>
                              <w:rPr>
                                <w:sz w:val="18"/>
                              </w:rPr>
                            </w:pPr>
                            <w:r w:rsidRPr="008B77F9">
                              <w:rPr>
                                <w:sz w:val="18"/>
                              </w:rPr>
                              <w:t>Laura Cristina Vanegas Rendón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7.7pt;margin-top:146.65pt;width:78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">
                <v:textbox>
                  <w:txbxContent>
                    <w:p w:rsidR="008B77F9" w:rsidRPr="008B77F9" w:rsidRDefault="008B77F9">
                      <w:pPr>
                        <w:rPr>
                          <w:sz w:val="18"/>
                        </w:rPr>
                      </w:pPr>
                      <w:r w:rsidRPr="008B77F9">
                        <w:rPr>
                          <w:sz w:val="18"/>
                        </w:rPr>
                        <w:t>Laura Cristina Vanegas Rendón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638800" cy="8552035"/>
            <wp:effectExtent l="0" t="0" r="0" b="1905"/>
            <wp:docPr id="1" name="Imagen 1" descr="https://puu.sh/A81cQ/53b915e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A81cQ/53b915e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02" cy="866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F1CBB" w:rsidRDefault="008B77F9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8B77F9">
        <w:rPr>
          <w:rFonts w:ascii="Times New Roman" w:hAnsi="Times New Roman" w:cs="Times New Roman"/>
          <w:b/>
          <w:sz w:val="24"/>
        </w:rPr>
        <w:lastRenderedPageBreak/>
        <w:t>1.</w:t>
      </w:r>
    </w:p>
    <w:p w:rsidR="006053AC" w:rsidRDefault="006053AC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</w:t>
      </w:r>
    </w:p>
    <w:p w:rsidR="006053AC" w:rsidRDefault="006053AC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Falso. Es falso dado que el WACC va a incrementar a medida que incrementa la inversión inicial. </w:t>
      </w:r>
    </w:p>
    <w:p w:rsidR="006053AC" w:rsidRDefault="006053AC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ejemplo, si el proyecto K necesita 8 MM USD su WACC va a ser de 11.90% dado que la fuente 2 le puede proveer dicha cantidad con el menor costo de deuda. Por otro lado, si el proyecto J necesita 12 MM USD su WACC va a ser el promedio ponderado entre los costos de deuda de la fuente 2 y 3. Este ponderado va a ser obligatoriamente mayor al WACC del proyecto K. Debido a esto, si se incrementa la inversión inicial del proyecto J entonces su WACC va a ser mayor o igual al WACC del proyecto K que tiene una inversión inicial menor.</w:t>
      </w:r>
      <w:sdt>
        <w:sdtPr>
          <w:rPr>
            <w:rFonts w:ascii="Times New Roman" w:hAnsi="Times New Roman" w:cs="Times New Roman"/>
            <w:sz w:val="24"/>
          </w:rPr>
          <w:id w:val="1490751866"/>
          <w:citation/>
        </w:sdtPr>
        <w:sdtContent>
          <w:r w:rsidR="00FA0B92">
            <w:rPr>
              <w:rFonts w:ascii="Times New Roman" w:hAnsi="Times New Roman" w:cs="Times New Roman"/>
              <w:sz w:val="24"/>
            </w:rPr>
            <w:fldChar w:fldCharType="begin"/>
          </w:r>
          <w:r w:rsidR="00FA0B92">
            <w:rPr>
              <w:rFonts w:ascii="Times New Roman" w:hAnsi="Times New Roman" w:cs="Times New Roman"/>
              <w:sz w:val="24"/>
            </w:rPr>
            <w:instrText xml:space="preserve"> CITATION Fra16 \l 9226 </w:instrText>
          </w:r>
          <w:r w:rsidR="00FA0B92">
            <w:rPr>
              <w:rFonts w:ascii="Times New Roman" w:hAnsi="Times New Roman" w:cs="Times New Roman"/>
              <w:sz w:val="24"/>
            </w:rPr>
            <w:fldChar w:fldCharType="separate"/>
          </w:r>
          <w:r w:rsidR="00FA0B92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FA0B92" w:rsidRPr="00FA0B92">
            <w:rPr>
              <w:rFonts w:ascii="Times New Roman" w:hAnsi="Times New Roman" w:cs="Times New Roman"/>
              <w:noProof/>
              <w:sz w:val="24"/>
            </w:rPr>
            <w:t>(Gómez, 2016)</w:t>
          </w:r>
          <w:r w:rsidR="00FA0B92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6053AC" w:rsidRDefault="006053AC" w:rsidP="008B77F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b.</w:t>
      </w:r>
      <w:r w:rsidR="00B52FDB">
        <w:rPr>
          <w:rFonts w:ascii="Times New Roman" w:hAnsi="Times New Roman" w:cs="Times New Roman"/>
          <w:b/>
          <w:sz w:val="24"/>
        </w:rPr>
        <w:t xml:space="preserve"> </w:t>
      </w:r>
    </w:p>
    <w:p w:rsidR="005534E5" w:rsidRDefault="005534E5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Falso</w:t>
      </w:r>
      <w:r w:rsidR="00B52FD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Si se hace periodo de gracia sobre el capital, el costo de la deuda permanece igual. En el ejercicio 2 si se reduce porque es un periodo de gracia sobre el capital y sobre los intereses.</w:t>
      </w:r>
    </w:p>
    <w:p w:rsidR="006053AC" w:rsidRDefault="006053AC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</w:p>
    <w:p w:rsidR="006053AC" w:rsidRDefault="006053AC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Falso. Es falso dado que la conveniencia no depende del monto máximo sino del costo de la deuda que ofrezca la fuente de financiación. </w:t>
      </w:r>
    </w:p>
    <w:p w:rsidR="006053AC" w:rsidRPr="006053AC" w:rsidRDefault="006053AC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ejemplo, si una fuente de financiación tiene un monto máximo de 30 MM USD y un costo de deuda de 15% EA y necesito 28 MM USD entonces el WACC para mi proyecto será de 15% EA. Pero si hay otras dos fuentes de financiación que tienen montos máximos de 15 y 20 MM USD y sus costos de deuda son de 7% EA y 9% EA entonces el WACC para mi proyecto va a ser el promedio ponderado de estos dos costos de deuda y seguirá siendo menor que el 15% EA ofrecida por la primera fuente de financiación. El monto máximo es determinante para escoger la fuente de </w:t>
      </w:r>
      <w:r w:rsidR="00FA0B92">
        <w:rPr>
          <w:rFonts w:ascii="Times New Roman" w:hAnsi="Times New Roman" w:cs="Times New Roman"/>
          <w:sz w:val="24"/>
        </w:rPr>
        <w:t>financiación,</w:t>
      </w:r>
      <w:r>
        <w:rPr>
          <w:rFonts w:ascii="Times New Roman" w:hAnsi="Times New Roman" w:cs="Times New Roman"/>
          <w:sz w:val="24"/>
        </w:rPr>
        <w:t xml:space="preserve"> pero no es la más importante como lo es el costo de la deuda.</w:t>
      </w:r>
      <w:r w:rsidR="00FA0B92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868943075"/>
          <w:citation/>
        </w:sdtPr>
        <w:sdtContent>
          <w:r w:rsidR="00FA0B92">
            <w:rPr>
              <w:rFonts w:ascii="Times New Roman" w:hAnsi="Times New Roman" w:cs="Times New Roman"/>
              <w:sz w:val="24"/>
            </w:rPr>
            <w:fldChar w:fldCharType="begin"/>
          </w:r>
          <w:r w:rsidR="00FA0B92">
            <w:rPr>
              <w:rFonts w:ascii="Times New Roman" w:hAnsi="Times New Roman" w:cs="Times New Roman"/>
              <w:sz w:val="24"/>
            </w:rPr>
            <w:instrText xml:space="preserve"> CITATION Fra16 \l 9226 </w:instrText>
          </w:r>
          <w:r w:rsidR="00FA0B92">
            <w:rPr>
              <w:rFonts w:ascii="Times New Roman" w:hAnsi="Times New Roman" w:cs="Times New Roman"/>
              <w:sz w:val="24"/>
            </w:rPr>
            <w:fldChar w:fldCharType="separate"/>
          </w:r>
          <w:r w:rsidR="00FA0B92" w:rsidRPr="00FA0B92">
            <w:rPr>
              <w:rFonts w:ascii="Times New Roman" w:hAnsi="Times New Roman" w:cs="Times New Roman"/>
              <w:noProof/>
              <w:sz w:val="24"/>
            </w:rPr>
            <w:t>(Gómez, 2016)</w:t>
          </w:r>
          <w:r w:rsidR="00FA0B92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:rsidR="006053AC" w:rsidRDefault="006053AC" w:rsidP="008B77F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</w:t>
      </w:r>
    </w:p>
    <w:p w:rsidR="00B52FDB" w:rsidRPr="00B52FDB" w:rsidRDefault="00B52FDB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Verdadero.</w:t>
      </w:r>
    </w:p>
    <w:p w:rsidR="006053AC" w:rsidRDefault="006053AC" w:rsidP="008B77F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e.</w:t>
      </w:r>
    </w:p>
    <w:p w:rsidR="00B52FDB" w:rsidRPr="00B52FDB" w:rsidRDefault="00B52FDB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Verdadero.</w:t>
      </w:r>
      <w:r w:rsidR="006B6D7E">
        <w:rPr>
          <w:rFonts w:ascii="Times New Roman" w:hAnsi="Times New Roman" w:cs="Times New Roman"/>
          <w:sz w:val="24"/>
        </w:rPr>
        <w:t xml:space="preserve"> (Asumiendo que el costo del equity es el mismo para todos los proyectos)</w:t>
      </w:r>
    </w:p>
    <w:p w:rsidR="008B7E95" w:rsidRDefault="008B77F9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8B77F9">
        <w:rPr>
          <w:rFonts w:ascii="Times New Roman" w:hAnsi="Times New Roman" w:cs="Times New Roman"/>
          <w:b/>
          <w:sz w:val="24"/>
        </w:rPr>
        <w:t>2.</w:t>
      </w:r>
    </w:p>
    <w:p w:rsidR="00443D24" w:rsidRDefault="00A9375C" w:rsidP="008B7E9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443D24">
        <w:rPr>
          <w:rFonts w:ascii="Times New Roman" w:hAnsi="Times New Roman" w:cs="Times New Roman"/>
          <w:b/>
          <w:sz w:val="24"/>
        </w:rPr>
        <w:t>.</w:t>
      </w:r>
    </w:p>
    <w:p w:rsidR="00864074" w:rsidRDefault="00864074" w:rsidP="008B7E95">
      <w:pPr>
        <w:rPr>
          <w:rFonts w:ascii="Times New Roman" w:hAnsi="Times New Roman" w:cs="Times New Roman"/>
          <w:b/>
          <w:sz w:val="24"/>
        </w:rPr>
      </w:pPr>
    </w:p>
    <w:p w:rsidR="00864074" w:rsidRDefault="00864074" w:rsidP="008B7E95">
      <w:pPr>
        <w:rPr>
          <w:rFonts w:ascii="Times New Roman" w:hAnsi="Times New Roman" w:cs="Times New Roman"/>
          <w:b/>
          <w:sz w:val="24"/>
        </w:rPr>
      </w:pPr>
    </w:p>
    <w:p w:rsidR="008B77F9" w:rsidRDefault="008B7E95" w:rsidP="008B7E9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443D24" w:rsidRPr="008B77F9" w:rsidRDefault="00864074" w:rsidP="008B7E95">
      <w:pPr>
        <w:rPr>
          <w:rFonts w:ascii="Times New Roman" w:hAnsi="Times New Roman" w:cs="Times New Roman"/>
          <w:b/>
          <w:sz w:val="24"/>
        </w:rPr>
      </w:pPr>
      <w:r w:rsidRPr="00443D24"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-510540</wp:posOffset>
            </wp:positionV>
            <wp:extent cx="7175500" cy="2026920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D255D2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7045205" cy="1990078"/>
            <wp:effectExtent l="0" t="0" r="381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05" cy="19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443D24"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7155180" cy="2289882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228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864074" w:rsidRDefault="0086407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05168E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Costo efectivo de la deuda abreviado:</w:t>
      </w:r>
    </w:p>
    <w:p w:rsidR="0005168E" w:rsidRDefault="0005168E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Sigma: </w:t>
      </w:r>
      <w:r w:rsidR="00D255D2">
        <w:rPr>
          <w:rFonts w:ascii="Times New Roman" w:hAnsi="Times New Roman" w:cs="Times New Roman"/>
          <w:sz w:val="24"/>
        </w:rPr>
        <w:t>7.57% (0.113(1-0.33))</w:t>
      </w:r>
    </w:p>
    <w:p w:rsidR="00D255D2" w:rsidRDefault="000E790B" w:rsidP="00D255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Épsilon</w:t>
      </w:r>
      <w:r w:rsidR="00D255D2">
        <w:rPr>
          <w:rFonts w:ascii="Times New Roman" w:hAnsi="Times New Roman" w:cs="Times New Roman"/>
          <w:sz w:val="24"/>
        </w:rPr>
        <w:t xml:space="preserve">: 7.57% </w:t>
      </w:r>
      <w:r w:rsidR="00D255D2">
        <w:rPr>
          <w:rFonts w:ascii="Times New Roman" w:hAnsi="Times New Roman" w:cs="Times New Roman"/>
          <w:sz w:val="24"/>
        </w:rPr>
        <w:t>(0.113(1-0.33))</w:t>
      </w:r>
    </w:p>
    <w:p w:rsidR="00D255D2" w:rsidRDefault="00D255D2" w:rsidP="00D255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Theta: 4.16%  (0.0615(1-0.33))</w:t>
      </w:r>
    </w:p>
    <w:p w:rsidR="00D255D2" w:rsidRDefault="00D255D2" w:rsidP="00D255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los 3 se puede usar el método abrev</w:t>
      </w:r>
      <w:r w:rsidR="000C3DBC">
        <w:rPr>
          <w:rFonts w:ascii="Times New Roman" w:hAnsi="Times New Roman" w:cs="Times New Roman"/>
          <w:sz w:val="24"/>
        </w:rPr>
        <w:t>iado ya que no hay distorsiones.</w:t>
      </w:r>
    </w:p>
    <w:p w:rsidR="000C3DBC" w:rsidRDefault="00A9375C" w:rsidP="00D255D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="000C3DBC">
        <w:rPr>
          <w:rFonts w:ascii="Times New Roman" w:hAnsi="Times New Roman" w:cs="Times New Roman"/>
          <w:b/>
          <w:sz w:val="24"/>
        </w:rPr>
        <w:t>.</w:t>
      </w:r>
    </w:p>
    <w:p w:rsidR="000C3DBC" w:rsidRPr="000C3DBC" w:rsidRDefault="000E790B" w:rsidP="00D255D2">
      <w:pPr>
        <w:jc w:val="both"/>
        <w:rPr>
          <w:rFonts w:ascii="Times New Roman" w:hAnsi="Times New Roman" w:cs="Times New Roman"/>
          <w:b/>
          <w:sz w:val="24"/>
        </w:rPr>
      </w:pPr>
      <w:r w:rsidRPr="000E790B">
        <w:drawing>
          <wp:inline distT="0" distB="0" distL="0" distR="0">
            <wp:extent cx="5612130" cy="1408347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D2" w:rsidRDefault="00A9375C" w:rsidP="008B77F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="000E790B">
        <w:rPr>
          <w:rFonts w:ascii="Times New Roman" w:hAnsi="Times New Roman" w:cs="Times New Roman"/>
          <w:b/>
          <w:sz w:val="24"/>
        </w:rPr>
        <w:t>.</w:t>
      </w:r>
    </w:p>
    <w:p w:rsidR="00D255D2" w:rsidRPr="0005168E" w:rsidRDefault="000E790B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 comparar el costo efectivo de la deuda en los 4 casos nos damos cuenta de que es el mismo siempre y cuando se use la misma tasa de interés. Esto sucede porque no hay distorsiones en este caso. Por la misma razón se puede usar el meto abreviado y se obtendría el mismo resultado.</w:t>
      </w:r>
    </w:p>
    <w:p w:rsidR="000E790B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0E790B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397195" cy="1840377"/>
            <wp:effectExtent l="0" t="0" r="0" b="762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95" cy="184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75C"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b/>
          <w:sz w:val="24"/>
        </w:rPr>
        <w:t>.</w:t>
      </w:r>
    </w:p>
    <w:p w:rsidR="000E790B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443D24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443D24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0E790B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7399020" cy="204216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790B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0E790B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0E790B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0E790B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0E790B" w:rsidRDefault="000E790B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0E790B" w:rsidRPr="000E790B" w:rsidRDefault="000E790B" w:rsidP="008B77F9">
      <w:pPr>
        <w:jc w:val="both"/>
        <w:rPr>
          <w:rFonts w:ascii="Times New Roman" w:hAnsi="Times New Roman" w:cs="Times New Roman"/>
          <w:sz w:val="24"/>
        </w:rPr>
      </w:pPr>
    </w:p>
    <w:p w:rsidR="000E790B" w:rsidRPr="000E790B" w:rsidRDefault="000E790B" w:rsidP="008B77F9">
      <w:pPr>
        <w:jc w:val="both"/>
        <w:rPr>
          <w:rFonts w:ascii="Times New Roman" w:hAnsi="Times New Roman" w:cs="Times New Roman"/>
          <w:sz w:val="24"/>
        </w:rPr>
      </w:pPr>
      <w:r w:rsidRPr="000E790B">
        <w:rPr>
          <w:rFonts w:ascii="Times New Roman" w:hAnsi="Times New Roman" w:cs="Times New Roman"/>
          <w:sz w:val="24"/>
        </w:rPr>
        <w:t>Costo de la deuda</w:t>
      </w:r>
      <w:r>
        <w:rPr>
          <w:rFonts w:ascii="Times New Roman" w:hAnsi="Times New Roman" w:cs="Times New Roman"/>
          <w:sz w:val="24"/>
        </w:rPr>
        <w:t xml:space="preserve"> (con distorsiones)</w:t>
      </w:r>
      <w:r w:rsidRPr="000E790B">
        <w:rPr>
          <w:rFonts w:ascii="Times New Roman" w:hAnsi="Times New Roman" w:cs="Times New Roman"/>
          <w:sz w:val="24"/>
        </w:rPr>
        <w:t>:</w:t>
      </w:r>
    </w:p>
    <w:p w:rsidR="000E790B" w:rsidRDefault="000E790B" w:rsidP="000E7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Sigma: </w:t>
      </w:r>
      <w:r>
        <w:rPr>
          <w:rFonts w:ascii="Times New Roman" w:hAnsi="Times New Roman" w:cs="Times New Roman"/>
          <w:sz w:val="24"/>
        </w:rPr>
        <w:t>7.83</w:t>
      </w:r>
      <w:r>
        <w:rPr>
          <w:rFonts w:ascii="Times New Roman" w:hAnsi="Times New Roman" w:cs="Times New Roman"/>
          <w:sz w:val="24"/>
        </w:rPr>
        <w:t xml:space="preserve">% </w:t>
      </w:r>
    </w:p>
    <w:p w:rsidR="000E790B" w:rsidRDefault="000E790B" w:rsidP="000E7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Épsilon</w:t>
      </w:r>
      <w:r>
        <w:rPr>
          <w:rFonts w:ascii="Times New Roman" w:hAnsi="Times New Roman" w:cs="Times New Roman"/>
          <w:sz w:val="24"/>
        </w:rPr>
        <w:t>: 6.69</w:t>
      </w:r>
      <w:r>
        <w:rPr>
          <w:rFonts w:ascii="Times New Roman" w:hAnsi="Times New Roman" w:cs="Times New Roman"/>
          <w:sz w:val="24"/>
        </w:rPr>
        <w:t xml:space="preserve">% </w:t>
      </w:r>
    </w:p>
    <w:p w:rsidR="000E790B" w:rsidRDefault="000E790B" w:rsidP="000E7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Theta: 4.16</w:t>
      </w:r>
      <w:r>
        <w:rPr>
          <w:rFonts w:ascii="Times New Roman" w:hAnsi="Times New Roman" w:cs="Times New Roman"/>
          <w:sz w:val="24"/>
        </w:rPr>
        <w:t>%</w:t>
      </w:r>
    </w:p>
    <w:p w:rsidR="000E790B" w:rsidRDefault="000E790B" w:rsidP="000E7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Gamma: 7.57</w:t>
      </w:r>
      <w:r w:rsidR="00074192">
        <w:rPr>
          <w:rFonts w:ascii="Times New Roman" w:hAnsi="Times New Roman" w:cs="Times New Roman"/>
          <w:sz w:val="24"/>
        </w:rPr>
        <w:t>%</w:t>
      </w:r>
    </w:p>
    <w:p w:rsidR="00074192" w:rsidRDefault="00074192" w:rsidP="000E790B">
      <w:pPr>
        <w:jc w:val="both"/>
        <w:rPr>
          <w:rFonts w:ascii="Times New Roman" w:hAnsi="Times New Roman" w:cs="Times New Roman"/>
          <w:sz w:val="24"/>
        </w:rPr>
      </w:pPr>
    </w:p>
    <w:p w:rsidR="00074192" w:rsidRDefault="00074192" w:rsidP="000E790B">
      <w:pPr>
        <w:jc w:val="both"/>
        <w:rPr>
          <w:rFonts w:ascii="Times New Roman" w:hAnsi="Times New Roman" w:cs="Times New Roman"/>
          <w:sz w:val="24"/>
        </w:rPr>
      </w:pPr>
    </w:p>
    <w:p w:rsidR="00074192" w:rsidRDefault="00A9375C" w:rsidP="000E790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="00074192">
        <w:rPr>
          <w:rFonts w:ascii="Times New Roman" w:hAnsi="Times New Roman" w:cs="Times New Roman"/>
          <w:b/>
          <w:sz w:val="24"/>
        </w:rPr>
        <w:t>.</w:t>
      </w:r>
    </w:p>
    <w:p w:rsidR="00074192" w:rsidRPr="00074192" w:rsidRDefault="00074192" w:rsidP="000E790B">
      <w:pPr>
        <w:jc w:val="both"/>
        <w:rPr>
          <w:rFonts w:ascii="Times New Roman" w:hAnsi="Times New Roman" w:cs="Times New Roman"/>
          <w:b/>
          <w:sz w:val="24"/>
        </w:rPr>
      </w:pPr>
    </w:p>
    <w:p w:rsidR="00074192" w:rsidRDefault="00074192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074192">
        <w:drawing>
          <wp:anchor distT="0" distB="0" distL="114300" distR="114300" simplePos="0" relativeHeight="251676672" behindDoc="0" locked="0" layoutInCell="1" allowOverlap="1">
            <wp:simplePos x="1082040" y="147828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739140"/>
            <wp:effectExtent l="0" t="0" r="0" b="381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4192" w:rsidRDefault="00074192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074192" w:rsidRDefault="00074192" w:rsidP="008B77F9">
      <w:pPr>
        <w:jc w:val="both"/>
        <w:rPr>
          <w:rFonts w:ascii="Times New Roman" w:hAnsi="Times New Roman" w:cs="Times New Roman"/>
          <w:b/>
          <w:sz w:val="24"/>
        </w:rPr>
      </w:pPr>
    </w:p>
    <w:p w:rsidR="000E790B" w:rsidRDefault="00A9375C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A9375C">
        <w:drawing>
          <wp:inline distT="0" distB="0" distL="0" distR="0">
            <wp:extent cx="6106096" cy="97536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22" cy="97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0B" w:rsidRDefault="00A9375C" w:rsidP="008B77F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f.</w:t>
      </w:r>
    </w:p>
    <w:p w:rsidR="00A9375C" w:rsidRDefault="00A9375C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A9375C">
        <w:drawing>
          <wp:inline distT="0" distB="0" distL="0" distR="0">
            <wp:extent cx="2171700" cy="73914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0B" w:rsidRDefault="00A9375C" w:rsidP="008B77F9">
      <w:pPr>
        <w:jc w:val="both"/>
      </w:pPr>
      <w:r w:rsidRPr="00A9375C">
        <w:drawing>
          <wp:inline distT="0" distB="0" distL="0" distR="0">
            <wp:extent cx="5612130" cy="89645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5C" w:rsidRPr="00775E2B" w:rsidRDefault="00775E2B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WACC se reduce porque depende estrictamente del monto inicial que set tiene para la inversión. Sin embargo no se reduce mucho en comparación con el proyecto original.</w:t>
      </w:r>
      <w:bookmarkStart w:id="0" w:name="_GoBack"/>
      <w:bookmarkEnd w:id="0"/>
    </w:p>
    <w:p w:rsidR="008B77F9" w:rsidRDefault="008B77F9" w:rsidP="008B77F9">
      <w:pPr>
        <w:jc w:val="both"/>
        <w:rPr>
          <w:rFonts w:ascii="Times New Roman" w:hAnsi="Times New Roman" w:cs="Times New Roman"/>
          <w:b/>
          <w:sz w:val="24"/>
        </w:rPr>
      </w:pPr>
      <w:r w:rsidRPr="008B77F9">
        <w:rPr>
          <w:rFonts w:ascii="Times New Roman" w:hAnsi="Times New Roman" w:cs="Times New Roman"/>
          <w:b/>
          <w:sz w:val="24"/>
        </w:rPr>
        <w:t>3. PUNTO ABET</w:t>
      </w:r>
    </w:p>
    <w:p w:rsidR="008B77F9" w:rsidRDefault="008B7E95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</w:t>
      </w:r>
    </w:p>
    <w:p w:rsidR="008B7E95" w:rsidRDefault="008B7E95" w:rsidP="008B77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Para calcular el costo del equity se utilizó la siguiente fórmula:</w:t>
      </w:r>
    </w:p>
    <w:p w:rsidR="008B7E95" w:rsidRPr="008B7E95" w:rsidRDefault="000B7736" w:rsidP="008B77F9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1+g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</w:rPr>
            <m:t>+g</m:t>
          </m:r>
        </m:oMath>
      </m:oMathPara>
    </w:p>
    <w:p w:rsidR="008B7E95" w:rsidRDefault="008B7E95" w:rsidP="008B77F9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 de esto obtuvimos lo siguiente:</w:t>
      </w:r>
    </w:p>
    <w:p w:rsidR="008B7E95" w:rsidRPr="008B7E95" w:rsidRDefault="000B7736" w:rsidP="008B77F9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</w:rPr>
            <m:t>=17.684%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EA</m:t>
          </m:r>
        </m:oMath>
      </m:oMathPara>
    </w:p>
    <w:p w:rsidR="008B7E95" w:rsidRDefault="008B7E95" w:rsidP="008B77F9">
      <w:pPr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b.</w:t>
      </w:r>
    </w:p>
    <w:p w:rsidR="008B7E95" w:rsidRDefault="008B7E95" w:rsidP="008B77F9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FCD para el Banco Delta se presenta a continuación:</w:t>
      </w:r>
    </w:p>
    <w:p w:rsidR="008B7E95" w:rsidRDefault="008B7E95" w:rsidP="008B7E95">
      <w:pPr>
        <w:jc w:val="center"/>
        <w:rPr>
          <w:rFonts w:ascii="Times New Roman" w:hAnsi="Times New Roman" w:cs="Times New Roman"/>
          <w:sz w:val="24"/>
        </w:rPr>
      </w:pPr>
      <w:r w:rsidRPr="008B7E95">
        <w:rPr>
          <w:noProof/>
        </w:rPr>
        <w:drawing>
          <wp:inline distT="0" distB="0" distL="0" distR="0">
            <wp:extent cx="5743575" cy="289538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27" cy="294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se calculó la TIR sobre los FCD after TS y se obtuvo el siguiente costo de la deuda:</w:t>
      </w:r>
    </w:p>
    <w:p w:rsidR="008B7E95" w:rsidRPr="008B7E95" w:rsidRDefault="000B7736" w:rsidP="008B7E95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</w:rPr>
            <m:t>=10.373% EA</m:t>
          </m:r>
        </m:oMath>
      </m:oMathPara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c. </w:t>
      </w: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FCD para el Banco Kappa se presenta a continuación:</w:t>
      </w: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 w:rsidRPr="008B7E95">
        <w:rPr>
          <w:noProof/>
        </w:rPr>
        <w:lastRenderedPageBreak/>
        <w:drawing>
          <wp:inline distT="0" distB="0" distL="0" distR="0">
            <wp:extent cx="5715000" cy="2592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15" cy="25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se calculó la TIR sobre los FCD after TS y se obtuvo el siguiente costo de la deuda:</w:t>
      </w:r>
    </w:p>
    <w:p w:rsidR="008B7E95" w:rsidRPr="008B7E95" w:rsidRDefault="000B7736" w:rsidP="008B7E95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</w:rPr>
            <m:t>=9.721% EA</m:t>
          </m:r>
        </m:oMath>
      </m:oMathPara>
    </w:p>
    <w:p w:rsidR="008B7E95" w:rsidRDefault="008B7E95" w:rsidP="008B7E9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d. </w:t>
      </w: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FCD para el Banco Xi se presenta a continuación:</w:t>
      </w: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 w:rsidRPr="008B7E95">
        <w:rPr>
          <w:noProof/>
        </w:rPr>
        <w:drawing>
          <wp:inline distT="0" distB="0" distL="0" distR="0">
            <wp:extent cx="5819775" cy="347408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27" cy="34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se calculó la TIR sobre los FCD after TS y se obtuvo el siguiente costo de la deuda:</w:t>
      </w:r>
    </w:p>
    <w:p w:rsidR="008B7E95" w:rsidRPr="008B7E95" w:rsidRDefault="000B7736" w:rsidP="008B7E95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</w:rPr>
            <m:t>=10.828% EA</m:t>
          </m:r>
        </m:oMath>
      </m:oMathPara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e.</w:t>
      </w: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Dado que queremos analizar únicamente la implementación del proyecto sobre el Model S, se hizo un FCL marginal con respecto al FCL de TeslAndes sin la implementación y el de TeslAndes con la implementación para sacar los FCL del proyecto únicamente. Adicionalmente no se consideraron los costos muertos que se presentaban en el enunciado:</w:t>
      </w:r>
    </w:p>
    <w:p w:rsidR="008B7E95" w:rsidRDefault="008B7E95" w:rsidP="008B7E95">
      <w:pPr>
        <w:jc w:val="center"/>
        <w:rPr>
          <w:rFonts w:ascii="Times New Roman" w:eastAsiaTheme="minorEastAsia" w:hAnsi="Times New Roman" w:cs="Times New Roman"/>
          <w:sz w:val="24"/>
        </w:rPr>
      </w:pPr>
      <w:r w:rsidRPr="008B7E95">
        <w:rPr>
          <w:noProof/>
        </w:rPr>
        <w:drawing>
          <wp:inline distT="0" distB="0" distL="0" distR="0" wp14:anchorId="52B62D24" wp14:editId="31EE9200">
            <wp:extent cx="5991225" cy="384937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89" cy="384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90F10C" wp14:editId="727C1380">
            <wp:extent cx="5991225" cy="318262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f.</w:t>
      </w:r>
    </w:p>
    <w:p w:rsidR="008B7E95" w:rsidRP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Dado que queremos analizar únicamente la implementación del proyecto sobre el Model X, se hizo un FCL marginal con respecto al FCL de TeslAndes sin la implementación y el de TeslAndes con la implementación para sacar los FCL del proyecto únicamente. Adicionalmente no se consideraron los costos muertos que se presentaban en el enunciado:</w:t>
      </w:r>
    </w:p>
    <w:p w:rsidR="008B7E95" w:rsidRDefault="008B7E95" w:rsidP="008B7E95">
      <w:pPr>
        <w:jc w:val="both"/>
        <w:rPr>
          <w:rFonts w:ascii="Times New Roman" w:eastAsiaTheme="minorEastAsia" w:hAnsi="Times New Roman" w:cs="Times New Roman"/>
          <w:sz w:val="24"/>
        </w:rPr>
      </w:pPr>
      <w:r w:rsidRPr="008B7E95">
        <w:rPr>
          <w:noProof/>
        </w:rPr>
        <w:drawing>
          <wp:inline distT="0" distB="0" distL="0" distR="0">
            <wp:extent cx="5924550" cy="38328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76" cy="38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95" w:rsidRDefault="008B7E95" w:rsidP="008B7E95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07FD5697" wp14:editId="68B1E3AF">
            <wp:extent cx="5943600" cy="3079115"/>
            <wp:effectExtent l="0" t="0" r="0" b="698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B7E95" w:rsidRDefault="008B7E95" w:rsidP="008B7E9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g.</w:t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calcular el WACC para la evaluación del proyecto sobre el Model S se realizaron las siguientes tablas:</w:t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sobre el D/E = 2</w:t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 w:rsidRPr="008B7E95">
        <w:rPr>
          <w:noProof/>
        </w:rPr>
        <w:drawing>
          <wp:inline distT="0" distB="0" distL="0" distR="0">
            <wp:extent cx="2009775" cy="581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sobre montos solicitados</w:t>
      </w:r>
    </w:p>
    <w:p w:rsidR="008B7E95" w:rsidRDefault="008B7E95" w:rsidP="008B7E95">
      <w:pPr>
        <w:jc w:val="both"/>
        <w:rPr>
          <w:rFonts w:ascii="Times New Roman" w:hAnsi="Times New Roman" w:cs="Times New Roman"/>
          <w:sz w:val="24"/>
        </w:rPr>
      </w:pPr>
      <w:r w:rsidRPr="008B7E95">
        <w:rPr>
          <w:noProof/>
        </w:rPr>
        <w:drawing>
          <wp:inline distT="0" distB="0" distL="0" distR="0">
            <wp:extent cx="5000625" cy="1143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95" w:rsidRDefault="00A732A2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con estos valores se calculó el WACC y se obtuvo lo siguiente:</w:t>
      </w:r>
    </w:p>
    <w:p w:rsidR="00A732A2" w:rsidRDefault="000B7736" w:rsidP="008B7E95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WACC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Model S</m:t>
              </m:r>
            </m:sub>
          </m:sSub>
          <m:r>
            <w:rPr>
              <w:rFonts w:ascii="Cambria Math" w:hAnsi="Cambria Math" w:cs="Times New Roman"/>
              <w:sz w:val="24"/>
            </w:rPr>
            <m:t>=12.552%</m:t>
          </m:r>
        </m:oMath>
      </m:oMathPara>
    </w:p>
    <w:p w:rsidR="008B7E95" w:rsidRDefault="00A732A2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h. </w:t>
      </w:r>
    </w:p>
    <w:p w:rsidR="00A732A2" w:rsidRDefault="00A732A2" w:rsidP="00A732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calcular el WACC para la evaluación del proyecto sobre el Model X se realizaron las siguientes tablas:</w:t>
      </w:r>
    </w:p>
    <w:p w:rsidR="00A732A2" w:rsidRDefault="00A732A2" w:rsidP="00A732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sobre el D/E = 2</w:t>
      </w:r>
    </w:p>
    <w:p w:rsidR="00A732A2" w:rsidRDefault="00A732A2" w:rsidP="008B7E95">
      <w:pPr>
        <w:jc w:val="both"/>
        <w:rPr>
          <w:rFonts w:ascii="Times New Roman" w:hAnsi="Times New Roman" w:cs="Times New Roman"/>
          <w:sz w:val="24"/>
        </w:rPr>
      </w:pPr>
      <w:r w:rsidRPr="00A732A2">
        <w:rPr>
          <w:noProof/>
        </w:rPr>
        <w:drawing>
          <wp:inline distT="0" distB="0" distL="0" distR="0">
            <wp:extent cx="2009775" cy="581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A2" w:rsidRDefault="00A732A2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Tabla sobre montos solicitados</w:t>
      </w:r>
    </w:p>
    <w:p w:rsidR="00A732A2" w:rsidRDefault="00A732A2" w:rsidP="008B7E95">
      <w:pPr>
        <w:jc w:val="both"/>
        <w:rPr>
          <w:rFonts w:ascii="Times New Roman" w:hAnsi="Times New Roman" w:cs="Times New Roman"/>
          <w:sz w:val="24"/>
        </w:rPr>
      </w:pPr>
      <w:r w:rsidRPr="00A732A2">
        <w:rPr>
          <w:noProof/>
        </w:rPr>
        <w:drawing>
          <wp:inline distT="0" distB="0" distL="0" distR="0">
            <wp:extent cx="5029200" cy="1219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A2" w:rsidRDefault="00A732A2" w:rsidP="00A732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con estos valores se calculó el WACC y se obtuvo lo siguiente:</w:t>
      </w:r>
    </w:p>
    <w:p w:rsidR="00A732A2" w:rsidRPr="00A732A2" w:rsidRDefault="000B7736" w:rsidP="00A732A2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WACC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Model x</m:t>
              </m:r>
            </m:sub>
          </m:sSub>
          <m:r>
            <w:rPr>
              <w:rFonts w:ascii="Cambria Math" w:hAnsi="Cambria Math" w:cs="Times New Roman"/>
              <w:sz w:val="24"/>
            </w:rPr>
            <m:t>=12.744%</m:t>
          </m:r>
        </m:oMath>
      </m:oMathPara>
    </w:p>
    <w:p w:rsidR="00A732A2" w:rsidRDefault="00A732A2" w:rsidP="00A732A2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A732A2" w:rsidRDefault="00A732A2" w:rsidP="00A732A2">
      <w:pPr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i.</w:t>
      </w:r>
    </w:p>
    <w:p w:rsidR="00A732A2" w:rsidRDefault="00A732A2" w:rsidP="00A732A2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Con los WACC obtenidos en los puntos g y h se calculó el VPN sobre ambos FCL, Model S y Model X, y se obtuvieron los siguientes VPN’s:</w:t>
      </w:r>
    </w:p>
    <w:p w:rsidR="00A732A2" w:rsidRPr="00A732A2" w:rsidRDefault="000B7736" w:rsidP="00A732A2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VPN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Model S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=-208.481 MM USD </m:t>
          </m:r>
        </m:oMath>
      </m:oMathPara>
    </w:p>
    <w:p w:rsidR="00A732A2" w:rsidRPr="00A732A2" w:rsidRDefault="000B7736" w:rsidP="00A732A2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VPN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Model X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=119.961 MM USD </m:t>
          </m:r>
        </m:oMath>
      </m:oMathPara>
    </w:p>
    <w:p w:rsidR="00A732A2" w:rsidRDefault="00A732A2" w:rsidP="008B7E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acuerdo a esta información podemos con seguridad a Elon que debería implementar esta nueva tecnología sobre los Model X para así obtener una rentabilidad.</w:t>
      </w:r>
    </w:p>
    <w:p w:rsidR="00A732A2" w:rsidRDefault="00A732A2" w:rsidP="008B7E95">
      <w:pPr>
        <w:jc w:val="both"/>
        <w:rPr>
          <w:rFonts w:ascii="Times New Roman" w:hAnsi="Times New Roman" w:cs="Times New Roman"/>
          <w:sz w:val="24"/>
        </w:rPr>
      </w:pPr>
    </w:p>
    <w:p w:rsidR="00A732A2" w:rsidRDefault="00A732A2" w:rsidP="008B7E9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Bibliografía:</w:t>
      </w:r>
    </w:p>
    <w:p w:rsidR="00FA0B92" w:rsidRPr="00FA0B92" w:rsidRDefault="00FA0B92" w:rsidP="001B6816">
      <w:pPr>
        <w:ind w:left="720"/>
        <w:rPr>
          <w:rFonts w:ascii="Times New Roman" w:hAnsi="Times New Roman" w:cs="Times New Roman"/>
          <w:b/>
          <w:sz w:val="24"/>
        </w:rPr>
      </w:pPr>
      <w:r w:rsidRPr="00FA0B92">
        <w:rPr>
          <w:rFonts w:ascii="Times New Roman" w:hAnsi="Times New Roman" w:cs="Times New Roman"/>
          <w:sz w:val="24"/>
        </w:rPr>
        <w:t>Gómez, F. J. (11 de 11 de 2016). Revi</w:t>
      </w:r>
      <w:r>
        <w:rPr>
          <w:rFonts w:ascii="Times New Roman" w:hAnsi="Times New Roman" w:cs="Times New Roman"/>
          <w:sz w:val="24"/>
        </w:rPr>
        <w:t xml:space="preserve">sta Digital INESEM. Obtenido de    </w:t>
      </w:r>
      <w:r w:rsidRPr="00FA0B92">
        <w:rPr>
          <w:rFonts w:ascii="Times New Roman" w:hAnsi="Times New Roman" w:cs="Times New Roman"/>
          <w:sz w:val="24"/>
        </w:rPr>
        <w:t>https://revistadigital.inesem.es/gestion-empresarial/wacc-coste-deuda/</w:t>
      </w:r>
    </w:p>
    <w:p w:rsidR="00A732A2" w:rsidRPr="00A732A2" w:rsidRDefault="00A732A2" w:rsidP="008B7E95">
      <w:pPr>
        <w:jc w:val="both"/>
        <w:rPr>
          <w:rFonts w:ascii="Times New Roman" w:hAnsi="Times New Roman" w:cs="Times New Roman"/>
          <w:b/>
          <w:sz w:val="24"/>
        </w:rPr>
      </w:pPr>
    </w:p>
    <w:sectPr w:rsidR="00A732A2" w:rsidRPr="00A732A2"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736" w:rsidRDefault="000B7736" w:rsidP="00864074">
      <w:pPr>
        <w:spacing w:after="0" w:line="240" w:lineRule="auto"/>
      </w:pPr>
      <w:r>
        <w:separator/>
      </w:r>
    </w:p>
  </w:endnote>
  <w:endnote w:type="continuationSeparator" w:id="0">
    <w:p w:rsidR="000B7736" w:rsidRDefault="000B7736" w:rsidP="0086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549488"/>
      <w:docPartObj>
        <w:docPartGallery w:val="Page Numbers (Bottom of Page)"/>
        <w:docPartUnique/>
      </w:docPartObj>
    </w:sdtPr>
    <w:sdtContent>
      <w:p w:rsidR="00864074" w:rsidRDefault="008640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E2B" w:rsidRPr="00775E2B">
          <w:rPr>
            <w:noProof/>
            <w:lang w:val="es-ES"/>
          </w:rPr>
          <w:t>5</w:t>
        </w:r>
        <w:r>
          <w:fldChar w:fldCharType="end"/>
        </w:r>
      </w:p>
    </w:sdtContent>
  </w:sdt>
  <w:p w:rsidR="00864074" w:rsidRDefault="008640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736" w:rsidRDefault="000B7736" w:rsidP="00864074">
      <w:pPr>
        <w:spacing w:after="0" w:line="240" w:lineRule="auto"/>
      </w:pPr>
      <w:r>
        <w:separator/>
      </w:r>
    </w:p>
  </w:footnote>
  <w:footnote w:type="continuationSeparator" w:id="0">
    <w:p w:rsidR="000B7736" w:rsidRDefault="000B7736" w:rsidP="00864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80F23"/>
    <w:multiLevelType w:val="hybridMultilevel"/>
    <w:tmpl w:val="8078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F9"/>
    <w:rsid w:val="00032E45"/>
    <w:rsid w:val="0005168E"/>
    <w:rsid w:val="00074192"/>
    <w:rsid w:val="000B7736"/>
    <w:rsid w:val="000C3DBC"/>
    <w:rsid w:val="000E790B"/>
    <w:rsid w:val="00145121"/>
    <w:rsid w:val="001B6816"/>
    <w:rsid w:val="00443D24"/>
    <w:rsid w:val="005534E5"/>
    <w:rsid w:val="006053AC"/>
    <w:rsid w:val="006B6D7E"/>
    <w:rsid w:val="00775E2B"/>
    <w:rsid w:val="00864074"/>
    <w:rsid w:val="008B77F9"/>
    <w:rsid w:val="008B7E95"/>
    <w:rsid w:val="00A732A2"/>
    <w:rsid w:val="00A9375C"/>
    <w:rsid w:val="00B52FDB"/>
    <w:rsid w:val="00BF57B7"/>
    <w:rsid w:val="00CF1B11"/>
    <w:rsid w:val="00D255D2"/>
    <w:rsid w:val="00DF1CBB"/>
    <w:rsid w:val="00ED5D2D"/>
    <w:rsid w:val="00F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60121"/>
  <w15:chartTrackingRefBased/>
  <w15:docId w15:val="{58710F5D-DFD2-40DC-90E1-7B9168B1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F9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A0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7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7E9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A0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FA0B92"/>
  </w:style>
  <w:style w:type="paragraph" w:styleId="Encabezado">
    <w:name w:val="header"/>
    <w:basedOn w:val="Normal"/>
    <w:link w:val="EncabezadoCar"/>
    <w:uiPriority w:val="99"/>
    <w:unhideWhenUsed/>
    <w:rsid w:val="00864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07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64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074"/>
    <w:rPr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64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40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407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4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4074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4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chart" Target="charts/chart1.xml"/><Relationship Id="rId28" Type="http://schemas.openxmlformats.org/officeDocument/2006/relationships/image" Target="media/image1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18.emf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OP%20SHIT\Semestre%204\Anadec\Taller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OP%20SHIT\Semestre%204\Anadec\Taller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FCL Modelo 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Hoja1!$J$100:$J$120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Hoja1!$Q$100:$Q$120</c:f>
              <c:numCache>
                <c:formatCode>General</c:formatCode>
                <c:ptCount val="21"/>
                <c:pt idx="0">
                  <c:v>-1200</c:v>
                </c:pt>
                <c:pt idx="1">
                  <c:v>139.19999999999999</c:v>
                </c:pt>
                <c:pt idx="2">
                  <c:v>165.8</c:v>
                </c:pt>
                <c:pt idx="3">
                  <c:v>162.4</c:v>
                </c:pt>
                <c:pt idx="4">
                  <c:v>189</c:v>
                </c:pt>
                <c:pt idx="5">
                  <c:v>109.19999999999999</c:v>
                </c:pt>
                <c:pt idx="6">
                  <c:v>109.19999999999999</c:v>
                </c:pt>
                <c:pt idx="7">
                  <c:v>169.2</c:v>
                </c:pt>
                <c:pt idx="8">
                  <c:v>99.199999999999989</c:v>
                </c:pt>
                <c:pt idx="9">
                  <c:v>105.8</c:v>
                </c:pt>
                <c:pt idx="10">
                  <c:v>139.19999999999999</c:v>
                </c:pt>
                <c:pt idx="11">
                  <c:v>126</c:v>
                </c:pt>
                <c:pt idx="12">
                  <c:v>142.6</c:v>
                </c:pt>
                <c:pt idx="13">
                  <c:v>119.19999999999999</c:v>
                </c:pt>
                <c:pt idx="14">
                  <c:v>99.199999999999989</c:v>
                </c:pt>
                <c:pt idx="15">
                  <c:v>119.19999999999999</c:v>
                </c:pt>
                <c:pt idx="16">
                  <c:v>99.199999999999989</c:v>
                </c:pt>
                <c:pt idx="17">
                  <c:v>112.6</c:v>
                </c:pt>
                <c:pt idx="18">
                  <c:v>135.80000000000001</c:v>
                </c:pt>
                <c:pt idx="19">
                  <c:v>112.6</c:v>
                </c:pt>
                <c:pt idx="20">
                  <c:v>82.6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98-4F0E-AD8F-5126BAFE2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48651168"/>
        <c:axId val="848651584"/>
      </c:barChart>
      <c:catAx>
        <c:axId val="848651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Años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651584"/>
        <c:crosses val="autoZero"/>
        <c:auto val="1"/>
        <c:lblAlgn val="ctr"/>
        <c:lblOffset val="100"/>
        <c:noMultiLvlLbl val="0"/>
      </c:catAx>
      <c:valAx>
        <c:axId val="84865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MM USD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651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FCL Modelo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Hoja1!$S$100:$S$120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Hoja1!$Z$100:$Z$120</c:f>
              <c:numCache>
                <c:formatCode>General</c:formatCode>
                <c:ptCount val="21"/>
                <c:pt idx="0">
                  <c:v>-2400</c:v>
                </c:pt>
                <c:pt idx="1">
                  <c:v>360.2</c:v>
                </c:pt>
                <c:pt idx="2">
                  <c:v>370.6</c:v>
                </c:pt>
                <c:pt idx="3">
                  <c:v>347</c:v>
                </c:pt>
                <c:pt idx="4">
                  <c:v>377</c:v>
                </c:pt>
                <c:pt idx="5">
                  <c:v>367.2</c:v>
                </c:pt>
                <c:pt idx="6">
                  <c:v>303.79999999999995</c:v>
                </c:pt>
                <c:pt idx="7">
                  <c:v>370.6</c:v>
                </c:pt>
                <c:pt idx="8">
                  <c:v>317.2</c:v>
                </c:pt>
                <c:pt idx="9">
                  <c:v>313.79999999999995</c:v>
                </c:pt>
                <c:pt idx="10">
                  <c:v>370.4</c:v>
                </c:pt>
                <c:pt idx="11">
                  <c:v>340.6</c:v>
                </c:pt>
                <c:pt idx="12">
                  <c:v>413.6</c:v>
                </c:pt>
                <c:pt idx="13">
                  <c:v>383.6</c:v>
                </c:pt>
                <c:pt idx="14">
                  <c:v>337</c:v>
                </c:pt>
                <c:pt idx="15">
                  <c:v>330.4</c:v>
                </c:pt>
                <c:pt idx="16">
                  <c:v>320.39999999999998</c:v>
                </c:pt>
                <c:pt idx="17">
                  <c:v>353.79999999999995</c:v>
                </c:pt>
                <c:pt idx="18">
                  <c:v>357.2</c:v>
                </c:pt>
                <c:pt idx="19">
                  <c:v>330.6</c:v>
                </c:pt>
                <c:pt idx="20">
                  <c:v>317.2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4A-458D-B575-5D2B7A17E7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52767040"/>
        <c:axId val="852767872"/>
      </c:barChart>
      <c:catAx>
        <c:axId val="852767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Años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767872"/>
        <c:crosses val="autoZero"/>
        <c:auto val="1"/>
        <c:lblAlgn val="ctr"/>
        <c:lblOffset val="100"/>
        <c:noMultiLvlLbl val="0"/>
      </c:catAx>
      <c:valAx>
        <c:axId val="8527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MM USD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76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Fra16</b:Tag>
    <b:SourceType>DocumentFromInternetSite</b:SourceType>
    <b:Guid>{01870ACF-8DC2-49DD-B8FA-05E540FA0AD5}</b:Guid>
    <b:Title>Revista Digital INESEM</b:Title>
    <b:Year>2016</b:Year>
    <b:LCID>es-CO</b:LCID>
    <b:Author>
      <b:Author>
        <b:NameList>
          <b:Person>
            <b:Last>Gómez</b:Last>
            <b:First>Francisco</b:First>
            <b:Middle>José</b:Middle>
          </b:Person>
        </b:NameList>
      </b:Author>
    </b:Author>
    <b:Month>11</b:Month>
    <b:Day>11</b:Day>
    <b:URL>https://revistadigital.inesem.es/gestion-empresarial/wacc-coste-deuda/</b:URL>
    <b:RefOrder>1</b:RefOrder>
  </b:Source>
</b:Sources>
</file>

<file path=customXml/itemProps1.xml><?xml version="1.0" encoding="utf-8"?>
<ds:datastoreItem xmlns:ds="http://schemas.openxmlformats.org/officeDocument/2006/customXml" ds:itemID="{BF3ADDF4-B998-4526-A1D1-27DEE200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Sebastian Volcinschi Moros</dc:creator>
  <cp:keywords/>
  <dc:description/>
  <cp:lastModifiedBy>Santiago Rangel Mora</cp:lastModifiedBy>
  <cp:revision>9</cp:revision>
  <dcterms:created xsi:type="dcterms:W3CDTF">2018-04-23T04:27:00Z</dcterms:created>
  <dcterms:modified xsi:type="dcterms:W3CDTF">2018-04-23T18:59:00Z</dcterms:modified>
</cp:coreProperties>
</file>