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jw861r06zjv" w:id="0"/>
      <w:bookmarkEnd w:id="0"/>
      <w:r w:rsidDel="00000000" w:rsidR="00000000" w:rsidRPr="00000000">
        <w:rPr>
          <w:rtl w:val="0"/>
        </w:rPr>
        <w:t xml:space="preserve">Partes del SimVar Watcher</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En “File”:</w:t>
      </w:r>
    </w:p>
    <w:p w:rsidR="00000000" w:rsidDel="00000000" w:rsidP="00000000" w:rsidRDefault="00000000" w:rsidRPr="00000000" w14:paraId="00000003">
      <w:pPr>
        <w:numPr>
          <w:ilvl w:val="1"/>
          <w:numId w:val="1"/>
        </w:numPr>
        <w:ind w:left="1440" w:hanging="360"/>
        <w:rPr>
          <w:sz w:val="24"/>
          <w:szCs w:val="24"/>
        </w:rPr>
      </w:pPr>
      <w:r w:rsidDel="00000000" w:rsidR="00000000" w:rsidRPr="00000000">
        <w:rPr>
          <w:sz w:val="24"/>
          <w:szCs w:val="24"/>
          <w:rtl w:val="0"/>
        </w:rPr>
        <w:t xml:space="preserve">“Load file”: </w:t>
      </w:r>
      <w:r w:rsidDel="00000000" w:rsidR="00000000" w:rsidRPr="00000000">
        <w:rPr>
          <w:sz w:val="24"/>
          <w:szCs w:val="24"/>
          <w:highlight w:val="white"/>
          <w:rtl w:val="0"/>
        </w:rPr>
        <w:t xml:space="preserve">Carga un archivo de datos simvar previamente guardado. Hay ejemplos de estos que se pueden cargar en la subcarpeta de la carpeta de muestra. Tenga en cuenta que esto NO sobrescribe ninguna SimVar existente, y los datos cargados se </w:t>
      </w:r>
      <w:r w:rsidDel="00000000" w:rsidR="00000000" w:rsidRPr="00000000">
        <w:rPr>
          <w:i w:val="1"/>
          <w:sz w:val="24"/>
          <w:szCs w:val="24"/>
          <w:highlight w:val="white"/>
          <w:rtl w:val="0"/>
        </w:rPr>
        <w:t xml:space="preserve">agregarán</w:t>
      </w:r>
      <w:r w:rsidDel="00000000" w:rsidR="00000000" w:rsidRPr="00000000">
        <w:rPr>
          <w:sz w:val="24"/>
          <w:szCs w:val="24"/>
          <w:highlight w:val="white"/>
          <w:rtl w:val="0"/>
        </w:rPr>
        <w:t xml:space="preserve"> a las variables observadas actualmente.</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sz w:val="24"/>
          <w:szCs w:val="24"/>
          <w:rtl w:val="0"/>
        </w:rPr>
        <w:t xml:space="preserve">“Save file”: Guardar los simvars y las unidades definidos como un archivo.</w:t>
      </w:r>
    </w:p>
    <w:p w:rsidR="00000000" w:rsidDel="00000000" w:rsidP="00000000" w:rsidRDefault="00000000" w:rsidRPr="00000000" w14:paraId="00000005">
      <w:pPr>
        <w:numPr>
          <w:ilvl w:val="1"/>
          <w:numId w:val="1"/>
        </w:numPr>
        <w:ind w:left="1440" w:hanging="360"/>
        <w:rPr>
          <w:sz w:val="24"/>
          <w:szCs w:val="24"/>
        </w:rPr>
      </w:pPr>
      <w:r w:rsidDel="00000000" w:rsidR="00000000" w:rsidRPr="00000000">
        <w:rPr>
          <w:sz w:val="24"/>
          <w:szCs w:val="24"/>
          <w:rtl w:val="0"/>
        </w:rPr>
        <w:t xml:space="preserve">Save file with values”: Guarda los simvars con sus unidades y valores como un archivo. Esto puede ser útil para revisar los valores cuando la aplicación está desconectada de la simulación.</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“Exit”: Sale de la aplicación SimVar Watcher.</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En “Options”:</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“Use FX Compatibility Configuration”:</w:t>
      </w:r>
      <w:r w:rsidDel="00000000" w:rsidR="00000000" w:rsidRPr="00000000">
        <w:rPr>
          <w:sz w:val="24"/>
          <w:szCs w:val="24"/>
          <w:highlight w:val="white"/>
          <w:rtl w:val="0"/>
        </w:rPr>
        <w:t xml:space="preserve"> Esta opción está pensada para permitirle utilizar SimVar Watcher con el </w:t>
      </w:r>
      <w:r w:rsidDel="00000000" w:rsidR="00000000" w:rsidRPr="00000000">
        <w:rPr>
          <w:i w:val="1"/>
          <w:sz w:val="24"/>
          <w:szCs w:val="24"/>
          <w:highlight w:val="white"/>
          <w:rtl w:val="0"/>
        </w:rPr>
        <w:t xml:space="preserve">Microsoft</w:t>
      </w:r>
      <w:r w:rsidDel="00000000" w:rsidR="00000000" w:rsidRPr="00000000">
        <w:rPr>
          <w:sz w:val="24"/>
          <w:szCs w:val="24"/>
          <w:highlight w:val="white"/>
          <w:rtl w:val="0"/>
        </w:rPr>
        <w:t xml:space="preserve"> Flight Simulator X (FSX) heredado. Cuando se selecciona, SimVar Watcher debería poder conectarse a este producto heredado.</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“Show all units”: </w:t>
      </w:r>
      <w:r w:rsidDel="00000000" w:rsidR="00000000" w:rsidRPr="00000000">
        <w:rPr>
          <w:sz w:val="24"/>
          <w:szCs w:val="24"/>
          <w:highlight w:val="white"/>
          <w:rtl w:val="0"/>
        </w:rPr>
        <w:t xml:space="preserve">Para muchas SimVars, de forma predeterminada, la aplicación de vigilancia solo mostrará las unidades aplicables que se pueden seleccionar. Sin embargo, cuando esta opción está marcada, se mostrarán </w:t>
      </w:r>
      <w:r w:rsidDel="00000000" w:rsidR="00000000" w:rsidRPr="00000000">
        <w:rPr>
          <w:i w:val="1"/>
          <w:sz w:val="24"/>
          <w:szCs w:val="24"/>
          <w:highlight w:val="white"/>
          <w:rtl w:val="0"/>
        </w:rPr>
        <w:t xml:space="preserve">todas las</w:t>
      </w:r>
      <w:r w:rsidDel="00000000" w:rsidR="00000000" w:rsidRPr="00000000">
        <w:rPr>
          <w:sz w:val="24"/>
          <w:szCs w:val="24"/>
          <w:highlight w:val="white"/>
          <w:rtl w:val="0"/>
        </w:rPr>
        <w:t xml:space="preserve"> unidades.</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highlight w:val="white"/>
        </w:rPr>
      </w:pPr>
      <w:r w:rsidDel="00000000" w:rsidR="00000000" w:rsidRPr="00000000">
        <w:rPr>
          <w:sz w:val="24"/>
          <w:szCs w:val="24"/>
          <w:highlight w:val="white"/>
          <w:rtl w:val="0"/>
        </w:rPr>
        <w:t xml:space="preserve">En “About”:</w:t>
      </w:r>
    </w:p>
    <w:p w:rsidR="00000000" w:rsidDel="00000000" w:rsidP="00000000" w:rsidRDefault="00000000" w:rsidRPr="00000000" w14:paraId="0000000C">
      <w:pPr>
        <w:numPr>
          <w:ilvl w:val="1"/>
          <w:numId w:val="1"/>
        </w:numPr>
        <w:ind w:left="1440" w:hanging="360"/>
        <w:rPr>
          <w:sz w:val="24"/>
          <w:szCs w:val="24"/>
          <w:highlight w:val="white"/>
        </w:rPr>
      </w:pPr>
      <w:r w:rsidDel="00000000" w:rsidR="00000000" w:rsidRPr="00000000">
        <w:rPr>
          <w:sz w:val="24"/>
          <w:szCs w:val="24"/>
          <w:highlight w:val="white"/>
          <w:rtl w:val="0"/>
        </w:rPr>
        <w:t xml:space="preserve">“SimConnect Reference”: Se abrirá la documentación de la página de referencia de la API de SimConnect. La página es: </w:t>
      </w:r>
      <w:hyperlink r:id="rId6">
        <w:r w:rsidDel="00000000" w:rsidR="00000000" w:rsidRPr="00000000">
          <w:rPr>
            <w:color w:val="1155cc"/>
            <w:sz w:val="24"/>
            <w:szCs w:val="24"/>
            <w:highlight w:val="white"/>
            <w:u w:val="single"/>
            <w:rtl w:val="0"/>
          </w:rPr>
          <w:t xml:space="preserve">SimConnect API Reference (flightsimulator.com)</w:t>
        </w:r>
      </w:hyperlink>
      <w:r w:rsidDel="00000000" w:rsidR="00000000" w:rsidRPr="00000000">
        <w:rPr>
          <w:rtl w:val="0"/>
        </w:rPr>
      </w:r>
    </w:p>
    <w:p w:rsidR="00000000" w:rsidDel="00000000" w:rsidP="00000000" w:rsidRDefault="00000000" w:rsidRPr="00000000" w14:paraId="0000000D">
      <w:pPr>
        <w:numPr>
          <w:ilvl w:val="1"/>
          <w:numId w:val="1"/>
        </w:numPr>
        <w:ind w:left="1440" w:hanging="360"/>
        <w:rPr>
          <w:sz w:val="24"/>
          <w:szCs w:val="24"/>
          <w:highlight w:val="white"/>
        </w:rPr>
      </w:pPr>
      <w:r w:rsidDel="00000000" w:rsidR="00000000" w:rsidRPr="00000000">
        <w:rPr>
          <w:sz w:val="24"/>
          <w:szCs w:val="24"/>
          <w:highlight w:val="white"/>
          <w:rtl w:val="0"/>
        </w:rPr>
        <w:t xml:space="preserve">“Simulation Variables Reference”: Esto abrirá la documentación en la página de Variables de simulación. La página es: </w:t>
      </w:r>
      <w:hyperlink r:id="rId7">
        <w:r w:rsidDel="00000000" w:rsidR="00000000" w:rsidRPr="00000000">
          <w:rPr>
            <w:color w:val="1155cc"/>
            <w:sz w:val="24"/>
            <w:szCs w:val="24"/>
            <w:highlight w:val="white"/>
            <w:u w:val="single"/>
            <w:rtl w:val="0"/>
          </w:rPr>
          <w:t xml:space="preserve">Simulation Variables (flightsimulator.com)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flightsimulator.com/html/Programming_Tools/SimConnect/SimConnect_API_Reference.htm" TargetMode="External"/><Relationship Id="rId7" Type="http://schemas.openxmlformats.org/officeDocument/2006/relationships/hyperlink" Target="https://docs.flightsimulator.com/html/Programming_Tools/SimVars/Simulation_Variab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