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w73ya9yxlh" w:id="0"/>
      <w:bookmarkEnd w:id="0"/>
      <w:r w:rsidDel="00000000" w:rsidR="00000000" w:rsidRPr="00000000">
        <w:rPr>
          <w:rtl w:val="0"/>
        </w:rPr>
        <w:t xml:space="preserve">Comunicaciones</w:t>
      </w:r>
    </w:p>
    <w:p w:rsidR="00000000" w:rsidDel="00000000" w:rsidP="00000000" w:rsidRDefault="00000000" w:rsidRPr="00000000" w14:paraId="00000002">
      <w:pPr>
        <w:pStyle w:val="Heading2"/>
        <w:rPr>
          <w:u w:val="single"/>
        </w:rPr>
      </w:pPr>
      <w:bookmarkStart w:colFirst="0" w:colLast="0" w:name="_zgly4of4m5fn" w:id="1"/>
      <w:bookmarkEnd w:id="1"/>
      <w:r w:rsidDel="00000000" w:rsidR="00000000" w:rsidRPr="00000000">
        <w:rPr>
          <w:u w:val="single"/>
          <w:rtl w:val="0"/>
        </w:rPr>
        <w:t xml:space="preserve">Comunicación entre el ESP32 y el RS485: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57550" cy="23717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05425" cy="154449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266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544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u w:val="single"/>
        </w:rPr>
      </w:pPr>
      <w:bookmarkStart w:colFirst="0" w:colLast="0" w:name="_fbd4b9dgkq5k" w:id="2"/>
      <w:bookmarkEnd w:id="2"/>
      <w:r w:rsidDel="00000000" w:rsidR="00000000" w:rsidRPr="00000000">
        <w:rPr>
          <w:u w:val="single"/>
          <w:rtl w:val="0"/>
        </w:rPr>
        <w:t xml:space="preserve">Comunicación entre el RS485 y el Variador de frecuencia (GK500):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Pin A va conectado al terminal “485+”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Pin B va conectado al terminal “485-”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wbr8el1lcytz" w:id="3"/>
      <w:bookmarkEnd w:id="3"/>
      <w:r w:rsidDel="00000000" w:rsidR="00000000" w:rsidRPr="00000000">
        <w:rPr>
          <w:rtl w:val="0"/>
        </w:rPr>
        <w:t xml:space="preserve">Comunicación entre el ESP32 y el MPU6050: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127158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7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