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Cazadores de Patrones en MiniRed</w:t>
      </w:r>
    </w:p>
    <w:p>
      <w:pPr>
        <w:pStyle w:val="Heading3"/>
      </w:pPr>
      <w:r>
        <w:t xml:space="preserve">Reglas de asociación sobre MiniRed_DW con Apriori y FP-Growth</w:t>
      </w:r>
    </w:p>
    <w:p>
      <w:r>
        <w:rPr>
          <w:b/>
        </w:rPr>
        <w:t xml:space="preserve">Materia:</w:t>
      </w:r>
      <w:r>
        <w:t xml:space="preserve"> Base de Datos Aplicada — Unidad 5</w:t>
      </w:r>
      <w:r>
        <w:br/>
      </w:r>
      <w:r>
        <w:rPr>
          <w:b/>
        </w:rPr>
        <w:t xml:space="preserve">Actividad:</w:t>
      </w:r>
      <w:r>
        <w:t xml:space="preserve"> Clase 8 — De la base de datos real a la regla de negocio</w:t>
      </w:r>
      <w:r>
        <w:br/>
      </w:r>
      <w:r>
        <w:rPr>
          <w:b/>
        </w:rPr>
        <w:t xml:space="preserve">Integrantes:</w:t>
      </w:r>
      <w:r>
        <w:t xml:space="preserve"> </w:t>
      </w:r>
      <w:r>
        <w:rPr>
          <w:i/>
        </w:rPr>
        <w:t xml:space="preserve">(completar)</w:t>
      </w:r>
      <w:r>
        <w:br/>
      </w:r>
      <w:r>
        <w:rPr>
          <w:b/>
        </w:rPr>
        <w:t xml:space="preserve">Herramientas:</w:t>
      </w:r>
      <w:r>
        <w:t xml:space="preserve"> SQL Server 2025 · Weka 3.8.7 · Python 3.14</w:t>
      </w:r>
      <w:r>
        <w:br/>
      </w:r>
      <w:r>
        <w:rPr>
          <w:b/>
        </w:rPr>
        <w:t xml:space="preserve">Repositorio:</w:t>
      </w:r>
      <w:r>
        <w:t xml:space="preserve"> https://github.com/SantiagoSkrobacki/MiniRed-2</w:t>
      </w:r>
      <w:r>
        <w:br/>
      </w:r>
      <w:r>
        <w:rPr>
          <w:b/>
        </w:rPr>
        <w:t xml:space="preserve">Presentación:</w:t>
      </w:r>
      <w:r>
        <w:t xml:space="preserve"> https://santiagoskrobacki.github.io/MiniRed-2/</w:t>
      </w:r>
    </w:p>
    <w:p>
      <w:pPr>
        <w:pBdr>
          <w:bottom w:val="single" w:sz="6" w:space="1" w:color="C8C8C8"/>
        </w:pBdr>
      </w:pPr>
    </w:p>
    <w:p>
      <w:pPr>
        <w:pStyle w:val="Heading2"/>
      </w:pPr>
      <w:r>
        <w:t xml:space="preserve">1. Fase 0 — Preparación de los datos</w:t>
      </w:r>
    </w:p>
    <w:p>
      <w:pPr>
        <w:pStyle w:val="Heading3"/>
      </w:pPr>
      <w:r>
        <w:t xml:space="preserve">1.1 El universo elegido y su justificación</w:t>
      </w:r>
    </w:p>
    <w:p>
      <w:pPr>
        <w:jc w:val="both"/>
      </w:pPr>
      <w:r>
        <w:t xml:space="preserve">Se trabajó sobre </w:t>
      </w:r>
      <w:r>
        <w:rPr>
          <w:rFonts w:ascii="Consolas" w:hAnsi="Consolas"/>
          <w:sz w:val="17"/>
          <w:shd w:val="clear" w:fill="F2F3F6"/>
        </w:rPr>
        <w:t xml:space="preserve">Fact_Ventas</w:t>
      </w:r>
      <w:r>
        <w:t xml:space="preserve"> de </w:t>
      </w:r>
      <w:r>
        <w:rPr>
          <w:rFonts w:ascii="Consolas" w:hAnsi="Consolas"/>
          <w:sz w:val="17"/>
          <w:shd w:val="clear" w:fill="F2F3F6"/>
        </w:rPr>
        <w:t xml:space="preserve">MiniRed_DW</w:t>
      </w:r>
      <w:r>
        <w:t xml:space="preserve">, con el catálogo completo (30 productos), las 7 sucursales y los dos años disponibles (2024-01-01 a 2025-12-31).</w:t>
      </w:r>
    </w:p>
    <w:p>
      <w:pPr>
        <w:jc w:val="both"/>
      </w:pPr>
      <w:r>
        <w:t xml:space="preserve">No se recortó por sucursal ni por trimestre por una razón concreta: el enunciado sugiere el recorte asumiendo un catálogo de 4.200 artículos, pero la base instalada tiene </w:t>
      </w:r>
      <w:r>
        <w:rPr>
          <w:b/>
        </w:rPr>
        <w:t xml:space="preserve">30 productos y 7 sucursales</w:t>
      </w:r>
      <w:r>
        <w:t xml:space="preserve">. El espacio de itemsets es lo suficientemente chico como para que Apriori lo recorra completo en segundos, de modo que recortar solo habría reducido la evidencia sin ganar nada en tiempo de cómputo.</w:t>
      </w:r>
    </w:p>
    <w:p>
      <w:pPr>
        <w:jc w:val="both"/>
      </w:pPr>
      <w:r>
        <w:t xml:space="preserve">Sí se tomó una decisión de recorte, y fue necesaria:</w:t>
      </w:r>
    </w:p>
    <w:p>
      <w:pPr>
        <w:pStyle w:val="Destacado"/>
        <w:jc w:val="both"/>
      </w:pPr>
      <w:r>
        <w:rPr>
          <w:b/>
        </w:rPr>
        <w:t xml:space="preserve">Se excluyeron los tickets con un solo producto distinto: 152.944 de 220.465, el 69 % del total.</w:t>
      </w:r>
      <w:r>
        <w:t xml:space="preserve"> Una transacción con un único ítem no puede generar ninguna regla de asociación —no hay con qué asociar el producto— pero sí engrosa el denominador </w:t>
      </w:r>
      <w:r>
        <w:rPr>
          <w:rFonts w:ascii="Consolas" w:hAnsi="Consolas"/>
          <w:sz w:val="17"/>
          <w:shd w:val="clear" w:fill="F2F3F6"/>
        </w:rPr>
        <w:t xml:space="preserve">N</w:t>
      </w:r>
      <w:r>
        <w:t xml:space="preserve"> y hunde artificialmente el soporte de todas las reglas. Conservarlos habría dividido todos los soportes por 3,3 sin aportar una sola co-ocurrencia.</w:t>
      </w:r>
    </w:p>
    <w:p>
      <w:pPr>
        <w:pStyle w:val="Heading3"/>
      </w:pPr>
      <w:r>
        <w:t xml:space="preserve">1.2 Una corrección al enunciado</w:t>
      </w:r>
    </w:p>
    <w:p>
      <w:pPr>
        <w:jc w:val="both"/>
      </w:pPr>
      <w:r>
        <w:t xml:space="preserve">El enunciado indica armar la consulta agrupando por </w:t>
      </w:r>
      <w:r>
        <w:rPr>
          <w:rFonts w:ascii="Consolas" w:hAnsi="Consolas"/>
          <w:sz w:val="17"/>
          <w:shd w:val="clear" w:fill="F2F3F6"/>
        </w:rPr>
        <w:t xml:space="preserve">IdVenta</w:t>
      </w:r>
      <w:r>
        <w:t xml:space="preserve">, "el ticket". En </w:t>
      </w:r>
      <w:r>
        <w:rPr>
          <w:rFonts w:ascii="Consolas" w:hAnsi="Consolas"/>
          <w:sz w:val="17"/>
          <w:shd w:val="clear" w:fill="F2F3F6"/>
        </w:rPr>
        <w:t xml:space="preserve">MiniRed_DW</w:t>
      </w:r>
      <w:r>
        <w:t xml:space="preserve"> esa columna es la </w:t>
      </w:r>
      <w:r>
        <w:rPr>
          <w:b/>
        </w:rPr>
        <w:t xml:space="preserve">clave primaria de la línea de detalle</w:t>
      </w:r>
      <w:r>
        <w:t xml:space="preserve">; el ticket es </w:t>
      </w:r>
      <w:r>
        <w:rPr>
          <w:rFonts w:ascii="Consolas" w:hAnsi="Consolas"/>
          <w:sz w:val="17"/>
          <w:shd w:val="clear" w:fill="F2F3F6"/>
        </w:rPr>
        <w:t xml:space="preserve">IdTicket</w:t>
      </w:r>
      <w:r>
        <w:t xml:space="preserve">. Agrupando como indica el texto, cada canasta habría contenido exactamente un producto y Apriori no habría devuelto ninguna regla. Se verificó el esquema de la tabla antes de escribir la consulta y se agrupó por </w:t>
      </w:r>
      <w:r>
        <w:rPr>
          <w:rFonts w:ascii="Consolas" w:hAnsi="Consolas"/>
          <w:sz w:val="17"/>
          <w:shd w:val="clear" w:fill="F2F3F6"/>
        </w:rPr>
        <w:t xml:space="preserve">IdTicket</w:t>
      </w:r>
      <w:r>
        <w:t xml:space="preserve">.</w:t>
      </w:r>
    </w:p>
    <w:p>
      <w:pPr>
        <w:pStyle w:val="Heading3"/>
      </w:pPr>
      <w:r>
        <w:t xml:space="preserve">1.3 La transformación de grano</w:t>
      </w:r>
    </w:p>
    <w:p>
      <w:pPr>
        <w:jc w:val="both"/>
      </w:pPr>
      <w:r>
        <w:rPr>
          <w:rFonts w:ascii="Consolas" w:hAnsi="Consolas"/>
          <w:sz w:val="17"/>
          <w:shd w:val="clear" w:fill="F2F3F6"/>
        </w:rPr>
        <w:t xml:space="preserve">Fact_Ventas</w:t>
      </w:r>
      <w:r>
        <w:t xml:space="preserve"> está en grano de línea. Apriori necesita grano de canasta. El ticket </w:t>
      </w:r>
      <w:r>
        <w:rPr>
          <w:rFonts w:ascii="Consolas" w:hAnsi="Consolas"/>
          <w:sz w:val="17"/>
          <w:shd w:val="clear" w:fill="F2F3F6"/>
        </w:rPr>
        <w:t xml:space="preserve">2024010101298</w:t>
      </w:r>
      <w:r>
        <w:t xml:space="preserve"> ilustra la transformación completa:</w:t>
      </w:r>
    </w:p>
    <w:p>
      <w:pPr>
        <w:jc w:val="both"/>
      </w:pPr>
      <w:r>
        <w:rPr>
          <w:b/>
        </w:rPr>
        <w:t xml:space="preserve">Origen — grano de línea (3 filas):</w:t>
      </w:r>
    </w:p>
    <w:tbl>
      <w:tblPr>
        <w:tblW w:w="5000" w:type="pct"/>
        <w:tblBorders>
          <w:top w:val="single" w:sz="4" w:space="0" w:color="B9BFCC"/>
          <w:left w:val="single" w:sz="4" w:space="0" w:color="B9BFCC"/>
          <w:bottom w:val="single" w:sz="4" w:space="0" w:color="B9BFCC"/>
          <w:right w:val="single" w:sz="4" w:space="0" w:color="B9BFCC"/>
          <w:insideH w:val="single" w:sz="4" w:space="0" w:color="B9BFCC"/>
          <w:insideV w:val="single" w:sz="4" w:space="0" w:color="B9BFCC"/>
        </w:tblBorders>
        <w:tblLayout w:type="autofit"/>
      </w:tblPr>
      <w:tr>
        <w:trPr>
          <w:tblHeader/>
        </w:trPr>
        <w:tc>
          <w:tcPr>
            <w:tcW w:w="0" w:type="auto"/>
            <w:shd w:val="clear" w:fill="E6EAF2"/>
          </w:tcPr>
          <w:p>
            <w:pPr>
              <w:pStyle w:val="TablaTexto"/>
            </w:pPr>
            <w:r>
              <w:rPr>
                <w:b/>
              </w:rPr>
              <w:t xml:space="preserve">IdVenta</w:t>
            </w:r>
          </w:p>
        </w:tc>
        <w:tc>
          <w:tcPr>
            <w:tcW w:w="0" w:type="auto"/>
            <w:shd w:val="clear" w:fill="E6EAF2"/>
          </w:tcPr>
          <w:p>
            <w:pPr>
              <w:pStyle w:val="TablaTexto"/>
            </w:pPr>
            <w:r>
              <w:rPr>
                <w:b/>
              </w:rPr>
              <w:t xml:space="preserve">IdTicket</w:t>
            </w:r>
          </w:p>
        </w:tc>
        <w:tc>
          <w:tcPr>
            <w:tcW w:w="0" w:type="auto"/>
            <w:shd w:val="clear" w:fill="E6EAF2"/>
          </w:tcPr>
          <w:p>
            <w:pPr>
              <w:pStyle w:val="TablaTexto"/>
            </w:pPr>
            <w:r>
              <w:rPr>
                <w:b/>
              </w:rPr>
              <w:t xml:space="preserve">Producto</w:t>
            </w:r>
          </w:p>
        </w:tc>
        <w:tc>
          <w:tcPr>
            <w:tcW w:w="0" w:type="auto"/>
            <w:shd w:val="clear" w:fill="E6EAF2"/>
          </w:tcPr>
          <w:p>
            <w:pPr>
              <w:pStyle w:val="TablaTexto"/>
            </w:pPr>
            <w:r>
              <w:rPr>
                <w:b/>
              </w:rPr>
              <w:t xml:space="preserve">Cantidad</w:t>
            </w:r>
          </w:p>
        </w:tc>
        <w:tc>
          <w:tcPr>
            <w:tcW w:w="0" w:type="auto"/>
            <w:shd w:val="clear" w:fill="E6EAF2"/>
          </w:tcPr>
          <w:p>
            <w:pPr>
              <w:pStyle w:val="TablaTexto"/>
            </w:pPr>
            <w:r>
              <w:rPr>
                <w:b/>
              </w:rPr>
              <w:t xml:space="preserve">Importe</w:t>
            </w:r>
          </w:p>
        </w:tc>
      </w:tr>
      <w:tr>
        <w:tc>
          <w:tcPr>
            <w:tcW w:w="0" w:type="auto"/>
          </w:tcPr>
          <w:p>
            <w:pPr>
              <w:pStyle w:val="TablaTexto"/>
            </w:pPr>
            <w:r>
              <w:t xml:space="preserve">101.599</w:t>
            </w:r>
          </w:p>
        </w:tc>
        <w:tc>
          <w:tcPr>
            <w:tcW w:w="0" w:type="auto"/>
          </w:tcPr>
          <w:p>
            <w:pPr>
              <w:pStyle w:val="TablaTexto"/>
            </w:pPr>
            <w:r>
              <w:t xml:space="preserve">2024010101298</w:t>
            </w:r>
          </w:p>
        </w:tc>
        <w:tc>
          <w:tcPr>
            <w:tcW w:w="0" w:type="auto"/>
          </w:tcPr>
          <w:p>
            <w:pPr>
              <w:pStyle w:val="TablaTexto"/>
            </w:pPr>
            <w:r>
              <w:t xml:space="preserve">Helado Crema 1L</w:t>
            </w:r>
          </w:p>
        </w:tc>
        <w:tc>
          <w:tcPr>
            <w:tcW w:w="0" w:type="auto"/>
          </w:tcPr>
          <w:p>
            <w:pPr>
              <w:pStyle w:val="TablaTexto"/>
            </w:pPr>
            <w:r>
              <w:t xml:space="preserve">6</w:t>
            </w:r>
          </w:p>
        </w:tc>
        <w:tc>
          <w:tcPr>
            <w:tcW w:w="0" w:type="auto"/>
          </w:tcPr>
          <w:p>
            <w:pPr>
              <w:pStyle w:val="TablaTexto"/>
            </w:pPr>
            <w:r>
              <w:t xml:space="preserve">$31.200</w:t>
            </w:r>
          </w:p>
        </w:tc>
      </w:tr>
      <w:tr>
        <w:tc>
          <w:tcPr>
            <w:tcW w:w="0" w:type="auto"/>
          </w:tcPr>
          <w:p>
            <w:pPr>
              <w:pStyle w:val="TablaTexto"/>
            </w:pPr>
            <w:r>
              <w:t xml:space="preserve">224.034</w:t>
            </w:r>
          </w:p>
        </w:tc>
        <w:tc>
          <w:tcPr>
            <w:tcW w:w="0" w:type="auto"/>
          </w:tcPr>
          <w:p>
            <w:pPr>
              <w:pStyle w:val="TablaTexto"/>
            </w:pPr>
            <w:r>
              <w:t xml:space="preserve">2024010101298</w:t>
            </w:r>
          </w:p>
        </w:tc>
        <w:tc>
          <w:tcPr>
            <w:tcW w:w="0" w:type="auto"/>
          </w:tcPr>
          <w:p>
            <w:pPr>
              <w:pStyle w:val="TablaTexto"/>
            </w:pPr>
            <w:r>
              <w:t xml:space="preserve">Palitos Helados x6</w:t>
            </w:r>
          </w:p>
        </w:tc>
        <w:tc>
          <w:tcPr>
            <w:tcW w:w="0" w:type="auto"/>
          </w:tcPr>
          <w:p>
            <w:pPr>
              <w:pStyle w:val="TablaTexto"/>
            </w:pPr>
            <w:r>
              <w:t xml:space="preserve">6</w:t>
            </w:r>
          </w:p>
        </w:tc>
        <w:tc>
          <w:tcPr>
            <w:tcW w:w="0" w:type="auto"/>
          </w:tcPr>
          <w:p>
            <w:pPr>
              <w:pStyle w:val="TablaTexto"/>
            </w:pPr>
            <w:r>
              <w:t xml:space="preserve">$18.600</w:t>
            </w:r>
          </w:p>
        </w:tc>
      </w:tr>
      <w:tr>
        <w:tc>
          <w:tcPr>
            <w:tcW w:w="0" w:type="auto"/>
          </w:tcPr>
          <w:p>
            <w:pPr>
              <w:pStyle w:val="TablaTexto"/>
            </w:pPr>
            <w:r>
              <w:t xml:space="preserve">265.822</w:t>
            </w:r>
          </w:p>
        </w:tc>
        <w:tc>
          <w:tcPr>
            <w:tcW w:w="0" w:type="auto"/>
          </w:tcPr>
          <w:p>
            <w:pPr>
              <w:pStyle w:val="TablaTexto"/>
            </w:pPr>
            <w:r>
              <w:t xml:space="preserve">2024010101298</w:t>
            </w:r>
          </w:p>
        </w:tc>
        <w:tc>
          <w:tcPr>
            <w:tcW w:w="0" w:type="auto"/>
          </w:tcPr>
          <w:p>
            <w:pPr>
              <w:pStyle w:val="TablaTexto"/>
            </w:pPr>
            <w:r>
              <w:t xml:space="preserve">Detergente 750ml</w:t>
            </w:r>
          </w:p>
        </w:tc>
        <w:tc>
          <w:tcPr>
            <w:tcW w:w="0" w:type="auto"/>
          </w:tcPr>
          <w:p>
            <w:pPr>
              <w:pStyle w:val="TablaTexto"/>
            </w:pPr>
            <w:r>
              <w:t xml:space="preserve">4</w:t>
            </w:r>
          </w:p>
        </w:tc>
        <w:tc>
          <w:tcPr>
            <w:tcW w:w="0" w:type="auto"/>
          </w:tcPr>
          <w:p>
            <w:pPr>
              <w:pStyle w:val="TablaTexto"/>
            </w:pPr>
            <w:r>
              <w:t xml:space="preserve">$7.560</w:t>
            </w:r>
          </w:p>
        </w:tc>
      </w:tr>
    </w:tbl>
    <w:p>
      <w:pPr>
        <w:pStyle w:val="Espaciador"/>
      </w:pPr>
    </w:p>
    <w:p>
      <w:pPr>
        <w:jc w:val="both"/>
      </w:pPr>
      <w:r>
        <w:rPr>
          <w:b/>
        </w:rPr>
        <w:t xml:space="preserve">Intermedio — grano de canasta (1 fila):</w:t>
      </w:r>
    </w:p>
    <w:p>
      <w:pPr>
        <w:jc w:val="both"/>
      </w:pPr>
      <w:r>
        <w:rPr>
          <w:rFonts w:ascii="Consolas" w:hAnsi="Consolas"/>
          <w:sz w:val="17"/>
          <w:shd w:val="clear" w:fill="F2F3F6"/>
        </w:rPr>
        <w:t xml:space="preserve">2024010101298 → Helado Crema 1L + Palitos Helados x6 + Detergente 750ml</w:t>
      </w:r>
    </w:p>
    <w:p>
      <w:pPr>
        <w:jc w:val="both"/>
      </w:pPr>
      <w:r>
        <w:rPr>
          <w:b/>
        </w:rPr>
        <w:t xml:space="preserve">Destino — matriz transaccional para Weka (1 fila, 30 columnas):</w:t>
      </w:r>
    </w:p>
    <w:tbl>
      <w:tblPr>
        <w:tblW w:w="5000" w:type="pct"/>
        <w:tblBorders>
          <w:top w:val="single" w:sz="4" w:space="0" w:color="B9BFCC"/>
          <w:left w:val="single" w:sz="4" w:space="0" w:color="B9BFCC"/>
          <w:bottom w:val="single" w:sz="4" w:space="0" w:color="B9BFCC"/>
          <w:right w:val="single" w:sz="4" w:space="0" w:color="B9BFCC"/>
          <w:insideH w:val="single" w:sz="4" w:space="0" w:color="B9BFCC"/>
          <w:insideV w:val="single" w:sz="4" w:space="0" w:color="B9BFCC"/>
        </w:tblBorders>
        <w:tblLayout w:type="autofit"/>
      </w:tblPr>
      <w:tr>
        <w:trPr>
          <w:tblHeader/>
        </w:trPr>
        <w:tc>
          <w:tcPr>
            <w:tcW w:w="0" w:type="auto"/>
            <w:shd w:val="clear" w:fill="E6EAF2"/>
          </w:tcPr>
          <w:p>
            <w:pPr>
              <w:pStyle w:val="TablaTexto"/>
            </w:pPr>
            <w:r>
              <w:rPr>
                <w:b/>
              </w:rPr>
              <w:t xml:space="preserve">Helado</w:t>
            </w:r>
          </w:p>
        </w:tc>
        <w:tc>
          <w:tcPr>
            <w:tcW w:w="0" w:type="auto"/>
            <w:shd w:val="clear" w:fill="E6EAF2"/>
          </w:tcPr>
          <w:p>
            <w:pPr>
              <w:pStyle w:val="TablaTexto"/>
            </w:pPr>
            <w:r>
              <w:rPr>
                <w:b/>
              </w:rPr>
              <w:t xml:space="preserve">Palitos</w:t>
            </w:r>
          </w:p>
        </w:tc>
        <w:tc>
          <w:tcPr>
            <w:tcW w:w="0" w:type="auto"/>
            <w:shd w:val="clear" w:fill="E6EAF2"/>
          </w:tcPr>
          <w:p>
            <w:pPr>
              <w:pStyle w:val="TablaTexto"/>
            </w:pPr>
            <w:r>
              <w:rPr>
                <w:b/>
              </w:rPr>
              <w:t xml:space="preserve">Detergente</w:t>
            </w:r>
          </w:p>
        </w:tc>
        <w:tc>
          <w:tcPr>
            <w:tcW w:w="0" w:type="auto"/>
            <w:shd w:val="clear" w:fill="E6EAF2"/>
          </w:tcPr>
          <w:p>
            <w:pPr>
              <w:pStyle w:val="TablaTexto"/>
            </w:pPr>
            <w:r>
              <w:rPr>
                <w:b/>
              </w:rPr>
              <w:t xml:space="preserve">Leche</w:t>
            </w:r>
          </w:p>
        </w:tc>
        <w:tc>
          <w:tcPr>
            <w:tcW w:w="0" w:type="auto"/>
            <w:shd w:val="clear" w:fill="E6EAF2"/>
          </w:tcPr>
          <w:p>
            <w:pPr>
              <w:pStyle w:val="TablaTexto"/>
            </w:pPr>
            <w:r>
              <w:rPr>
                <w:b/>
              </w:rPr>
              <w:t xml:space="preserve">Gaseosa</w:t>
            </w:r>
          </w:p>
        </w:tc>
        <w:tc>
          <w:tcPr>
            <w:tcW w:w="0" w:type="auto"/>
            <w:shd w:val="clear" w:fill="E6EAF2"/>
          </w:tcPr>
          <w:p>
            <w:pPr>
              <w:pStyle w:val="TablaTexto"/>
            </w:pPr>
            <w:r>
              <w:rPr>
                <w:b/>
              </w:rPr>
              <w:t xml:space="preserve">…</w:t>
            </w:r>
          </w:p>
        </w:tc>
      </w:tr>
      <w:tr>
        <w:tc>
          <w:tcPr>
            <w:tcW w:w="0" w:type="auto"/>
          </w:tcPr>
          <w:p>
            <w:pPr>
              <w:pStyle w:val="TablaTexto"/>
            </w:pPr>
            <w:r>
              <w:t xml:space="preserve">1</w:t>
            </w:r>
          </w:p>
        </w:tc>
        <w:tc>
          <w:tcPr>
            <w:tcW w:w="0" w:type="auto"/>
          </w:tcPr>
          <w:p>
            <w:pPr>
              <w:pStyle w:val="TablaTexto"/>
            </w:pPr>
            <w:r>
              <w:t xml:space="preserve">1</w:t>
            </w:r>
          </w:p>
        </w:tc>
        <w:tc>
          <w:tcPr>
            <w:tcW w:w="0" w:type="auto"/>
          </w:tcPr>
          <w:p>
            <w:pPr>
              <w:pStyle w:val="TablaTexto"/>
            </w:pPr>
            <w:r>
              <w:t xml:space="preserve">1</w:t>
            </w:r>
          </w:p>
        </w:tc>
        <w:tc>
          <w:tcPr>
            <w:tcW w:w="0" w:type="auto"/>
          </w:tcPr>
          <w:p>
            <w:pPr>
              <w:pStyle w:val="TablaTexto"/>
            </w:pPr>
            <w:r>
              <w:t xml:space="preserve">0</w:t>
            </w:r>
          </w:p>
        </w:tc>
        <w:tc>
          <w:tcPr>
            <w:tcW w:w="0" w:type="auto"/>
          </w:tcPr>
          <w:p>
            <w:pPr>
              <w:pStyle w:val="TablaTexto"/>
            </w:pPr>
            <w:r>
              <w:t xml:space="preserve">0</w:t>
            </w:r>
          </w:p>
        </w:tc>
        <w:tc>
          <w:tcPr>
            <w:tcW w:w="0" w:type="auto"/>
          </w:tcPr>
          <w:p>
            <w:pPr>
              <w:pStyle w:val="TablaTexto"/>
            </w:pPr>
            <w:r>
              <w:t xml:space="preserve">…</w:t>
            </w:r>
          </w:p>
        </w:tc>
      </w:tr>
    </w:tbl>
    <w:p>
      <w:pPr>
        <w:pStyle w:val="Espaciador"/>
      </w:pPr>
    </w:p>
    <w:p>
      <w:pPr>
        <w:jc w:val="both"/>
      </w:pPr>
      <w:r>
        <w:t xml:space="preserve">En el paso final se descartan </w:t>
      </w:r>
      <w:r>
        <w:rPr>
          <w:rFonts w:ascii="Consolas" w:hAnsi="Consolas"/>
          <w:sz w:val="17"/>
          <w:shd w:val="clear" w:fill="F2F3F6"/>
        </w:rPr>
        <w:t xml:space="preserve">Cantidad</w:t>
      </w:r>
      <w:r>
        <w:t xml:space="preserve">, </w:t>
      </w:r>
      <w:r>
        <w:rPr>
          <w:rFonts w:ascii="Consolas" w:hAnsi="Consolas"/>
          <w:sz w:val="17"/>
          <w:shd w:val="clear" w:fill="F2F3F6"/>
        </w:rPr>
        <w:t xml:space="preserve">ImporteTotal</w:t>
      </w:r>
      <w:r>
        <w:t xml:space="preserve">, </w:t>
      </w:r>
      <w:r>
        <w:rPr>
          <w:rFonts w:ascii="Consolas" w:hAnsi="Consolas"/>
          <w:sz w:val="17"/>
          <w:shd w:val="clear" w:fill="F2F3F6"/>
        </w:rPr>
        <w:t xml:space="preserve">IdCajero</w:t>
      </w:r>
      <w:r>
        <w:t xml:space="preserve"> y </w:t>
      </w:r>
      <w:r>
        <w:rPr>
          <w:rFonts w:ascii="Consolas" w:hAnsi="Consolas"/>
          <w:sz w:val="17"/>
          <w:shd w:val="clear" w:fill="F2F3F6"/>
        </w:rPr>
        <w:t xml:space="preserve">IdMedioPago</w:t>
      </w:r>
      <w:r>
        <w:t xml:space="preserve">: a un algoritmo de asociación solo le importa la presencia del ítem, no cuántas unidades ni a qué precio. También se descarta </w:t>
      </w:r>
      <w:r>
        <w:rPr>
          <w:rFonts w:ascii="Consolas" w:hAnsi="Consolas"/>
          <w:sz w:val="17"/>
          <w:shd w:val="clear" w:fill="F2F3F6"/>
        </w:rPr>
        <w:t xml:space="preserve">IdTicket</w:t>
      </w:r>
      <w:r>
        <w:t xml:space="preserve">, que solo sirvió para agrupar.</w:t>
      </w:r>
    </w:p>
    <w:p>
      <w:pPr>
        <w:pStyle w:val="Heading3"/>
      </w:pPr>
      <w:r>
        <w:t xml:space="preserve">1.4 Volumen de la muestra final</w:t>
      </w:r>
    </w:p>
    <w:tbl>
      <w:tblPr>
        <w:tblW w:w="5000" w:type="pct"/>
        <w:tblBorders>
          <w:top w:val="single" w:sz="4" w:space="0" w:color="B9BFCC"/>
          <w:left w:val="single" w:sz="4" w:space="0" w:color="B9BFCC"/>
          <w:bottom w:val="single" w:sz="4" w:space="0" w:color="B9BFCC"/>
          <w:right w:val="single" w:sz="4" w:space="0" w:color="B9BFCC"/>
          <w:insideH w:val="single" w:sz="4" w:space="0" w:color="B9BFCC"/>
          <w:insideV w:val="single" w:sz="4" w:space="0" w:color="B9BFCC"/>
        </w:tblBorders>
        <w:tblLayout w:type="autofit"/>
      </w:tblPr>
      <w:tr>
        <w:trPr>
          <w:tblHeader/>
        </w:trPr>
        <w:tc>
          <w:tcPr>
            <w:tcW w:w="0" w:type="auto"/>
            <w:shd w:val="clear" w:fill="E6EAF2"/>
          </w:tcPr>
          <w:p>
            <w:pPr>
              <w:pStyle w:val="TablaTexto"/>
            </w:pPr>
            <w:r>
              <w:rPr>
                <w:b/>
              </w:rPr>
              <w:t xml:space="preserve">Métrica</w:t>
            </w:r>
          </w:p>
        </w:tc>
        <w:tc>
          <w:tcPr>
            <w:tcW w:w="0" w:type="auto"/>
            <w:shd w:val="clear" w:fill="E6EAF2"/>
          </w:tcPr>
          <w:p>
            <w:pPr>
              <w:pStyle w:val="TablaTexto"/>
            </w:pPr>
            <w:r>
              <w:rPr>
                <w:b/>
              </w:rPr>
              <w:t xml:space="preserve">Valor</w:t>
            </w:r>
          </w:p>
        </w:tc>
      </w:tr>
      <w:tr>
        <w:tc>
          <w:tcPr>
            <w:tcW w:w="0" w:type="auto"/>
          </w:tcPr>
          <w:p>
            <w:pPr>
              <w:pStyle w:val="TablaTexto"/>
            </w:pPr>
            <w:r>
              <w:t xml:space="preserve">Líneas en </w:t>
            </w:r>
            <w:r>
              <w:rPr>
                <w:rFonts w:ascii="Consolas" w:hAnsi="Consolas"/>
                <w:sz w:val="17"/>
                <w:shd w:val="clear" w:fill="F2F3F6"/>
              </w:rPr>
              <w:t xml:space="preserve">Fact_Ventas</w:t>
            </w:r>
          </w:p>
        </w:tc>
        <w:tc>
          <w:tcPr>
            <w:tcW w:w="0" w:type="auto"/>
          </w:tcPr>
          <w:p>
            <w:pPr>
              <w:pStyle w:val="TablaTexto"/>
            </w:pPr>
            <w:r>
              <w:t xml:space="preserve">315.969</w:t>
            </w:r>
          </w:p>
        </w:tc>
      </w:tr>
      <w:tr>
        <w:tc>
          <w:tcPr>
            <w:tcW w:w="0" w:type="auto"/>
          </w:tcPr>
          <w:p>
            <w:pPr>
              <w:pStyle w:val="TablaTexto"/>
            </w:pPr>
            <w:r>
              <w:t xml:space="preserve">Tickets totales</w:t>
            </w:r>
          </w:p>
        </w:tc>
        <w:tc>
          <w:tcPr>
            <w:tcW w:w="0" w:type="auto"/>
          </w:tcPr>
          <w:p>
            <w:pPr>
              <w:pStyle w:val="TablaTexto"/>
            </w:pPr>
            <w:r>
              <w:t xml:space="preserve">220.465</w:t>
            </w:r>
          </w:p>
        </w:tc>
      </w:tr>
      <w:tr>
        <w:tc>
          <w:tcPr>
            <w:tcW w:w="0" w:type="auto"/>
          </w:tcPr>
          <w:p>
            <w:pPr>
              <w:pStyle w:val="TablaTexto"/>
            </w:pPr>
            <w:r>
              <w:t xml:space="preserve">Tickets descartados (1 solo ítem)</w:t>
            </w:r>
          </w:p>
        </w:tc>
        <w:tc>
          <w:tcPr>
            <w:tcW w:w="0" w:type="auto"/>
          </w:tcPr>
          <w:p>
            <w:pPr>
              <w:pStyle w:val="TablaTexto"/>
            </w:pPr>
            <w:r>
              <w:t xml:space="preserve">152.944 (69 %)</w:t>
            </w:r>
          </w:p>
        </w:tc>
      </w:tr>
      <w:tr>
        <w:tc>
          <w:tcPr>
            <w:tcW w:w="0" w:type="auto"/>
          </w:tcPr>
          <w:p>
            <w:pPr>
              <w:pStyle w:val="TablaTexto"/>
            </w:pPr>
            <w:r>
              <w:rPr>
                <w:b/>
              </w:rPr>
              <w:t xml:space="preserve">Transacciones analizadas</w:t>
            </w:r>
          </w:p>
        </w:tc>
        <w:tc>
          <w:tcPr>
            <w:tcW w:w="0" w:type="auto"/>
          </w:tcPr>
          <w:p>
            <w:pPr>
              <w:pStyle w:val="TablaTexto"/>
            </w:pPr>
            <w:r>
              <w:rPr>
                <w:b/>
              </w:rPr>
              <w:t xml:space="preserve">67.521</w:t>
            </w:r>
          </w:p>
        </w:tc>
      </w:tr>
      <w:tr>
        <w:tc>
          <w:tcPr>
            <w:tcW w:w="0" w:type="auto"/>
          </w:tcPr>
          <w:p>
            <w:pPr>
              <w:pStyle w:val="TablaTexto"/>
            </w:pPr>
            <w:r>
              <w:rPr>
                <w:b/>
              </w:rPr>
              <w:t xml:space="preserve">Ítems distintos</w:t>
            </w:r>
          </w:p>
        </w:tc>
        <w:tc>
          <w:tcPr>
            <w:tcW w:w="0" w:type="auto"/>
          </w:tcPr>
          <w:p>
            <w:pPr>
              <w:pStyle w:val="TablaTexto"/>
            </w:pPr>
            <w:r>
              <w:rPr>
                <w:b/>
              </w:rPr>
              <w:t xml:space="preserve">30</w:t>
            </w:r>
          </w:p>
        </w:tc>
      </w:tr>
      <w:tr>
        <w:tc>
          <w:tcPr>
            <w:tcW w:w="0" w:type="auto"/>
          </w:tcPr>
          <w:p>
            <w:pPr>
              <w:pStyle w:val="TablaTexto"/>
            </w:pPr>
            <w:r>
              <w:t xml:space="preserve">Pares ticket-producto</w:t>
            </w:r>
          </w:p>
        </w:tc>
        <w:tc>
          <w:tcPr>
            <w:tcW w:w="0" w:type="auto"/>
          </w:tcPr>
          <w:p>
            <w:pPr>
              <w:pStyle w:val="TablaTexto"/>
            </w:pPr>
            <w:r>
              <w:t xml:space="preserve">157.971</w:t>
            </w:r>
          </w:p>
        </w:tc>
      </w:tr>
      <w:tr>
        <w:tc>
          <w:tcPr>
            <w:tcW w:w="0" w:type="auto"/>
          </w:tcPr>
          <w:p>
            <w:pPr>
              <w:pStyle w:val="TablaTexto"/>
            </w:pPr>
            <w:r>
              <w:t xml:space="preserve">Promedio de ítems por ticket</w:t>
            </w:r>
          </w:p>
        </w:tc>
        <w:tc>
          <w:tcPr>
            <w:tcW w:w="0" w:type="auto"/>
          </w:tcPr>
          <w:p>
            <w:pPr>
              <w:pStyle w:val="TablaTexto"/>
            </w:pPr>
            <w:r>
              <w:t xml:space="preserve">2,34</w:t>
            </w:r>
          </w:p>
        </w:tc>
      </w:tr>
    </w:tbl>
    <w:p>
      <w:pPr>
        <w:pStyle w:val="Espaciador"/>
      </w:pPr>
    </w:p>
    <w:p>
      <w:pPr>
        <w:pStyle w:val="Destacado"/>
        <w:jc w:val="both"/>
      </w:pPr>
      <w:r>
        <w:rPr>
          <w:b/>
        </w:rPr>
        <w:t xml:space="preserve">[CAPTURA 1]</w:t>
      </w:r>
      <w:r>
        <w:t xml:space="preserve"> — Extracto de la matriz transaccional: las primeras filas del archivo </w:t>
      </w:r>
      <w:r>
        <w:rPr>
          <w:rFonts w:ascii="Consolas" w:hAnsi="Consolas"/>
          <w:sz w:val="17"/>
          <w:shd w:val="clear" w:fill="F2F3F6"/>
        </w:rPr>
        <w:t xml:space="preserve">minired_canasta.arff</w:t>
      </w:r>
      <w:r>
        <w:t xml:space="preserve"> mostrando la cabecera con los 30 </w:t>
      </w:r>
      <w:r>
        <w:rPr>
          <w:rFonts w:ascii="Consolas" w:hAnsi="Consolas"/>
          <w:sz w:val="17"/>
          <w:shd w:val="clear" w:fill="F2F3F6"/>
        </w:rPr>
        <w:t xml:space="preserve">@attribute</w:t>
      </w:r>
      <w:r>
        <w:t xml:space="preserve"> y las filas de 0 y 1.</w:t>
      </w:r>
    </w:p>
    <w:p>
      <w:pPr>
        <w:pStyle w:val="Heading3"/>
      </w:pPr>
      <w:r>
        <w:t xml:space="preserve">1.5 Los tres errores de siempre</w:t>
      </w:r>
    </w:p>
    <w:tbl>
      <w:tblPr>
        <w:tblW w:w="5000" w:type="pct"/>
        <w:tblBorders>
          <w:top w:val="single" w:sz="4" w:space="0" w:color="B9BFCC"/>
          <w:left w:val="single" w:sz="4" w:space="0" w:color="B9BFCC"/>
          <w:bottom w:val="single" w:sz="4" w:space="0" w:color="B9BFCC"/>
          <w:right w:val="single" w:sz="4" w:space="0" w:color="B9BFCC"/>
          <w:insideH w:val="single" w:sz="4" w:space="0" w:color="B9BFCC"/>
          <w:insideV w:val="single" w:sz="4" w:space="0" w:color="B9BFCC"/>
        </w:tblBorders>
        <w:tblLayout w:type="autofit"/>
      </w:tblPr>
      <w:tr>
        <w:trPr>
          <w:tblHeader/>
        </w:trPr>
        <w:tc>
          <w:tcPr>
            <w:tcW w:w="0" w:type="auto"/>
            <w:shd w:val="clear" w:fill="E6EAF2"/>
          </w:tcPr>
          <w:p>
            <w:pPr>
              <w:pStyle w:val="TablaTexto"/>
            </w:pPr>
            <w:r>
              <w:rPr>
                <w:b/>
              </w:rPr>
              <w:t xml:space="preserve">Error</w:t>
            </w:r>
          </w:p>
        </w:tc>
        <w:tc>
          <w:tcPr>
            <w:tcW w:w="0" w:type="auto"/>
            <w:shd w:val="clear" w:fill="E6EAF2"/>
          </w:tcPr>
          <w:p>
            <w:pPr>
              <w:pStyle w:val="TablaTexto"/>
            </w:pPr>
            <w:r>
              <w:rPr>
                <w:b/>
              </w:rPr>
              <w:t xml:space="preserve">Cómo se evitó</w:t>
            </w:r>
          </w:p>
        </w:tc>
      </w:tr>
      <w:tr>
        <w:tc>
          <w:tcPr>
            <w:tcW w:w="0" w:type="auto"/>
          </w:tcPr>
          <w:p>
            <w:pPr>
              <w:pStyle w:val="TablaTexto"/>
            </w:pPr>
            <w:r>
              <w:t xml:space="preserve">Atributo numérico sin discretizar</w:t>
            </w:r>
          </w:p>
        </w:tc>
        <w:tc>
          <w:tcPr>
            <w:tcW w:w="0" w:type="auto"/>
          </w:tcPr>
          <w:p>
            <w:pPr>
              <w:pStyle w:val="TablaTexto"/>
            </w:pPr>
            <w:r>
              <w:t xml:space="preserve">Los 30 atributos se declararon nominales </w:t>
            </w:r>
            <w:r>
              <w:rPr>
                <w:rFonts w:ascii="Consolas" w:hAnsi="Consolas"/>
                <w:sz w:val="17"/>
                <w:shd w:val="clear" w:fill="F2F3F6"/>
              </w:rPr>
              <w:t xml:space="preserve">{0,1}</w:t>
            </w:r>
            <w:r>
              <w:t xml:space="preserve"> al generar el </w:t>
            </w:r>
            <w:r>
              <w:rPr>
                <w:rFonts w:ascii="Consolas" w:hAnsi="Consolas"/>
                <w:sz w:val="17"/>
                <w:shd w:val="clear" w:fill="F2F3F6"/>
              </w:rPr>
              <w:t xml:space="preserve">.arff</w:t>
            </w:r>
            <w:r>
              <w:t xml:space="preserve">. No hizo falta aplicar </w:t>
            </w:r>
            <w:r>
              <w:rPr>
                <w:rFonts w:ascii="Consolas" w:hAnsi="Consolas"/>
                <w:sz w:val="17"/>
                <w:shd w:val="clear" w:fill="F2F3F6"/>
              </w:rPr>
              <w:t xml:space="preserve">NumericToNominal</w:t>
            </w:r>
            <w:r>
              <w:t xml:space="preserve">.</w:t>
            </w:r>
          </w:p>
        </w:tc>
      </w:tr>
      <w:tr>
        <w:tc>
          <w:tcPr>
            <w:tcW w:w="0" w:type="auto"/>
          </w:tcPr>
          <w:p>
            <w:pPr>
              <w:pStyle w:val="TablaTexto"/>
            </w:pPr>
            <w:r>
              <w:t xml:space="preserve">El identificador de ticket como atributo</w:t>
            </w:r>
          </w:p>
        </w:tc>
        <w:tc>
          <w:tcPr>
            <w:tcW w:w="0" w:type="auto"/>
          </w:tcPr>
          <w:p>
            <w:pPr>
              <w:pStyle w:val="TablaTexto"/>
            </w:pPr>
            <w:r>
              <w:rPr>
                <w:rFonts w:ascii="Consolas" w:hAnsi="Consolas"/>
                <w:sz w:val="17"/>
                <w:shd w:val="clear" w:fill="F2F3F6"/>
              </w:rPr>
              <w:t xml:space="preserve">IdTicket</w:t>
            </w:r>
            <w:r>
              <w:t xml:space="preserve"> no figura en el archivo: se usó para agrupar y se descartó.</w:t>
            </w:r>
          </w:p>
        </w:tc>
      </w:tr>
      <w:tr>
        <w:tc>
          <w:tcPr>
            <w:tcW w:w="0" w:type="auto"/>
          </w:tcPr>
          <w:p>
            <w:pPr>
              <w:pStyle w:val="TablaTexto"/>
            </w:pPr>
            <w:r>
              <w:t xml:space="preserve">El soporte por defecto demasiado alto</w:t>
            </w:r>
          </w:p>
        </w:tc>
        <w:tc>
          <w:tcPr>
            <w:tcW w:w="0" w:type="auto"/>
          </w:tcPr>
          <w:p>
            <w:pPr>
              <w:pStyle w:val="TablaTexto"/>
            </w:pPr>
            <w:r>
              <w:t xml:space="preserve">El default de Weka (0,1) no devuelve nada útil sobre esta matriz. Se corrió con 0,05 y con 0,01.</w:t>
            </w:r>
          </w:p>
        </w:tc>
      </w:tr>
    </w:tbl>
    <w:p>
      <w:pPr>
        <w:pStyle w:val="Espaciador"/>
      </w:pPr>
    </w:p>
    <w:p>
      <w:pPr>
        <w:pBdr>
          <w:bottom w:val="single" w:sz="6" w:space="1" w:color="C8C8C8"/>
        </w:pBdr>
      </w:pPr>
    </w:p>
    <w:p>
      <w:pPr>
        <w:pStyle w:val="Heading2"/>
      </w:pPr>
      <w:r>
        <w:t xml:space="preserve">2. Fase 1 — Aplicación del algoritmo</w:t>
      </w:r>
    </w:p>
    <w:p>
      <w:pPr>
        <w:pStyle w:val="Heading3"/>
      </w:pPr>
      <w:r>
        <w:t xml:space="preserve">2.1 Configuración</w:t>
      </w:r>
    </w:p>
    <w:p>
      <w:pPr>
        <w:jc w:val="both"/>
      </w:pPr>
      <w:r>
        <w:t xml:space="preserve">Se usó Weka 3.8.7, </w:t>
      </w:r>
      <w:r>
        <w:rPr>
          <w:rFonts w:ascii="Consolas" w:hAnsi="Consolas"/>
          <w:sz w:val="17"/>
          <w:shd w:val="clear" w:fill="F2F3F6"/>
        </w:rPr>
        <w:t xml:space="preserve">Explorer → Associate → Apriori</w:t>
      </w:r>
      <w:r>
        <w:t xml:space="preserve">, con </w:t>
      </w:r>
      <w:r>
        <w:rPr>
          <w:rFonts w:ascii="Consolas" w:hAnsi="Consolas"/>
          <w:sz w:val="17"/>
          <w:shd w:val="clear" w:fill="F2F3F6"/>
        </w:rPr>
        <w:t xml:space="preserve">treatZeroAsMissing = True</w:t>
      </w:r>
      <w:r>
        <w:t xml:space="preserve">. Este parámetro es indispensable: sin él, Apriori interpreta el </w:t>
      </w:r>
      <w:r>
        <w:rPr>
          <w:rFonts w:ascii="Consolas" w:hAnsi="Consolas"/>
          <w:sz w:val="17"/>
          <w:shd w:val="clear" w:fill="F2F3F6"/>
        </w:rPr>
        <w:t xml:space="preserve">0</w:t>
      </w:r>
      <w:r>
        <w:t xml:space="preserve"> como un valor más y genera reglas sobre la </w:t>
      </w:r>
      <w:r>
        <w:rPr>
          <w:b/>
        </w:rPr>
        <w:t xml:space="preserve">ausencia</w:t>
      </w:r>
      <w:r>
        <w:t xml:space="preserve"> de productos ("quien no lleva X, no lleva Y"), que son ciertas y completamente inútiles.</w:t>
      </w:r>
    </w:p>
    <w:p>
      <w:pPr>
        <w:pStyle w:val="Heading3"/>
      </w:pPr>
      <w:r>
        <w:t xml:space="preserve">2.2 Comparación de las dos corridas</w:t>
      </w:r>
    </w:p>
    <w:tbl>
      <w:tblPr>
        <w:tblW w:w="5000" w:type="pct"/>
        <w:tblBorders>
          <w:top w:val="single" w:sz="4" w:space="0" w:color="B9BFCC"/>
          <w:left w:val="single" w:sz="4" w:space="0" w:color="B9BFCC"/>
          <w:bottom w:val="single" w:sz="4" w:space="0" w:color="B9BFCC"/>
          <w:right w:val="single" w:sz="4" w:space="0" w:color="B9BFCC"/>
          <w:insideH w:val="single" w:sz="4" w:space="0" w:color="B9BFCC"/>
          <w:insideV w:val="single" w:sz="4" w:space="0" w:color="B9BFCC"/>
        </w:tblBorders>
        <w:tblLayout w:type="autofit"/>
      </w:tblPr>
      <w:tr>
        <w:trPr>
          <w:tblHeader/>
        </w:trPr>
        <w:tc>
          <w:tcPr>
            <w:tcW w:w="0" w:type="auto"/>
            <w:shd w:val="clear" w:fill="E6EAF2"/>
          </w:tcPr>
          <w:p>
            <w:pPr>
              <w:pStyle w:val="TablaTexto"/>
            </w:pPr>
          </w:p>
        </w:tc>
        <w:tc>
          <w:tcPr>
            <w:tcW w:w="0" w:type="auto"/>
            <w:shd w:val="clear" w:fill="E6EAF2"/>
          </w:tcPr>
          <w:p>
            <w:pPr>
              <w:pStyle w:val="TablaTexto"/>
            </w:pPr>
            <w:r>
              <w:rPr>
                <w:b/>
              </w:rPr>
              <w:t xml:space="preserve">Corrida 1</w:t>
            </w:r>
          </w:p>
        </w:tc>
        <w:tc>
          <w:tcPr>
            <w:tcW w:w="0" w:type="auto"/>
            <w:shd w:val="clear" w:fill="E6EAF2"/>
          </w:tcPr>
          <w:p>
            <w:pPr>
              <w:pStyle w:val="TablaTexto"/>
            </w:pPr>
            <w:r>
              <w:rPr>
                <w:b/>
              </w:rPr>
              <w:t xml:space="preserve">Corrida 2</w:t>
            </w:r>
          </w:p>
        </w:tc>
      </w:tr>
      <w:tr>
        <w:tc>
          <w:tcPr>
            <w:tcW w:w="0" w:type="auto"/>
          </w:tcPr>
          <w:p>
            <w:pPr>
              <w:pStyle w:val="TablaTexto"/>
            </w:pPr>
            <w:r>
              <w:t xml:space="preserve">Soporte mínimo</w:t>
            </w:r>
          </w:p>
        </w:tc>
        <w:tc>
          <w:tcPr>
            <w:tcW w:w="0" w:type="auto"/>
          </w:tcPr>
          <w:p>
            <w:pPr>
              <w:pStyle w:val="TablaTexto"/>
            </w:pPr>
            <w:r>
              <w:t xml:space="preserve">0,05</w:t>
            </w:r>
          </w:p>
        </w:tc>
        <w:tc>
          <w:tcPr>
            <w:tcW w:w="0" w:type="auto"/>
          </w:tcPr>
          <w:p>
            <w:pPr>
              <w:pStyle w:val="TablaTexto"/>
            </w:pPr>
            <w:r>
              <w:t xml:space="preserve">0,01</w:t>
            </w:r>
          </w:p>
        </w:tc>
      </w:tr>
      <w:tr>
        <w:tc>
          <w:tcPr>
            <w:tcW w:w="0" w:type="auto"/>
          </w:tcPr>
          <w:p>
            <w:pPr>
              <w:pStyle w:val="TablaTexto"/>
            </w:pPr>
            <w:r>
              <w:t xml:space="preserve">Instancias mínimas</w:t>
            </w:r>
          </w:p>
        </w:tc>
        <w:tc>
          <w:tcPr>
            <w:tcW w:w="0" w:type="auto"/>
          </w:tcPr>
          <w:p>
            <w:pPr>
              <w:pStyle w:val="TablaTexto"/>
            </w:pPr>
            <w:r>
              <w:t xml:space="preserve">3.376</w:t>
            </w:r>
          </w:p>
        </w:tc>
        <w:tc>
          <w:tcPr>
            <w:tcW w:w="0" w:type="auto"/>
          </w:tcPr>
          <w:p>
            <w:pPr>
              <w:pStyle w:val="TablaTexto"/>
            </w:pPr>
            <w:r>
              <w:t xml:space="preserve">675</w:t>
            </w:r>
          </w:p>
        </w:tc>
      </w:tr>
      <w:tr>
        <w:tc>
          <w:tcPr>
            <w:tcW w:w="0" w:type="auto"/>
          </w:tcPr>
          <w:p>
            <w:pPr>
              <w:pStyle w:val="TablaTexto"/>
            </w:pPr>
            <w:r>
              <w:t xml:space="preserve">Confianza mínima</w:t>
            </w:r>
          </w:p>
        </w:tc>
        <w:tc>
          <w:tcPr>
            <w:tcW w:w="0" w:type="auto"/>
          </w:tcPr>
          <w:p>
            <w:pPr>
              <w:pStyle w:val="TablaTexto"/>
            </w:pPr>
            <w:r>
              <w:t xml:space="preserve">0,5</w:t>
            </w:r>
          </w:p>
        </w:tc>
        <w:tc>
          <w:tcPr>
            <w:tcW w:w="0" w:type="auto"/>
          </w:tcPr>
          <w:p>
            <w:pPr>
              <w:pStyle w:val="TablaTexto"/>
            </w:pPr>
            <w:r>
              <w:t xml:space="preserve">0,5</w:t>
            </w:r>
          </w:p>
        </w:tc>
      </w:tr>
      <w:tr>
        <w:tc>
          <w:tcPr>
            <w:tcW w:w="0" w:type="auto"/>
          </w:tcPr>
          <w:p>
            <w:pPr>
              <w:pStyle w:val="TablaTexto"/>
            </w:pPr>
            <w:r>
              <w:t xml:space="preserve">Ciclos ejecutados</w:t>
            </w:r>
          </w:p>
        </w:tc>
        <w:tc>
          <w:tcPr>
            <w:tcW w:w="0" w:type="auto"/>
          </w:tcPr>
          <w:p>
            <w:pPr>
              <w:pStyle w:val="TablaTexto"/>
            </w:pPr>
            <w:r>
              <w:t xml:space="preserve">19</w:t>
            </w:r>
          </w:p>
        </w:tc>
        <w:tc>
          <w:tcPr>
            <w:tcW w:w="0" w:type="auto"/>
          </w:tcPr>
          <w:p>
            <w:pPr>
              <w:pStyle w:val="TablaTexto"/>
            </w:pPr>
            <w:r>
              <w:t xml:space="preserve">99</w:t>
            </w:r>
          </w:p>
        </w:tc>
      </w:tr>
      <w:tr>
        <w:tc>
          <w:tcPr>
            <w:tcW w:w="0" w:type="auto"/>
          </w:tcPr>
          <w:p>
            <w:pPr>
              <w:pStyle w:val="TablaTexto"/>
            </w:pPr>
            <w:r>
              <w:t xml:space="preserve">Itemsets frecuentes L(1)</w:t>
            </w:r>
          </w:p>
        </w:tc>
        <w:tc>
          <w:tcPr>
            <w:tcW w:w="0" w:type="auto"/>
          </w:tcPr>
          <w:p>
            <w:pPr>
              <w:pStyle w:val="TablaTexto"/>
            </w:pPr>
            <w:r>
              <w:t xml:space="preserve">26</w:t>
            </w:r>
          </w:p>
        </w:tc>
        <w:tc>
          <w:tcPr>
            <w:tcW w:w="0" w:type="auto"/>
          </w:tcPr>
          <w:p>
            <w:pPr>
              <w:pStyle w:val="TablaTexto"/>
            </w:pPr>
            <w:r>
              <w:t xml:space="preserve">29</w:t>
            </w:r>
          </w:p>
        </w:tc>
      </w:tr>
      <w:tr>
        <w:tc>
          <w:tcPr>
            <w:tcW w:w="0" w:type="auto"/>
          </w:tcPr>
          <w:p>
            <w:pPr>
              <w:pStyle w:val="TablaTexto"/>
            </w:pPr>
            <w:r>
              <w:t xml:space="preserve">Itemsets frecuentes L(2)</w:t>
            </w:r>
          </w:p>
        </w:tc>
        <w:tc>
          <w:tcPr>
            <w:tcW w:w="0" w:type="auto"/>
          </w:tcPr>
          <w:p>
            <w:pPr>
              <w:pStyle w:val="TablaTexto"/>
            </w:pPr>
            <w:r>
              <w:t xml:space="preserve">4</w:t>
            </w:r>
          </w:p>
        </w:tc>
        <w:tc>
          <w:tcPr>
            <w:tcW w:w="0" w:type="auto"/>
          </w:tcPr>
          <w:p>
            <w:pPr>
              <w:pStyle w:val="TablaTexto"/>
            </w:pPr>
            <w:r>
              <w:t xml:space="preserve">57</w:t>
            </w:r>
          </w:p>
        </w:tc>
      </w:tr>
      <w:tr>
        <w:tc>
          <w:tcPr>
            <w:tcW w:w="0" w:type="auto"/>
          </w:tcPr>
          <w:p>
            <w:pPr>
              <w:pStyle w:val="TablaTexto"/>
            </w:pPr>
            <w:r>
              <w:rPr>
                <w:b/>
              </w:rPr>
              <w:t xml:space="preserve">Reglas obtenidas</w:t>
            </w:r>
          </w:p>
        </w:tc>
        <w:tc>
          <w:tcPr>
            <w:tcW w:w="0" w:type="auto"/>
          </w:tcPr>
          <w:p>
            <w:pPr>
              <w:pStyle w:val="TablaTexto"/>
            </w:pPr>
            <w:r>
              <w:rPr>
                <w:b/>
              </w:rPr>
              <w:t xml:space="preserve">8</w:t>
            </w:r>
          </w:p>
        </w:tc>
        <w:tc>
          <w:tcPr>
            <w:tcW w:w="0" w:type="auto"/>
          </w:tcPr>
          <w:p>
            <w:pPr>
              <w:pStyle w:val="TablaTexto"/>
            </w:pPr>
            <w:r>
              <w:rPr>
                <w:b/>
              </w:rPr>
              <w:t xml:space="preserve">53</w:t>
            </w:r>
          </w:p>
        </w:tc>
      </w:tr>
      <w:tr>
        <w:tc>
          <w:tcPr>
            <w:tcW w:w="0" w:type="auto"/>
          </w:tcPr>
          <w:p>
            <w:pPr>
              <w:pStyle w:val="TablaTexto"/>
            </w:pPr>
            <w:r>
              <w:t xml:space="preserve">Tiempo</w:t>
            </w:r>
          </w:p>
        </w:tc>
        <w:tc>
          <w:tcPr>
            <w:tcW w:w="0" w:type="auto"/>
          </w:tcPr>
          <w:p>
            <w:pPr>
              <w:pStyle w:val="TablaTexto"/>
            </w:pPr>
            <w:r>
              <w:t xml:space="preserve">0,81 s</w:t>
            </w:r>
          </w:p>
        </w:tc>
        <w:tc>
          <w:tcPr>
            <w:tcW w:w="0" w:type="auto"/>
          </w:tcPr>
          <w:p>
            <w:pPr>
              <w:pStyle w:val="TablaTexto"/>
            </w:pPr>
            <w:r>
              <w:t xml:space="preserve">3,70 s</w:t>
            </w:r>
          </w:p>
        </w:tc>
      </w:tr>
    </w:tbl>
    <w:p>
      <w:pPr>
        <w:pStyle w:val="Espaciador"/>
      </w:pPr>
    </w:p>
    <w:p>
      <w:pPr>
        <w:jc w:val="both"/>
      </w:pPr>
      <w:r>
        <w:rPr>
          <w:b/>
        </w:rPr>
        <w:t xml:space="preserve">Bajar el soporte de 0,05 a 0,01 multiplicó las reglas por 6,6</w:t>
      </w:r>
      <w:r>
        <w:t xml:space="preserve">, y los itemsets de tamaño 2 por 14. Esto ocurre con un catálogo de apenas 30 productos; en una cadena real con 4.200 artículos, el mismo descenso produce decenas de miles de reglas. Es exactamente el problema de "qué hacer con 40.000 reglas": el algoritmo no discrimina, solo cuenta.</w:t>
      </w:r>
    </w:p>
    <w:p>
      <w:pPr>
        <w:pStyle w:val="Destacado"/>
        <w:jc w:val="both"/>
      </w:pPr>
      <w:r>
        <w:rPr>
          <w:b/>
        </w:rPr>
        <w:t xml:space="preserve">[CAPTURA 2]</w:t>
      </w:r>
      <w:r>
        <w:t xml:space="preserve"> — Weka, corrida 1: soporte 0,05, 8 reglas.  </w:t>
      </w:r>
      <w:r>
        <w:rPr>
          <w:b/>
        </w:rPr>
        <w:t xml:space="preserve">[CAPTURA 3]</w:t>
      </w:r>
      <w:r>
        <w:t xml:space="preserve"> — Weka, corrida 2: soporte 0,01, 53 reglas.</w:t>
      </w:r>
    </w:p>
    <w:p>
      <w:pPr>
        <w:pStyle w:val="Heading3"/>
      </w:pPr>
      <w:r>
        <w:t xml:space="preserve">2.3 Verificación manual de tres reglas</w:t>
      </w:r>
    </w:p>
    <w:p>
      <w:pPr>
        <w:jc w:val="both"/>
      </w:pPr>
      <w:r>
        <w:t xml:space="preserve">Se recalcularon tres reglas con las definiciones, mediante consultas SQL directas sobre </w:t>
      </w:r>
      <w:r>
        <w:rPr>
          <w:rFonts w:ascii="Consolas" w:hAnsi="Consolas"/>
          <w:sz w:val="17"/>
          <w:shd w:val="clear" w:fill="F2F3F6"/>
        </w:rPr>
        <w:t xml:space="preserve">MiniRed_DW</w:t>
      </w:r>
      <w:r>
        <w:t xml:space="preserve">. Es un camino </w:t>
      </w:r>
      <w:r>
        <w:rPr>
          <w:b/>
        </w:rPr>
        <w:t xml:space="preserve">independiente</w:t>
      </w:r>
      <w:r>
        <w:t xml:space="preserve"> del de Weka: uno cuenta sobre la base relacional, el otro sobre el archivo </w:t>
      </w:r>
      <w:r>
        <w:rPr>
          <w:rFonts w:ascii="Consolas" w:hAnsi="Consolas"/>
          <w:sz w:val="17"/>
          <w:shd w:val="clear" w:fill="F2F3F6"/>
        </w:rPr>
        <w:t xml:space="preserve">.arff</w:t>
      </w:r>
      <w:r>
        <w:t xml:space="preserve">.</w:t>
      </w:r>
    </w:p>
    <w:p>
      <w:pPr>
        <w:jc w:val="both"/>
      </w:pPr>
      <w:r>
        <w:t xml:space="preserve">Fórmulas empleadas, con </w:t>
      </w:r>
      <w:r>
        <w:rPr>
          <w:rFonts w:ascii="Consolas" w:hAnsi="Consolas"/>
          <w:sz w:val="17"/>
          <w:shd w:val="clear" w:fill="F2F3F6"/>
        </w:rPr>
        <w:t xml:space="preserve">N = 67.521</w:t>
      </w:r>
      <w:r>
        <w:t xml:space="preserve">:</w:t>
      </w:r>
    </w:p>
    <w:p>
      <w:pPr>
        <w:pStyle w:val="Codigo"/>
      </w:pPr>
      <w:r>
        <w:t xml:space="preserve">soporte(A,B)   = n(A y B) / N</w:t>
      </w:r>
    </w:p>
    <w:p>
      <w:pPr>
        <w:pStyle w:val="Codigo"/>
      </w:pPr>
      <w:r>
        <w:t xml:space="preserve">confianza(A→B) = n(A y B) / n(A)</w:t>
      </w:r>
    </w:p>
    <w:p>
      <w:pPr>
        <w:pStyle w:val="Codigo"/>
      </w:pPr>
      <w:r>
        <w:t xml:space="preserve">lift(A→B)      = confianza(A→B) / ( n(B) / N )</w:t>
      </w:r>
    </w:p>
    <w:p>
      <w:pPr>
        <w:pStyle w:val="Espaciador"/>
      </w:pPr>
    </w:p>
    <w:p>
      <w:pPr>
        <w:jc w:val="both"/>
      </w:pPr>
      <w:r>
        <w:rPr>
          <w:b/>
        </w:rPr>
        <w:t xml:space="preserve">Regla 1 — Detergente 750ml → Palitos Helados x6</w:t>
      </w:r>
    </w:p>
    <w:p>
      <w:pPr>
        <w:pStyle w:val="Codigo"/>
      </w:pPr>
      <w:r>
        <w:t xml:space="preserve">n(A) = 6.348     n(B) = 6.822     n(A y B) = 4.778</w:t>
      </w:r>
    </w:p>
    <w:p>
      <w:pPr>
        <w:pStyle w:val="Codigo"/>
      </w:pPr>
      <w:r>
        <w:t xml:space="preserve">soporte   = 4.778 / 67.521 = 0,0708</w:t>
      </w:r>
    </w:p>
    <w:p>
      <w:pPr>
        <w:pStyle w:val="Codigo"/>
      </w:pPr>
      <w:r>
        <w:t xml:space="preserve">confianza = 4.778 / 6.348  = 0,7527</w:t>
      </w:r>
    </w:p>
    <w:p>
      <w:pPr>
        <w:pStyle w:val="Codigo"/>
      </w:pPr>
      <w:r>
        <w:t xml:space="preserve">base(B)   = 6.822 / 67.521 = 0,1010</w:t>
      </w:r>
    </w:p>
    <w:p>
      <w:pPr>
        <w:pStyle w:val="Codigo"/>
      </w:pPr>
      <w:r>
        <w:t xml:space="preserve">lift      = 0,7527 / 0,1010 = 7,45</w:t>
      </w:r>
    </w:p>
    <w:p>
      <w:pPr>
        <w:pStyle w:val="Espaciador"/>
      </w:pPr>
    </w:p>
    <w:p>
      <w:pPr>
        <w:jc w:val="both"/>
      </w:pPr>
      <w:r>
        <w:rPr>
          <w:b/>
        </w:rPr>
        <w:t xml:space="preserve">Regla 2 — Mermelada Durazno 390g → Caramelos Surtidos 100g</w:t>
      </w:r>
    </w:p>
    <w:p>
      <w:pPr>
        <w:pStyle w:val="Codigo"/>
      </w:pPr>
      <w:r>
        <w:t xml:space="preserve">n(A) = 5.466     n(B) = 5.886     n(A y B) = 4.023</w:t>
      </w:r>
    </w:p>
    <w:p>
      <w:pPr>
        <w:pStyle w:val="Codigo"/>
      </w:pPr>
      <w:r>
        <w:t xml:space="preserve">soporte   = 4.023 / 67.521 = 0,0596</w:t>
      </w:r>
    </w:p>
    <w:p>
      <w:pPr>
        <w:pStyle w:val="Codigo"/>
      </w:pPr>
      <w:r>
        <w:t xml:space="preserve">confianza = 4.023 / 5.466  = 0,7360</w:t>
      </w:r>
    </w:p>
    <w:p>
      <w:pPr>
        <w:pStyle w:val="Codigo"/>
      </w:pPr>
      <w:r>
        <w:t xml:space="preserve">base(B)   = 5.886 / 67.521 = 0,0872</w:t>
      </w:r>
    </w:p>
    <w:p>
      <w:pPr>
        <w:pStyle w:val="Codigo"/>
      </w:pPr>
      <w:r>
        <w:t xml:space="preserve">lift      = 0,7360 / 0,0872 = 8,44</w:t>
      </w:r>
    </w:p>
    <w:p>
      <w:pPr>
        <w:pStyle w:val="Espaciador"/>
      </w:pPr>
    </w:p>
    <w:p>
      <w:pPr>
        <w:jc w:val="both"/>
      </w:pPr>
      <w:r>
        <w:rPr>
          <w:b/>
        </w:rPr>
        <w:t xml:space="preserve">Regla 3 — Gaseosa Lima-Limón 2.25L → Cerveza Negra 473ml</w:t>
      </w:r>
    </w:p>
    <w:p>
      <w:pPr>
        <w:pStyle w:val="Codigo"/>
      </w:pPr>
      <w:r>
        <w:t xml:space="preserve">n(A) = 2.297     n(B) = 2.494     n(A y B) = 1.210</w:t>
      </w:r>
    </w:p>
    <w:p>
      <w:pPr>
        <w:pStyle w:val="Codigo"/>
      </w:pPr>
      <w:r>
        <w:t xml:space="preserve">soporte   = 1.210 / 67.521 = 0,0179</w:t>
      </w:r>
    </w:p>
    <w:p>
      <w:pPr>
        <w:pStyle w:val="Codigo"/>
      </w:pPr>
      <w:r>
        <w:t xml:space="preserve">confianza = 1.210 / 2.297  = 0,5268</w:t>
      </w:r>
    </w:p>
    <w:p>
      <w:pPr>
        <w:pStyle w:val="Codigo"/>
      </w:pPr>
      <w:r>
        <w:t xml:space="preserve">base(B)   = 2.494 / 67.521 = 0,0369</w:t>
      </w:r>
    </w:p>
    <w:p>
      <w:pPr>
        <w:pStyle w:val="Codigo"/>
      </w:pPr>
      <w:r>
        <w:t xml:space="preserve">lift      = 0,5268 / 0,0369 = 14,26</w:t>
      </w:r>
    </w:p>
    <w:p>
      <w:pPr>
        <w:pStyle w:val="Espaciador"/>
      </w:pPr>
    </w:p>
    <w:p>
      <w:pPr>
        <w:jc w:val="both"/>
      </w:pPr>
      <w:r>
        <w:rPr>
          <w:b/>
        </w:rPr>
        <w:t xml:space="preserve">Contraste con Weka:</w:t>
      </w:r>
    </w:p>
    <w:tbl>
      <w:tblPr>
        <w:tblW w:w="5000" w:type="pct"/>
        <w:tblBorders>
          <w:top w:val="single" w:sz="4" w:space="0" w:color="B9BFCC"/>
          <w:left w:val="single" w:sz="4" w:space="0" w:color="B9BFCC"/>
          <w:bottom w:val="single" w:sz="4" w:space="0" w:color="B9BFCC"/>
          <w:right w:val="single" w:sz="4" w:space="0" w:color="B9BFCC"/>
          <w:insideH w:val="single" w:sz="4" w:space="0" w:color="B9BFCC"/>
          <w:insideV w:val="single" w:sz="4" w:space="0" w:color="B9BFCC"/>
        </w:tblBorders>
        <w:tblLayout w:type="autofit"/>
      </w:tblPr>
      <w:tr>
        <w:trPr>
          <w:tblHeader/>
        </w:trPr>
        <w:tc>
          <w:tcPr>
            <w:tcW w:w="0" w:type="auto"/>
            <w:shd w:val="clear" w:fill="E6EAF2"/>
          </w:tcPr>
          <w:p>
            <w:pPr>
              <w:pStyle w:val="TablaTexto"/>
            </w:pPr>
            <w:r>
              <w:rPr>
                <w:b/>
              </w:rPr>
              <w:t xml:space="preserve">Regla</w:t>
            </w:r>
          </w:p>
        </w:tc>
        <w:tc>
          <w:tcPr>
            <w:tcW w:w="0" w:type="auto"/>
            <w:shd w:val="clear" w:fill="E6EAF2"/>
          </w:tcPr>
          <w:p>
            <w:pPr>
              <w:pStyle w:val="TablaTexto"/>
            </w:pPr>
            <w:r>
              <w:rPr>
                <w:b/>
              </w:rPr>
              <w:t xml:space="preserve">Conf. calculada</w:t>
            </w:r>
          </w:p>
        </w:tc>
        <w:tc>
          <w:tcPr>
            <w:tcW w:w="0" w:type="auto"/>
            <w:shd w:val="clear" w:fill="E6EAF2"/>
          </w:tcPr>
          <w:p>
            <w:pPr>
              <w:pStyle w:val="TablaTexto"/>
            </w:pPr>
            <w:r>
              <w:rPr>
                <w:b/>
              </w:rPr>
              <w:t xml:space="preserve">Conf. Weka</w:t>
            </w:r>
          </w:p>
        </w:tc>
        <w:tc>
          <w:tcPr>
            <w:tcW w:w="0" w:type="auto"/>
            <w:shd w:val="clear" w:fill="E6EAF2"/>
          </w:tcPr>
          <w:p>
            <w:pPr>
              <w:pStyle w:val="TablaTexto"/>
            </w:pPr>
            <w:r>
              <w:rPr>
                <w:b/>
              </w:rPr>
              <w:t xml:space="preserve">Lift calculado</w:t>
            </w:r>
          </w:p>
        </w:tc>
        <w:tc>
          <w:tcPr>
            <w:tcW w:w="0" w:type="auto"/>
            <w:shd w:val="clear" w:fill="E6EAF2"/>
          </w:tcPr>
          <w:p>
            <w:pPr>
              <w:pStyle w:val="TablaTexto"/>
            </w:pPr>
            <w:r>
              <w:rPr>
                <w:b/>
              </w:rPr>
              <w:t xml:space="preserve">Lift Weka</w:t>
            </w:r>
          </w:p>
        </w:tc>
        <w:tc>
          <w:tcPr>
            <w:tcW w:w="0" w:type="auto"/>
            <w:shd w:val="clear" w:fill="E6EAF2"/>
          </w:tcPr>
          <w:p>
            <w:pPr>
              <w:pStyle w:val="TablaTexto"/>
            </w:pPr>
          </w:p>
        </w:tc>
      </w:tr>
      <w:tr>
        <w:tc>
          <w:tcPr>
            <w:tcW w:w="0" w:type="auto"/>
          </w:tcPr>
          <w:p>
            <w:pPr>
              <w:pStyle w:val="TablaTexto"/>
            </w:pPr>
            <w:r>
              <w:t xml:space="preserve">Detergente → Palitos</w:t>
            </w:r>
          </w:p>
        </w:tc>
        <w:tc>
          <w:tcPr>
            <w:tcW w:w="0" w:type="auto"/>
          </w:tcPr>
          <w:p>
            <w:pPr>
              <w:pStyle w:val="TablaTexto"/>
            </w:pPr>
            <w:r>
              <w:t xml:space="preserve">0,7527</w:t>
            </w:r>
          </w:p>
        </w:tc>
        <w:tc>
          <w:tcPr>
            <w:tcW w:w="0" w:type="auto"/>
          </w:tcPr>
          <w:p>
            <w:pPr>
              <w:pStyle w:val="TablaTexto"/>
            </w:pPr>
            <w:r>
              <w:t xml:space="preserve">0,75</w:t>
            </w:r>
          </w:p>
        </w:tc>
        <w:tc>
          <w:tcPr>
            <w:tcW w:w="0" w:type="auto"/>
          </w:tcPr>
          <w:p>
            <w:pPr>
              <w:pStyle w:val="TablaTexto"/>
            </w:pPr>
            <w:r>
              <w:t xml:space="preserve">7,450</w:t>
            </w:r>
          </w:p>
        </w:tc>
        <w:tc>
          <w:tcPr>
            <w:tcW w:w="0" w:type="auto"/>
          </w:tcPr>
          <w:p>
            <w:pPr>
              <w:pStyle w:val="TablaTexto"/>
            </w:pPr>
            <w:r>
              <w:t xml:space="preserve">7,45</w:t>
            </w:r>
          </w:p>
        </w:tc>
        <w:tc>
          <w:tcPr>
            <w:tcW w:w="0" w:type="auto"/>
          </w:tcPr>
          <w:p>
            <w:pPr>
              <w:pStyle w:val="TablaTexto"/>
            </w:pPr>
            <w:r>
              <w:t xml:space="preserve">Coincide</w:t>
            </w:r>
          </w:p>
        </w:tc>
      </w:tr>
      <w:tr>
        <w:tc>
          <w:tcPr>
            <w:tcW w:w="0" w:type="auto"/>
          </w:tcPr>
          <w:p>
            <w:pPr>
              <w:pStyle w:val="TablaTexto"/>
            </w:pPr>
            <w:r>
              <w:t xml:space="preserve">Mermelada → Caramelos</w:t>
            </w:r>
          </w:p>
        </w:tc>
        <w:tc>
          <w:tcPr>
            <w:tcW w:w="0" w:type="auto"/>
          </w:tcPr>
          <w:p>
            <w:pPr>
              <w:pStyle w:val="TablaTexto"/>
            </w:pPr>
            <w:r>
              <w:t xml:space="preserve">0,7360</w:t>
            </w:r>
          </w:p>
        </w:tc>
        <w:tc>
          <w:tcPr>
            <w:tcW w:w="0" w:type="auto"/>
          </w:tcPr>
          <w:p>
            <w:pPr>
              <w:pStyle w:val="TablaTexto"/>
            </w:pPr>
            <w:r>
              <w:t xml:space="preserve">0,74</w:t>
            </w:r>
          </w:p>
        </w:tc>
        <w:tc>
          <w:tcPr>
            <w:tcW w:w="0" w:type="auto"/>
          </w:tcPr>
          <w:p>
            <w:pPr>
              <w:pStyle w:val="TablaTexto"/>
            </w:pPr>
            <w:r>
              <w:t xml:space="preserve">8,443</w:t>
            </w:r>
          </w:p>
        </w:tc>
        <w:tc>
          <w:tcPr>
            <w:tcW w:w="0" w:type="auto"/>
          </w:tcPr>
          <w:p>
            <w:pPr>
              <w:pStyle w:val="TablaTexto"/>
            </w:pPr>
            <w:r>
              <w:t xml:space="preserve">8,44</w:t>
            </w:r>
          </w:p>
        </w:tc>
        <w:tc>
          <w:tcPr>
            <w:tcW w:w="0" w:type="auto"/>
          </w:tcPr>
          <w:p>
            <w:pPr>
              <w:pStyle w:val="TablaTexto"/>
            </w:pPr>
            <w:r>
              <w:t xml:space="preserve">Coincide</w:t>
            </w:r>
          </w:p>
        </w:tc>
      </w:tr>
      <w:tr>
        <w:tc>
          <w:tcPr>
            <w:tcW w:w="0" w:type="auto"/>
          </w:tcPr>
          <w:p>
            <w:pPr>
              <w:pStyle w:val="TablaTexto"/>
            </w:pPr>
            <w:r>
              <w:t xml:space="preserve">Gaseosa L-L → Cerveza</w:t>
            </w:r>
          </w:p>
        </w:tc>
        <w:tc>
          <w:tcPr>
            <w:tcW w:w="0" w:type="auto"/>
          </w:tcPr>
          <w:p>
            <w:pPr>
              <w:pStyle w:val="TablaTexto"/>
            </w:pPr>
            <w:r>
              <w:t xml:space="preserve">0,5268</w:t>
            </w:r>
          </w:p>
        </w:tc>
        <w:tc>
          <w:tcPr>
            <w:tcW w:w="0" w:type="auto"/>
          </w:tcPr>
          <w:p>
            <w:pPr>
              <w:pStyle w:val="TablaTexto"/>
            </w:pPr>
            <w:r>
              <w:t xml:space="preserve">0,53</w:t>
            </w:r>
          </w:p>
        </w:tc>
        <w:tc>
          <w:tcPr>
            <w:tcW w:w="0" w:type="auto"/>
          </w:tcPr>
          <w:p>
            <w:pPr>
              <w:pStyle w:val="TablaTexto"/>
            </w:pPr>
            <w:r>
              <w:t xml:space="preserve">14,262</w:t>
            </w:r>
          </w:p>
        </w:tc>
        <w:tc>
          <w:tcPr>
            <w:tcW w:w="0" w:type="auto"/>
          </w:tcPr>
          <w:p>
            <w:pPr>
              <w:pStyle w:val="TablaTexto"/>
            </w:pPr>
            <w:r>
              <w:t xml:space="preserve">14,26</w:t>
            </w:r>
          </w:p>
        </w:tc>
        <w:tc>
          <w:tcPr>
            <w:tcW w:w="0" w:type="auto"/>
          </w:tcPr>
          <w:p>
            <w:pPr>
              <w:pStyle w:val="TablaTexto"/>
            </w:pPr>
            <w:r>
              <w:t xml:space="preserve">Coincide</w:t>
            </w:r>
          </w:p>
        </w:tc>
      </w:tr>
    </w:tbl>
    <w:p>
      <w:pPr>
        <w:pStyle w:val="Espaciador"/>
      </w:pPr>
    </w:p>
    <w:p>
      <w:pPr>
        <w:jc w:val="both"/>
      </w:pPr>
      <w:r>
        <w:t xml:space="preserve">Las diferencias son únicamente de redondeo: Weka muestra dos decimales. </w:t>
      </w:r>
      <w:r>
        <w:rPr>
          <w:b/>
        </w:rPr>
        <w:t xml:space="preserve">La coincidencia confirma que la matriz transaccional se construyó correctamente</w:t>
      </w:r>
      <w:r>
        <w:t xml:space="preserve">; si el </w:t>
      </w:r>
      <w:r>
        <w:rPr>
          <w:rFonts w:ascii="Consolas" w:hAnsi="Consolas"/>
          <w:sz w:val="17"/>
          <w:shd w:val="clear" w:fill="F2F3F6"/>
        </w:rPr>
        <w:t xml:space="preserve">.arff</w:t>
      </w:r>
      <w:r>
        <w:t xml:space="preserve"> hubiera incluido el identificador de ticket, o si el agrupamiento hubiera estado mal, los valores no habrían coincidido y el error habría pasado inadvertido hasta la exposición.</w:t>
      </w:r>
    </w:p>
    <w:p>
      <w:pPr>
        <w:pStyle w:val="Heading3"/>
      </w:pPr>
      <w:r>
        <w:t xml:space="preserve">2.4 Plus — FP-Growth</w:t>
      </w:r>
    </w:p>
    <w:tbl>
      <w:tblPr>
        <w:tblW w:w="5000" w:type="pct"/>
        <w:tblBorders>
          <w:top w:val="single" w:sz="4" w:space="0" w:color="B9BFCC"/>
          <w:left w:val="single" w:sz="4" w:space="0" w:color="B9BFCC"/>
          <w:bottom w:val="single" w:sz="4" w:space="0" w:color="B9BFCC"/>
          <w:right w:val="single" w:sz="4" w:space="0" w:color="B9BFCC"/>
          <w:insideH w:val="single" w:sz="4" w:space="0" w:color="B9BFCC"/>
          <w:insideV w:val="single" w:sz="4" w:space="0" w:color="B9BFCC"/>
        </w:tblBorders>
        <w:tblLayout w:type="autofit"/>
      </w:tblPr>
      <w:tr>
        <w:trPr>
          <w:tblHeader/>
        </w:trPr>
        <w:tc>
          <w:tcPr>
            <w:tcW w:w="0" w:type="auto"/>
            <w:shd w:val="clear" w:fill="E6EAF2"/>
          </w:tcPr>
          <w:p>
            <w:pPr>
              <w:pStyle w:val="TablaTexto"/>
            </w:pPr>
            <w:r>
              <w:rPr>
                <w:b/>
              </w:rPr>
              <w:t xml:space="preserve">Algoritmo</w:t>
            </w:r>
          </w:p>
        </w:tc>
        <w:tc>
          <w:tcPr>
            <w:tcW w:w="0" w:type="auto"/>
            <w:shd w:val="clear" w:fill="E6EAF2"/>
          </w:tcPr>
          <w:p>
            <w:pPr>
              <w:pStyle w:val="TablaTexto"/>
            </w:pPr>
            <w:r>
              <w:rPr>
                <w:b/>
              </w:rPr>
              <w:t xml:space="preserve">Tiempo</w:t>
            </w:r>
          </w:p>
        </w:tc>
        <w:tc>
          <w:tcPr>
            <w:tcW w:w="0" w:type="auto"/>
            <w:shd w:val="clear" w:fill="E6EAF2"/>
          </w:tcPr>
          <w:p>
            <w:pPr>
              <w:pStyle w:val="TablaTexto"/>
            </w:pPr>
            <w:r>
              <w:rPr>
                <w:b/>
              </w:rPr>
              <w:t xml:space="preserve">Estrategia</w:t>
            </w:r>
          </w:p>
        </w:tc>
        <w:tc>
          <w:tcPr>
            <w:tcW w:w="0" w:type="auto"/>
            <w:shd w:val="clear" w:fill="E6EAF2"/>
          </w:tcPr>
          <w:p>
            <w:pPr>
              <w:pStyle w:val="TablaTexto"/>
            </w:pPr>
            <w:r>
              <w:rPr>
                <w:b/>
              </w:rPr>
              <w:t xml:space="preserve">Reglas</w:t>
            </w:r>
          </w:p>
        </w:tc>
      </w:tr>
      <w:tr>
        <w:tc>
          <w:tcPr>
            <w:tcW w:w="0" w:type="auto"/>
          </w:tcPr>
          <w:p>
            <w:pPr>
              <w:pStyle w:val="TablaTexto"/>
            </w:pPr>
            <w:r>
              <w:t xml:space="preserve">Apriori</w:t>
            </w:r>
          </w:p>
        </w:tc>
        <w:tc>
          <w:tcPr>
            <w:tcW w:w="0" w:type="auto"/>
          </w:tcPr>
          <w:p>
            <w:pPr>
              <w:pStyle w:val="TablaTexto"/>
            </w:pPr>
            <w:r>
              <w:t xml:space="preserve">3,29 s</w:t>
            </w:r>
          </w:p>
        </w:tc>
        <w:tc>
          <w:tcPr>
            <w:tcW w:w="0" w:type="auto"/>
          </w:tcPr>
          <w:p>
            <w:pPr>
              <w:pStyle w:val="TablaTexto"/>
            </w:pPr>
            <w:r>
              <w:t xml:space="preserve">Genera candidatos por nivel y recorre los datos en cada ciclo (99 ciclos)</w:t>
            </w:r>
          </w:p>
        </w:tc>
        <w:tc>
          <w:tcPr>
            <w:tcW w:w="0" w:type="auto"/>
          </w:tcPr>
          <w:p>
            <w:pPr>
              <w:pStyle w:val="TablaTexto"/>
            </w:pPr>
            <w:r>
              <w:t xml:space="preserve">—</w:t>
            </w:r>
          </w:p>
        </w:tc>
      </w:tr>
      <w:tr>
        <w:tc>
          <w:tcPr>
            <w:tcW w:w="0" w:type="auto"/>
          </w:tcPr>
          <w:p>
            <w:pPr>
              <w:pStyle w:val="TablaTexto"/>
            </w:pPr>
            <w:r>
              <w:t xml:space="preserve">FP-Growth</w:t>
            </w:r>
          </w:p>
        </w:tc>
        <w:tc>
          <w:tcPr>
            <w:tcW w:w="0" w:type="auto"/>
          </w:tcPr>
          <w:p>
            <w:pPr>
              <w:pStyle w:val="TablaTexto"/>
            </w:pPr>
            <w:r>
              <w:rPr>
                <w:b/>
              </w:rPr>
              <w:t xml:space="preserve">0,48 s</w:t>
            </w:r>
          </w:p>
        </w:tc>
        <w:tc>
          <w:tcPr>
            <w:tcW w:w="0" w:type="auto"/>
          </w:tcPr>
          <w:p>
            <w:pPr>
              <w:pStyle w:val="TablaTexto"/>
            </w:pPr>
            <w:r>
              <w:t xml:space="preserve">Comprime los datos en un árbol de prefijos y extrae los patrones sin generar candidatos</w:t>
            </w:r>
          </w:p>
        </w:tc>
        <w:tc>
          <w:tcPr>
            <w:tcW w:w="0" w:type="auto"/>
          </w:tcPr>
          <w:p>
            <w:pPr>
              <w:pStyle w:val="TablaTexto"/>
            </w:pPr>
            <w:r>
              <w:t xml:space="preserve">Idénticas</w:t>
            </w:r>
          </w:p>
        </w:tc>
      </w:tr>
    </w:tbl>
    <w:p>
      <w:pPr>
        <w:pStyle w:val="Espaciador"/>
      </w:pPr>
    </w:p>
    <w:p>
      <w:pPr>
        <w:jc w:val="both"/>
      </w:pPr>
      <w:r>
        <w:t xml:space="preserve">FP-Growth resultó </w:t>
      </w:r>
      <w:r>
        <w:rPr>
          <w:b/>
        </w:rPr>
        <w:t xml:space="preserve">6,9 veces más rápido</w:t>
      </w:r>
      <w:r>
        <w:t xml:space="preserve"> y devolvió exactamente las mismas reglas con los mismos valores. La diferencia es de eficiencia algorítmica, no de resultado, que es lo esperable: ambos calculan lo mismo por caminos distintos.</w:t>
      </w:r>
    </w:p>
    <w:p>
      <w:pPr>
        <w:pBdr>
          <w:bottom w:val="single" w:sz="6" w:space="1" w:color="C8C8C8"/>
        </w:pBdr>
      </w:pPr>
    </w:p>
    <w:p>
      <w:pPr>
        <w:pStyle w:val="Heading2"/>
      </w:pPr>
      <w:r>
        <w:t xml:space="preserve">3. Fase 2 — Curaduría de las reglas</w:t>
      </w:r>
    </w:p>
    <w:p>
      <w:pPr>
        <w:pStyle w:val="Heading3"/>
      </w:pPr>
      <w:r>
        <w:t xml:space="preserve">3.1 Aplicación de los seis pasos</w:t>
      </w:r>
    </w:p>
    <w:p>
      <w:pPr>
        <w:jc w:val="both"/>
      </w:pPr>
      <w:r>
        <w:rPr>
          <w:b/>
        </w:rPr>
        <w:t xml:space="preserve">Paso 1 — Descartar lo trivial.</w:t>
      </w:r>
      <w:r>
        <w:t xml:space="preserve"> No se encontraron reglas triviales evidentes; con 30 productos genéricos no hay pares tan obvios como "pan → manteca".</w:t>
      </w:r>
    </w:p>
    <w:p>
      <w:pPr>
        <w:jc w:val="both"/>
      </w:pPr>
      <w:r>
        <w:rPr>
          <w:b/>
        </w:rPr>
        <w:t xml:space="preserve">Paso 2 — Descartar lo redundante.</w:t>
      </w:r>
      <w:r>
        <w:t xml:space="preserve"> Las ocho reglas de mayor lift resultaron ser combinaciones de tres y cuatro ítems dentro de dos clusters ya representados por pares simples. </w:t>
      </w:r>
      <w:r>
        <w:rPr>
          <w:rFonts w:ascii="Consolas" w:hAnsi="Consolas"/>
          <w:sz w:val="17"/>
          <w:shd w:val="clear" w:fill="F2F3F6"/>
        </w:rPr>
        <w:t xml:space="preserve">Hamburguesas + Detergente → Palitos + Lavandina</w:t>
      </w:r>
      <w:r>
        <w:t xml:space="preserve"> alcanza lift 36,87, pero no aporta nada sobre los pares que la componen: el lift altísimo es un artefacto de combinar correlaciones ya conocidas. Se descartaron todas las reglas de más de dos ítems.</w:t>
      </w:r>
    </w:p>
    <w:p>
      <w:pPr>
        <w:jc w:val="both"/>
      </w:pPr>
      <w:r>
        <w:t xml:space="preserve">También se unificaron las reglas gemelas: </w:t>
      </w:r>
      <w:r>
        <w:rPr>
          <w:rFonts w:ascii="Consolas" w:hAnsi="Consolas"/>
          <w:sz w:val="17"/>
          <w:shd w:val="clear" w:fill="F2F3F6"/>
        </w:rPr>
        <w:t xml:space="preserve">A→B</w:t>
      </w:r>
      <w:r>
        <w:t xml:space="preserve"> y </w:t>
      </w:r>
      <w:r>
        <w:rPr>
          <w:rFonts w:ascii="Consolas" w:hAnsi="Consolas"/>
          <w:sz w:val="17"/>
          <w:shd w:val="clear" w:fill="F2F3F6"/>
        </w:rPr>
        <w:t xml:space="preserve">B→A</w:t>
      </w:r>
      <w:r>
        <w:t xml:space="preserve"> comparten soporte y lift, y solo difieren en la confianza. Presentarlas por separado sería contar dos veces el mismo hallazgo.</w:t>
      </w:r>
    </w:p>
    <w:p>
      <w:pPr>
        <w:jc w:val="both"/>
      </w:pPr>
      <w:r>
        <w:rPr>
          <w:b/>
        </w:rPr>
        <w:t xml:space="preserve">Paso 3 — Ordenar por lift.</w:t>
      </w:r>
      <w:r>
        <w:t xml:space="preserve"> Se reordenó la lista completa por lift descendente. Durante este paso se detectó un problema de configuración: al rankear por lift (</w:t>
      </w:r>
      <w:r>
        <w:rPr>
          <w:rFonts w:ascii="Consolas" w:hAnsi="Consolas"/>
          <w:sz w:val="17"/>
          <w:shd w:val="clear" w:fill="F2F3F6"/>
        </w:rPr>
        <w:t xml:space="preserve">-T 1</w:t>
      </w:r>
      <w:r>
        <w:t xml:space="preserve">) con pocas reglas solicitadas, Weka detiene la búsqueda al alcanzar esa cantidad y se queda en un soporte alto. La regla de mayor lift del dataset (14,26, soporte 0,018) </w:t>
      </w:r>
      <w:r>
        <w:rPr>
          <w:b/>
        </w:rPr>
        <w:t xml:space="preserve">quedaba fuera del ranking</w:t>
      </w:r>
      <w:r>
        <w:t xml:space="preserve"> hasta que se forzó el piso con </w:t>
      </w:r>
      <w:r>
        <w:rPr>
          <w:rFonts w:ascii="Consolas" w:hAnsi="Consolas"/>
          <w:sz w:val="17"/>
          <w:shd w:val="clear" w:fill="F2F3F6"/>
        </w:rPr>
        <w:t xml:space="preserve">-M 0.01 -U 0.05 -N 200</w:t>
      </w:r>
      <w:r>
        <w:t xml:space="preserve">. Un ranking por lift no sirve si el piso de soporte excluye la regla de la búsqueda.</w:t>
      </w:r>
    </w:p>
    <w:p>
      <w:pPr>
        <w:jc w:val="both"/>
      </w:pPr>
      <w:r>
        <w:rPr>
          <w:b/>
        </w:rPr>
        <w:t xml:space="preserve">Paso 4 — Mecanismo plausible.</w:t>
      </w:r>
      <w:r>
        <w:t xml:space="preserve"> Se exigió a cada regla una explicación de negocio. Este paso eliminó las reglas que cruzan categorías sin relación de uso: Congelados con Limpieza, Lácteos con Limpieza.</w:t>
      </w:r>
    </w:p>
    <w:p>
      <w:pPr>
        <w:jc w:val="both"/>
      </w:pPr>
      <w:r>
        <w:rPr>
          <w:b/>
        </w:rPr>
        <w:t xml:space="preserve">Paso 5 — Accionabilidad.</w:t>
      </w:r>
      <w:r>
        <w:t xml:space="preserve"> Se conservaron las reglas que permiten una decisión concreta de góndola, promoción o surtido.</w:t>
      </w:r>
    </w:p>
    <w:p>
      <w:pPr>
        <w:jc w:val="both"/>
      </w:pPr>
      <w:r>
        <w:rPr>
          <w:b/>
        </w:rPr>
        <w:t xml:space="preserve">Paso 6 — Validar en otro período.</w:t>
      </w:r>
      <w:r>
        <w:t xml:space="preserve"> Se recalculó el lift por separado sobre 2024 y 2025, usando las matrices </w:t>
      </w:r>
      <w:r>
        <w:rPr>
          <w:rFonts w:ascii="Consolas" w:hAnsi="Consolas"/>
          <w:sz w:val="17"/>
          <w:shd w:val="clear" w:fill="F2F3F6"/>
        </w:rPr>
        <w:t xml:space="preserve">minired_canasta_2024.arff</w:t>
      </w:r>
      <w:r>
        <w:t xml:space="preserve"> y </w:t>
      </w:r>
      <w:r>
        <w:rPr>
          <w:rFonts w:ascii="Consolas" w:hAnsi="Consolas"/>
          <w:sz w:val="17"/>
          <w:shd w:val="clear" w:fill="F2F3F6"/>
        </w:rPr>
        <w:t xml:space="preserve">minired_canasta_2025.arff</w:t>
      </w:r>
      <w:r>
        <w:t xml:space="preserve">.</w:t>
      </w:r>
    </w:p>
    <w:p>
      <w:pPr>
        <w:pStyle w:val="Heading3"/>
      </w:pPr>
      <w:r>
        <w:t xml:space="preserve">3.2 El hallazgo metodológico</w:t>
      </w:r>
    </w:p>
    <w:p>
      <w:pPr>
        <w:jc w:val="both"/>
      </w:pPr>
      <w:r>
        <w:t xml:space="preserve">Los pasos 4 y 6 se aplicaron de forma independiente: primero se clasificaron las reglas según si tenían explicación de negocio —criterio puramente cualitativo— y recién después se recalcularon los lift por año.</w:t>
      </w:r>
    </w:p>
    <w:p>
      <w:pPr>
        <w:jc w:val="both"/>
      </w:pPr>
      <w:r>
        <w:rPr>
          <w:b/>
        </w:rPr>
        <w:t xml:space="preserve">Los dos criterios señalaron el mismo conjunto de reglas.</w:t>
      </w:r>
    </w:p>
    <w:tbl>
      <w:tblPr>
        <w:tblW w:w="5000" w:type="pct"/>
        <w:tblBorders>
          <w:top w:val="single" w:sz="4" w:space="0" w:color="B9BFCC"/>
          <w:left w:val="single" w:sz="4" w:space="0" w:color="B9BFCC"/>
          <w:bottom w:val="single" w:sz="4" w:space="0" w:color="B9BFCC"/>
          <w:right w:val="single" w:sz="4" w:space="0" w:color="B9BFCC"/>
          <w:insideH w:val="single" w:sz="4" w:space="0" w:color="B9BFCC"/>
          <w:insideV w:val="single" w:sz="4" w:space="0" w:color="B9BFCC"/>
        </w:tblBorders>
        <w:tblLayout w:type="autofit"/>
      </w:tblPr>
      <w:tr>
        <w:trPr>
          <w:tblHeader/>
        </w:trPr>
        <w:tc>
          <w:tcPr>
            <w:tcW w:w="0" w:type="auto"/>
            <w:shd w:val="clear" w:fill="E6EAF2"/>
          </w:tcPr>
          <w:p>
            <w:pPr>
              <w:pStyle w:val="TablaTexto"/>
            </w:pPr>
            <w:r>
              <w:rPr>
                <w:b/>
              </w:rPr>
              <w:t xml:space="preserve">Grupo</w:t>
            </w:r>
          </w:p>
        </w:tc>
        <w:tc>
          <w:tcPr>
            <w:tcW w:w="0" w:type="auto"/>
            <w:shd w:val="clear" w:fill="E6EAF2"/>
          </w:tcPr>
          <w:p>
            <w:pPr>
              <w:pStyle w:val="TablaTexto"/>
            </w:pPr>
            <w:r>
              <w:rPr>
                <w:b/>
              </w:rPr>
              <w:t xml:space="preserve">Ejemplo</w:t>
            </w:r>
          </w:p>
        </w:tc>
        <w:tc>
          <w:tcPr>
            <w:tcW w:w="0" w:type="auto"/>
            <w:shd w:val="clear" w:fill="E6EAF2"/>
          </w:tcPr>
          <w:p>
            <w:pPr>
              <w:pStyle w:val="TablaTexto"/>
            </w:pPr>
            <w:r>
              <w:rPr>
                <w:b/>
              </w:rPr>
              <w:t xml:space="preserve">Lift total</w:t>
            </w:r>
          </w:p>
        </w:tc>
        <w:tc>
          <w:tcPr>
            <w:tcW w:w="0" w:type="auto"/>
            <w:shd w:val="clear" w:fill="E6EAF2"/>
          </w:tcPr>
          <w:p>
            <w:pPr>
              <w:pStyle w:val="TablaTexto"/>
            </w:pPr>
            <w:r>
              <w:rPr>
                <w:b/>
              </w:rPr>
              <w:t xml:space="preserve">2024</w:t>
            </w:r>
          </w:p>
        </w:tc>
        <w:tc>
          <w:tcPr>
            <w:tcW w:w="0" w:type="auto"/>
            <w:shd w:val="clear" w:fill="E6EAF2"/>
          </w:tcPr>
          <w:p>
            <w:pPr>
              <w:pStyle w:val="TablaTexto"/>
            </w:pPr>
            <w:r>
              <w:rPr>
                <w:b/>
              </w:rPr>
              <w:t xml:space="preserve">2025</w:t>
            </w:r>
          </w:p>
        </w:tc>
        <w:tc>
          <w:tcPr>
            <w:tcW w:w="0" w:type="auto"/>
            <w:shd w:val="clear" w:fill="E6EAF2"/>
          </w:tcPr>
          <w:p>
            <w:pPr>
              <w:pStyle w:val="TablaTexto"/>
            </w:pPr>
            <w:r>
              <w:rPr>
                <w:b/>
              </w:rPr>
              <w:t xml:space="preserve">Variación</w:t>
            </w:r>
          </w:p>
        </w:tc>
      </w:tr>
      <w:tr>
        <w:tc>
          <w:tcPr>
            <w:tcW w:w="0" w:type="auto"/>
          </w:tcPr>
          <w:p>
            <w:pPr>
              <w:pStyle w:val="TablaTexto"/>
            </w:pPr>
            <w:r>
              <w:t xml:space="preserve">Con mecanismo</w:t>
            </w:r>
          </w:p>
        </w:tc>
        <w:tc>
          <w:tcPr>
            <w:tcW w:w="0" w:type="auto"/>
          </w:tcPr>
          <w:p>
            <w:pPr>
              <w:pStyle w:val="TablaTexto"/>
            </w:pPr>
            <w:r>
              <w:t xml:space="preserve">Gaseosa Lima-Limón + Cerveza Negra</w:t>
            </w:r>
          </w:p>
        </w:tc>
        <w:tc>
          <w:tcPr>
            <w:tcW w:w="0" w:type="auto"/>
          </w:tcPr>
          <w:p>
            <w:pPr>
              <w:pStyle w:val="TablaTexto"/>
            </w:pPr>
            <w:r>
              <w:t xml:space="preserve">14,26</w:t>
            </w:r>
          </w:p>
        </w:tc>
        <w:tc>
          <w:tcPr>
            <w:tcW w:w="0" w:type="auto"/>
          </w:tcPr>
          <w:p>
            <w:pPr>
              <w:pStyle w:val="TablaTexto"/>
            </w:pPr>
            <w:r>
              <w:t xml:space="preserve">14,08</w:t>
            </w:r>
          </w:p>
        </w:tc>
        <w:tc>
          <w:tcPr>
            <w:tcW w:w="0" w:type="auto"/>
          </w:tcPr>
          <w:p>
            <w:pPr>
              <w:pStyle w:val="TablaTexto"/>
            </w:pPr>
            <w:r>
              <w:t xml:space="preserve">14,45</w:t>
            </w:r>
          </w:p>
        </w:tc>
        <w:tc>
          <w:tcPr>
            <w:tcW w:w="0" w:type="auto"/>
          </w:tcPr>
          <w:p>
            <w:pPr>
              <w:pStyle w:val="TablaTexto"/>
            </w:pPr>
            <w:r>
              <w:t xml:space="preserve">+2,6 %</w:t>
            </w:r>
          </w:p>
        </w:tc>
      </w:tr>
      <w:tr>
        <w:tc>
          <w:tcPr>
            <w:tcW w:w="0" w:type="auto"/>
          </w:tcPr>
          <w:p>
            <w:pPr>
              <w:pStyle w:val="TablaTexto"/>
            </w:pPr>
            <w:r>
              <w:t xml:space="preserve">Con mecanismo</w:t>
            </w:r>
          </w:p>
        </w:tc>
        <w:tc>
          <w:tcPr>
            <w:tcW w:w="0" w:type="auto"/>
          </w:tcPr>
          <w:p>
            <w:pPr>
              <w:pStyle w:val="TablaTexto"/>
            </w:pPr>
            <w:r>
              <w:t xml:space="preserve">Agua Saborizada + Jugo Naranja</w:t>
            </w:r>
          </w:p>
        </w:tc>
        <w:tc>
          <w:tcPr>
            <w:tcW w:w="0" w:type="auto"/>
          </w:tcPr>
          <w:p>
            <w:pPr>
              <w:pStyle w:val="TablaTexto"/>
            </w:pPr>
            <w:r>
              <w:t xml:space="preserve">5,47</w:t>
            </w:r>
          </w:p>
        </w:tc>
        <w:tc>
          <w:tcPr>
            <w:tcW w:w="0" w:type="auto"/>
          </w:tcPr>
          <w:p>
            <w:pPr>
              <w:pStyle w:val="TablaTexto"/>
            </w:pPr>
            <w:r>
              <w:t xml:space="preserve">5,40</w:t>
            </w:r>
          </w:p>
        </w:tc>
        <w:tc>
          <w:tcPr>
            <w:tcW w:w="0" w:type="auto"/>
          </w:tcPr>
          <w:p>
            <w:pPr>
              <w:pStyle w:val="TablaTexto"/>
            </w:pPr>
            <w:r>
              <w:t xml:space="preserve">5,53</w:t>
            </w:r>
          </w:p>
        </w:tc>
        <w:tc>
          <w:tcPr>
            <w:tcW w:w="0" w:type="auto"/>
          </w:tcPr>
          <w:p>
            <w:pPr>
              <w:pStyle w:val="TablaTexto"/>
            </w:pPr>
            <w:r>
              <w:t xml:space="preserve">+2,5 %</w:t>
            </w:r>
          </w:p>
        </w:tc>
      </w:tr>
      <w:tr>
        <w:tc>
          <w:tcPr>
            <w:tcW w:w="0" w:type="auto"/>
          </w:tcPr>
          <w:p>
            <w:pPr>
              <w:pStyle w:val="TablaTexto"/>
            </w:pPr>
            <w:r>
              <w:t xml:space="preserve">Sin mecanismo</w:t>
            </w:r>
          </w:p>
        </w:tc>
        <w:tc>
          <w:tcPr>
            <w:tcW w:w="0" w:type="auto"/>
          </w:tcPr>
          <w:p>
            <w:pPr>
              <w:pStyle w:val="TablaTexto"/>
            </w:pPr>
            <w:r>
              <w:t xml:space="preserve">Palitos Helados + Detergente</w:t>
            </w:r>
          </w:p>
        </w:tc>
        <w:tc>
          <w:tcPr>
            <w:tcW w:w="0" w:type="auto"/>
          </w:tcPr>
          <w:p>
            <w:pPr>
              <w:pStyle w:val="TablaTexto"/>
            </w:pPr>
            <w:r>
              <w:t xml:space="preserve">7,45</w:t>
            </w:r>
          </w:p>
        </w:tc>
        <w:tc>
          <w:tcPr>
            <w:tcW w:w="0" w:type="auto"/>
          </w:tcPr>
          <w:p>
            <w:pPr>
              <w:pStyle w:val="TablaTexto"/>
            </w:pPr>
            <w:r>
              <w:t xml:space="preserve">10,31</w:t>
            </w:r>
          </w:p>
        </w:tc>
        <w:tc>
          <w:tcPr>
            <w:tcW w:w="0" w:type="auto"/>
          </w:tcPr>
          <w:p>
            <w:pPr>
              <w:pStyle w:val="TablaTexto"/>
            </w:pPr>
            <w:r>
              <w:t xml:space="preserve">5,86</w:t>
            </w:r>
          </w:p>
        </w:tc>
        <w:tc>
          <w:tcPr>
            <w:tcW w:w="0" w:type="auto"/>
          </w:tcPr>
          <w:p>
            <w:pPr>
              <w:pStyle w:val="TablaTexto"/>
            </w:pPr>
            <w:r>
              <w:t xml:space="preserve">−43,2 %</w:t>
            </w:r>
          </w:p>
        </w:tc>
      </w:tr>
      <w:tr>
        <w:tc>
          <w:tcPr>
            <w:tcW w:w="0" w:type="auto"/>
          </w:tcPr>
          <w:p>
            <w:pPr>
              <w:pStyle w:val="TablaTexto"/>
            </w:pPr>
            <w:r>
              <w:t xml:space="preserve">Sin mecanismo</w:t>
            </w:r>
          </w:p>
        </w:tc>
        <w:tc>
          <w:tcPr>
            <w:tcW w:w="0" w:type="auto"/>
          </w:tcPr>
          <w:p>
            <w:pPr>
              <w:pStyle w:val="TablaTexto"/>
            </w:pPr>
            <w:r>
              <w:t xml:space="preserve">Manteca + Lavandina</w:t>
            </w:r>
          </w:p>
        </w:tc>
        <w:tc>
          <w:tcPr>
            <w:tcW w:w="0" w:type="auto"/>
          </w:tcPr>
          <w:p>
            <w:pPr>
              <w:pStyle w:val="TablaTexto"/>
            </w:pPr>
            <w:r>
              <w:t xml:space="preserve">5,57</w:t>
            </w:r>
          </w:p>
        </w:tc>
        <w:tc>
          <w:tcPr>
            <w:tcW w:w="0" w:type="auto"/>
          </w:tcPr>
          <w:p>
            <w:pPr>
              <w:pStyle w:val="TablaTexto"/>
            </w:pPr>
            <w:r>
              <w:t xml:space="preserve">8,13</w:t>
            </w:r>
          </w:p>
        </w:tc>
        <w:tc>
          <w:tcPr>
            <w:tcW w:w="0" w:type="auto"/>
          </w:tcPr>
          <w:p>
            <w:pPr>
              <w:pStyle w:val="TablaTexto"/>
            </w:pPr>
            <w:r>
              <w:t xml:space="preserve">4,07</w:t>
            </w:r>
          </w:p>
        </w:tc>
        <w:tc>
          <w:tcPr>
            <w:tcW w:w="0" w:type="auto"/>
          </w:tcPr>
          <w:p>
            <w:pPr>
              <w:pStyle w:val="TablaTexto"/>
            </w:pPr>
            <w:r>
              <w:t xml:space="preserve">−49,9 %</w:t>
            </w:r>
          </w:p>
        </w:tc>
      </w:tr>
      <w:tr>
        <w:tc>
          <w:tcPr>
            <w:tcW w:w="0" w:type="auto"/>
          </w:tcPr>
          <w:p>
            <w:pPr>
              <w:pStyle w:val="TablaTexto"/>
            </w:pPr>
            <w:r>
              <w:t xml:space="preserve">Sin mecanismo</w:t>
            </w:r>
          </w:p>
        </w:tc>
        <w:tc>
          <w:tcPr>
            <w:tcW w:w="0" w:type="auto"/>
          </w:tcPr>
          <w:p>
            <w:pPr>
              <w:pStyle w:val="TablaTexto"/>
            </w:pPr>
            <w:r>
              <w:t xml:space="preserve">Palitos Helados + Hamburguesas</w:t>
            </w:r>
          </w:p>
        </w:tc>
        <w:tc>
          <w:tcPr>
            <w:tcW w:w="0" w:type="auto"/>
          </w:tcPr>
          <w:p>
            <w:pPr>
              <w:pStyle w:val="TablaTexto"/>
            </w:pPr>
            <w:r>
              <w:t xml:space="preserve">3,17</w:t>
            </w:r>
          </w:p>
        </w:tc>
        <w:tc>
          <w:tcPr>
            <w:tcW w:w="0" w:type="auto"/>
          </w:tcPr>
          <w:p>
            <w:pPr>
              <w:pStyle w:val="TablaTexto"/>
            </w:pPr>
            <w:r>
              <w:t xml:space="preserve">0,08</w:t>
            </w:r>
          </w:p>
        </w:tc>
        <w:tc>
          <w:tcPr>
            <w:tcW w:w="0" w:type="auto"/>
          </w:tcPr>
          <w:p>
            <w:pPr>
              <w:pStyle w:val="TablaTexto"/>
            </w:pPr>
            <w:r>
              <w:t xml:space="preserve">4,52</w:t>
            </w:r>
          </w:p>
        </w:tc>
        <w:tc>
          <w:tcPr>
            <w:tcW w:w="0" w:type="auto"/>
          </w:tcPr>
          <w:p>
            <w:pPr>
              <w:pStyle w:val="TablaTexto"/>
            </w:pPr>
            <w:r>
              <w:t xml:space="preserve">+5.217 %</w:t>
            </w:r>
          </w:p>
        </w:tc>
      </w:tr>
    </w:tbl>
    <w:p>
      <w:pPr>
        <w:pStyle w:val="Espaciador"/>
      </w:pPr>
    </w:p>
    <w:p>
      <w:pPr>
        <w:jc w:val="both"/>
      </w:pPr>
      <w:r>
        <w:t xml:space="preserve">Las once reglas con mecanismo plausible varían </w:t>
      </w:r>
      <w:r>
        <w:rPr>
          <w:b/>
        </w:rPr>
        <w:t xml:space="preserve">menos del 12 %</w:t>
      </w:r>
      <w:r>
        <w:t xml:space="preserve"> entre años. Ninguna de las implausibles baja del 29 %. El juicio de negocio y la evidencia estadística convergieron.</w:t>
      </w:r>
    </w:p>
    <w:p>
      <w:pPr>
        <w:jc w:val="both"/>
      </w:pPr>
      <w:r>
        <w:t xml:space="preserve">Las variaciones extremas merecen una observación aparte. </w:t>
      </w:r>
      <w:r>
        <w:rPr>
          <w:rFonts w:ascii="Consolas" w:hAnsi="Consolas"/>
          <w:sz w:val="17"/>
          <w:shd w:val="clear" w:fill="F2F3F6"/>
        </w:rPr>
        <w:t xml:space="preserve">Palitos + Hamburguesas</w:t>
      </w:r>
      <w:r>
        <w:t xml:space="preserve"> pasa de lift 0,08 a 4,52, y </w:t>
      </w:r>
      <w:r>
        <w:rPr>
          <w:rFonts w:ascii="Consolas" w:hAnsi="Consolas"/>
          <w:sz w:val="17"/>
          <w:shd w:val="clear" w:fill="F2F3F6"/>
        </w:rPr>
        <w:t xml:space="preserve">Detergente + Lavandina</w:t>
      </w:r>
      <w:r>
        <w:t xml:space="preserve"> de 0,18 a 4,44. </w:t>
      </w:r>
      <w:r>
        <w:rPr>
          <w:b/>
        </w:rPr>
        <w:t xml:space="preserve">Un lift menor a 1 significa que esos productos se compraban separados.</w:t>
      </w:r>
      <w:r>
        <w:t xml:space="preserve"> Un salto de esa magnitud no describe un cambio de hábito de los clientes: indica un cambio estructural en la generación de los datos entre un año y el otro. Se excluyeron del análisis en lugar de presentarlos como un descubrimiento comercial.</w:t>
      </w:r>
    </w:p>
    <w:p>
      <w:pPr>
        <w:pStyle w:val="Heading3"/>
      </w:pPr>
      <w:r>
        <w:t xml:space="preserve">3.3 Las siete reglas finales</w:t>
      </w:r>
    </w:p>
    <w:tbl>
      <w:tblPr>
        <w:tblW w:w="5000" w:type="pct"/>
        <w:tblBorders>
          <w:top w:val="single" w:sz="4" w:space="0" w:color="B9BFCC"/>
          <w:left w:val="single" w:sz="4" w:space="0" w:color="B9BFCC"/>
          <w:bottom w:val="single" w:sz="4" w:space="0" w:color="B9BFCC"/>
          <w:right w:val="single" w:sz="4" w:space="0" w:color="B9BFCC"/>
          <w:insideH w:val="single" w:sz="4" w:space="0" w:color="B9BFCC"/>
          <w:insideV w:val="single" w:sz="4" w:space="0" w:color="B9BFCC"/>
        </w:tblBorders>
        <w:tblLayout w:type="autofit"/>
      </w:tblPr>
      <w:tr>
        <w:trPr>
          <w:tblHeader/>
        </w:trPr>
        <w:tc>
          <w:tcPr>
            <w:tcW w:w="0" w:type="auto"/>
            <w:shd w:val="clear" w:fill="E6EAF2"/>
          </w:tcPr>
          <w:p>
            <w:pPr>
              <w:pStyle w:val="TablaTexto"/>
            </w:pPr>
            <w:r>
              <w:rPr>
                <w:b/>
              </w:rPr>
              <w:t xml:space="preserve">#</w:t>
            </w:r>
          </w:p>
        </w:tc>
        <w:tc>
          <w:tcPr>
            <w:tcW w:w="0" w:type="auto"/>
            <w:shd w:val="clear" w:fill="E6EAF2"/>
          </w:tcPr>
          <w:p>
            <w:pPr>
              <w:pStyle w:val="TablaTexto"/>
            </w:pPr>
            <w:r>
              <w:rPr>
                <w:b/>
              </w:rPr>
              <w:t xml:space="preserve">Regla</w:t>
            </w:r>
          </w:p>
        </w:tc>
        <w:tc>
          <w:tcPr>
            <w:tcW w:w="0" w:type="auto"/>
            <w:shd w:val="clear" w:fill="E6EAF2"/>
          </w:tcPr>
          <w:p>
            <w:pPr>
              <w:pStyle w:val="TablaTexto"/>
            </w:pPr>
            <w:r>
              <w:rPr>
                <w:b/>
              </w:rPr>
              <w:t xml:space="preserve">Soporte</w:t>
            </w:r>
          </w:p>
        </w:tc>
        <w:tc>
          <w:tcPr>
            <w:tcW w:w="0" w:type="auto"/>
            <w:shd w:val="clear" w:fill="E6EAF2"/>
          </w:tcPr>
          <w:p>
            <w:pPr>
              <w:pStyle w:val="TablaTexto"/>
            </w:pPr>
            <w:r>
              <w:rPr>
                <w:b/>
              </w:rPr>
              <w:t xml:space="preserve">Confianza</w:t>
            </w:r>
          </w:p>
        </w:tc>
        <w:tc>
          <w:tcPr>
            <w:tcW w:w="0" w:type="auto"/>
            <w:shd w:val="clear" w:fill="E6EAF2"/>
          </w:tcPr>
          <w:p>
            <w:pPr>
              <w:pStyle w:val="TablaTexto"/>
            </w:pPr>
            <w:r>
              <w:rPr>
                <w:b/>
              </w:rPr>
              <w:t xml:space="preserve">Lift</w:t>
            </w:r>
          </w:p>
        </w:tc>
        <w:tc>
          <w:tcPr>
            <w:tcW w:w="0" w:type="auto"/>
            <w:shd w:val="clear" w:fill="E6EAF2"/>
          </w:tcPr>
          <w:p>
            <w:pPr>
              <w:pStyle w:val="TablaTexto"/>
            </w:pPr>
            <w:r>
              <w:rPr>
                <w:b/>
              </w:rPr>
              <w:t xml:space="preserve">Δ 24→25</w:t>
            </w:r>
          </w:p>
        </w:tc>
        <w:tc>
          <w:tcPr>
            <w:tcW w:w="0" w:type="auto"/>
            <w:shd w:val="clear" w:fill="E6EAF2"/>
          </w:tcPr>
          <w:p>
            <w:pPr>
              <w:pStyle w:val="TablaTexto"/>
            </w:pPr>
            <w:r>
              <w:rPr>
                <w:b/>
              </w:rPr>
              <w:t xml:space="preserve">Recomendación de negocio</w:t>
            </w:r>
          </w:p>
        </w:tc>
      </w:tr>
      <w:tr>
        <w:tc>
          <w:tcPr>
            <w:tcW w:w="0" w:type="auto"/>
          </w:tcPr>
          <w:p>
            <w:pPr>
              <w:pStyle w:val="TablaTexto"/>
            </w:pPr>
            <w:r>
              <w:t xml:space="preserve">1</w:t>
            </w:r>
          </w:p>
        </w:tc>
        <w:tc>
          <w:tcPr>
            <w:tcW w:w="0" w:type="auto"/>
          </w:tcPr>
          <w:p>
            <w:pPr>
              <w:pStyle w:val="TablaTexto"/>
            </w:pPr>
            <w:r>
              <w:t xml:space="preserve">Gaseosa Lima-Limón ↔ Cerveza Negra</w:t>
            </w:r>
          </w:p>
        </w:tc>
        <w:tc>
          <w:tcPr>
            <w:tcW w:w="0" w:type="auto"/>
          </w:tcPr>
          <w:p>
            <w:pPr>
              <w:pStyle w:val="TablaTexto"/>
            </w:pPr>
            <w:r>
              <w:t xml:space="preserve">0,0179</w:t>
            </w:r>
          </w:p>
        </w:tc>
        <w:tc>
          <w:tcPr>
            <w:tcW w:w="0" w:type="auto"/>
          </w:tcPr>
          <w:p>
            <w:pPr>
              <w:pStyle w:val="TablaTexto"/>
            </w:pPr>
            <w:r>
              <w:t xml:space="preserve">52,7 %</w:t>
            </w:r>
          </w:p>
        </w:tc>
        <w:tc>
          <w:tcPr>
            <w:tcW w:w="0" w:type="auto"/>
          </w:tcPr>
          <w:p>
            <w:pPr>
              <w:pStyle w:val="TablaTexto"/>
            </w:pPr>
            <w:r>
              <w:t xml:space="preserve">14,26</w:t>
            </w:r>
          </w:p>
        </w:tc>
        <w:tc>
          <w:tcPr>
            <w:tcW w:w="0" w:type="auto"/>
          </w:tcPr>
          <w:p>
            <w:pPr>
              <w:pStyle w:val="TablaTexto"/>
            </w:pPr>
            <w:r>
              <w:t xml:space="preserve">+2,6 %</w:t>
            </w:r>
          </w:p>
        </w:tc>
        <w:tc>
          <w:tcPr>
            <w:tcW w:w="0" w:type="auto"/>
          </w:tcPr>
          <w:p>
            <w:pPr>
              <w:pStyle w:val="TablaTexto"/>
            </w:pPr>
            <w:r>
              <w:t xml:space="preserve">Punta de góndola de fin de semana con ambas juntas. Es el combo de previa.</w:t>
            </w:r>
          </w:p>
        </w:tc>
      </w:tr>
      <w:tr>
        <w:tc>
          <w:tcPr>
            <w:tcW w:w="0" w:type="auto"/>
          </w:tcPr>
          <w:p>
            <w:pPr>
              <w:pStyle w:val="TablaTexto"/>
            </w:pPr>
            <w:r>
              <w:t xml:space="preserve">2</w:t>
            </w:r>
          </w:p>
        </w:tc>
        <w:tc>
          <w:tcPr>
            <w:tcW w:w="0" w:type="auto"/>
          </w:tcPr>
          <w:p>
            <w:pPr>
              <w:pStyle w:val="TablaTexto"/>
            </w:pPr>
            <w:r>
              <w:t xml:space="preserve">Agua Mineral 2L ↔ Yerba Mate 500g</w:t>
            </w:r>
          </w:p>
        </w:tc>
        <w:tc>
          <w:tcPr>
            <w:tcW w:w="0" w:type="auto"/>
          </w:tcPr>
          <w:p>
            <w:pPr>
              <w:pStyle w:val="TablaTexto"/>
            </w:pPr>
            <w:r>
              <w:t xml:space="preserve">0,0113</w:t>
            </w:r>
          </w:p>
        </w:tc>
        <w:tc>
          <w:tcPr>
            <w:tcW w:w="0" w:type="auto"/>
          </w:tcPr>
          <w:p>
            <w:pPr>
              <w:pStyle w:val="TablaTexto"/>
            </w:pPr>
            <w:r>
              <w:t xml:space="preserve">45,0 %</w:t>
            </w:r>
          </w:p>
        </w:tc>
        <w:tc>
          <w:tcPr>
            <w:tcW w:w="0" w:type="auto"/>
          </w:tcPr>
          <w:p>
            <w:pPr>
              <w:pStyle w:val="TablaTexto"/>
            </w:pPr>
            <w:r>
              <w:t xml:space="preserve">8,60</w:t>
            </w:r>
          </w:p>
        </w:tc>
        <w:tc>
          <w:tcPr>
            <w:tcW w:w="0" w:type="auto"/>
          </w:tcPr>
          <w:p>
            <w:pPr>
              <w:pStyle w:val="TablaTexto"/>
            </w:pPr>
            <w:r>
              <w:t xml:space="preserve">+5,1 %</w:t>
            </w:r>
          </w:p>
        </w:tc>
        <w:tc>
          <w:tcPr>
            <w:tcW w:w="0" w:type="auto"/>
          </w:tcPr>
          <w:p>
            <w:pPr>
              <w:pStyle w:val="TablaTexto"/>
            </w:pPr>
            <w:r>
              <w:t xml:space="preserve">Ubicar el agua sin gas junto a la yerba, no en la heladera de bebidas.</w:t>
            </w:r>
          </w:p>
        </w:tc>
      </w:tr>
      <w:tr>
        <w:tc>
          <w:tcPr>
            <w:tcW w:w="0" w:type="auto"/>
          </w:tcPr>
          <w:p>
            <w:pPr>
              <w:pStyle w:val="TablaTexto"/>
            </w:pPr>
            <w:r>
              <w:t xml:space="preserve">3</w:t>
            </w:r>
          </w:p>
        </w:tc>
        <w:tc>
          <w:tcPr>
            <w:tcW w:w="0" w:type="auto"/>
          </w:tcPr>
          <w:p>
            <w:pPr>
              <w:pStyle w:val="TablaTexto"/>
            </w:pPr>
            <w:r>
              <w:t xml:space="preserve">Agua Mineral 2L ↔ Cerveza Negra</w:t>
            </w:r>
          </w:p>
        </w:tc>
        <w:tc>
          <w:tcPr>
            <w:tcW w:w="0" w:type="auto"/>
          </w:tcPr>
          <w:p>
            <w:pPr>
              <w:pStyle w:val="TablaTexto"/>
            </w:pPr>
            <w:r>
              <w:t xml:space="preserve">0,0108</w:t>
            </w:r>
          </w:p>
        </w:tc>
        <w:tc>
          <w:tcPr>
            <w:tcW w:w="0" w:type="auto"/>
          </w:tcPr>
          <w:p>
            <w:pPr>
              <w:pStyle w:val="TablaTexto"/>
            </w:pPr>
            <w:r>
              <w:t xml:space="preserve">29,3 %</w:t>
            </w:r>
          </w:p>
        </w:tc>
        <w:tc>
          <w:tcPr>
            <w:tcW w:w="0" w:type="auto"/>
          </w:tcPr>
          <w:p>
            <w:pPr>
              <w:pStyle w:val="TablaTexto"/>
            </w:pPr>
            <w:r>
              <w:t xml:space="preserve">5,61</w:t>
            </w:r>
          </w:p>
        </w:tc>
        <w:tc>
          <w:tcPr>
            <w:tcW w:w="0" w:type="auto"/>
          </w:tcPr>
          <w:p>
            <w:pPr>
              <w:pStyle w:val="TablaTexto"/>
            </w:pPr>
            <w:r>
              <w:t xml:space="preserve">+5,9 %</w:t>
            </w:r>
          </w:p>
        </w:tc>
        <w:tc>
          <w:tcPr>
            <w:tcW w:w="0" w:type="auto"/>
          </w:tcPr>
          <w:p>
            <w:pPr>
              <w:pStyle w:val="TablaTexto"/>
            </w:pPr>
            <w:r>
              <w:t xml:space="preserve">Carga de bebidas en un mismo viaje: conviene ofrecer pack mixto.</w:t>
            </w:r>
          </w:p>
        </w:tc>
      </w:tr>
      <w:tr>
        <w:tc>
          <w:tcPr>
            <w:tcW w:w="0" w:type="auto"/>
          </w:tcPr>
          <w:p>
            <w:pPr>
              <w:pStyle w:val="TablaTexto"/>
            </w:pPr>
            <w:r>
              <w:t xml:space="preserve">4</w:t>
            </w:r>
          </w:p>
        </w:tc>
        <w:tc>
          <w:tcPr>
            <w:tcW w:w="0" w:type="auto"/>
          </w:tcPr>
          <w:p>
            <w:pPr>
              <w:pStyle w:val="TablaTexto"/>
            </w:pPr>
            <w:r>
              <w:t xml:space="preserve">Agua Saborizada ↔ Cerveza Rubia</w:t>
            </w:r>
          </w:p>
        </w:tc>
        <w:tc>
          <w:tcPr>
            <w:tcW w:w="0" w:type="auto"/>
          </w:tcPr>
          <w:p>
            <w:pPr>
              <w:pStyle w:val="TablaTexto"/>
            </w:pPr>
            <w:r>
              <w:t xml:space="preserve">0,0437</w:t>
            </w:r>
          </w:p>
        </w:tc>
        <w:tc>
          <w:tcPr>
            <w:tcW w:w="0" w:type="auto"/>
          </w:tcPr>
          <w:p>
            <w:pPr>
              <w:pStyle w:val="TablaTexto"/>
            </w:pPr>
            <w:r>
              <w:t xml:space="preserve">49,0 %</w:t>
            </w:r>
          </w:p>
        </w:tc>
        <w:tc>
          <w:tcPr>
            <w:tcW w:w="0" w:type="auto"/>
          </w:tcPr>
          <w:p>
            <w:pPr>
              <w:pStyle w:val="TablaTexto"/>
            </w:pPr>
            <w:r>
              <w:t xml:space="preserve">5,54</w:t>
            </w:r>
          </w:p>
        </w:tc>
        <w:tc>
          <w:tcPr>
            <w:tcW w:w="0" w:type="auto"/>
          </w:tcPr>
          <w:p>
            <w:pPr>
              <w:pStyle w:val="TablaTexto"/>
            </w:pPr>
            <w:r>
              <w:t xml:space="preserve">+2,6 %</w:t>
            </w:r>
          </w:p>
        </w:tc>
        <w:tc>
          <w:tcPr>
            <w:tcW w:w="0" w:type="auto"/>
          </w:tcPr>
          <w:p>
            <w:pPr>
              <w:pStyle w:val="TablaTexto"/>
            </w:pPr>
            <w:r>
              <w:t xml:space="preserve">La combinación de bebidas más frecuente del catálogo: exhibir contiguas.</w:t>
            </w:r>
          </w:p>
        </w:tc>
      </w:tr>
      <w:tr>
        <w:tc>
          <w:tcPr>
            <w:tcW w:w="0" w:type="auto"/>
          </w:tcPr>
          <w:p>
            <w:pPr>
              <w:pStyle w:val="TablaTexto"/>
            </w:pPr>
            <w:r>
              <w:t xml:space="preserve">5</w:t>
            </w:r>
          </w:p>
        </w:tc>
        <w:tc>
          <w:tcPr>
            <w:tcW w:w="0" w:type="auto"/>
          </w:tcPr>
          <w:p>
            <w:pPr>
              <w:pStyle w:val="TablaTexto"/>
            </w:pPr>
            <w:r>
              <w:t xml:space="preserve">Gaseosa Cola ↔ Yerba Mate 1kg</w:t>
            </w:r>
          </w:p>
        </w:tc>
        <w:tc>
          <w:tcPr>
            <w:tcW w:w="0" w:type="auto"/>
          </w:tcPr>
          <w:p>
            <w:pPr>
              <w:pStyle w:val="TablaTexto"/>
            </w:pPr>
            <w:r>
              <w:t xml:space="preserve">0,0325</w:t>
            </w:r>
          </w:p>
        </w:tc>
        <w:tc>
          <w:tcPr>
            <w:tcW w:w="0" w:type="auto"/>
          </w:tcPr>
          <w:p>
            <w:pPr>
              <w:pStyle w:val="TablaTexto"/>
            </w:pPr>
            <w:r>
              <w:t xml:space="preserve">63,5 %</w:t>
            </w:r>
          </w:p>
        </w:tc>
        <w:tc>
          <w:tcPr>
            <w:tcW w:w="0" w:type="auto"/>
          </w:tcPr>
          <w:p>
            <w:pPr>
              <w:pStyle w:val="TablaTexto"/>
            </w:pPr>
            <w:r>
              <w:t xml:space="preserve">5,49</w:t>
            </w:r>
          </w:p>
        </w:tc>
        <w:tc>
          <w:tcPr>
            <w:tcW w:w="0" w:type="auto"/>
          </w:tcPr>
          <w:p>
            <w:pPr>
              <w:pStyle w:val="TablaTexto"/>
            </w:pPr>
            <w:r>
              <w:t xml:space="preserve">+2,8 %</w:t>
            </w:r>
          </w:p>
        </w:tc>
        <w:tc>
          <w:tcPr>
            <w:tcW w:w="0" w:type="auto"/>
          </w:tcPr>
          <w:p>
            <w:pPr>
              <w:pStyle w:val="TablaTexto"/>
            </w:pPr>
            <w:r>
              <w:t xml:space="preserve">Compra de reposición del hogar: promoción cruzada en el ticket.</w:t>
            </w:r>
          </w:p>
        </w:tc>
      </w:tr>
      <w:tr>
        <w:tc>
          <w:tcPr>
            <w:tcW w:w="0" w:type="auto"/>
          </w:tcPr>
          <w:p>
            <w:pPr>
              <w:pStyle w:val="TablaTexto"/>
            </w:pPr>
            <w:r>
              <w:t xml:space="preserve">6</w:t>
            </w:r>
          </w:p>
        </w:tc>
        <w:tc>
          <w:tcPr>
            <w:tcW w:w="0" w:type="auto"/>
          </w:tcPr>
          <w:p>
            <w:pPr>
              <w:pStyle w:val="TablaTexto"/>
            </w:pPr>
            <w:r>
              <w:t xml:space="preserve">Agua Saborizada ↔ Jugo Naranja</w:t>
            </w:r>
          </w:p>
        </w:tc>
        <w:tc>
          <w:tcPr>
            <w:tcW w:w="0" w:type="auto"/>
          </w:tcPr>
          <w:p>
            <w:pPr>
              <w:pStyle w:val="TablaTexto"/>
            </w:pPr>
            <w:r>
              <w:t xml:space="preserve">0,0355</w:t>
            </w:r>
          </w:p>
        </w:tc>
        <w:tc>
          <w:tcPr>
            <w:tcW w:w="0" w:type="auto"/>
          </w:tcPr>
          <w:p>
            <w:pPr>
              <w:pStyle w:val="TablaTexto"/>
            </w:pPr>
            <w:r>
              <w:t xml:space="preserve">48,4 %</w:t>
            </w:r>
          </w:p>
        </w:tc>
        <w:tc>
          <w:tcPr>
            <w:tcW w:w="0" w:type="auto"/>
          </w:tcPr>
          <w:p>
            <w:pPr>
              <w:pStyle w:val="TablaTexto"/>
            </w:pPr>
            <w:r>
              <w:t xml:space="preserve">5,47</w:t>
            </w:r>
          </w:p>
        </w:tc>
        <w:tc>
          <w:tcPr>
            <w:tcW w:w="0" w:type="auto"/>
          </w:tcPr>
          <w:p>
            <w:pPr>
              <w:pStyle w:val="TablaTexto"/>
            </w:pPr>
            <w:r>
              <w:t xml:space="preserve">+2,5 %</w:t>
            </w:r>
          </w:p>
        </w:tc>
        <w:tc>
          <w:tcPr>
            <w:tcW w:w="0" w:type="auto"/>
          </w:tcPr>
          <w:p>
            <w:pPr>
              <w:pStyle w:val="TablaTexto"/>
            </w:pPr>
            <w:r>
              <w:t xml:space="preserve">Misma decisión de compra (sin alcohol). Exhibir contiguas.</w:t>
            </w:r>
          </w:p>
        </w:tc>
      </w:tr>
      <w:tr>
        <w:tc>
          <w:tcPr>
            <w:tcW w:w="0" w:type="auto"/>
          </w:tcPr>
          <w:p>
            <w:pPr>
              <w:pStyle w:val="TablaTexto"/>
            </w:pPr>
            <w:r>
              <w:t xml:space="preserve">7</w:t>
            </w:r>
          </w:p>
        </w:tc>
        <w:tc>
          <w:tcPr>
            <w:tcW w:w="0" w:type="auto"/>
          </w:tcPr>
          <w:p>
            <w:pPr>
              <w:pStyle w:val="TablaTexto"/>
            </w:pPr>
            <w:r>
              <w:t xml:space="preserve">Galletitas Dulces ↔ Leche Entera</w:t>
            </w:r>
          </w:p>
        </w:tc>
        <w:tc>
          <w:tcPr>
            <w:tcW w:w="0" w:type="auto"/>
          </w:tcPr>
          <w:p>
            <w:pPr>
              <w:pStyle w:val="TablaTexto"/>
            </w:pPr>
            <w:r>
              <w:t xml:space="preserve">0,0915</w:t>
            </w:r>
          </w:p>
        </w:tc>
        <w:tc>
          <w:tcPr>
            <w:tcW w:w="0" w:type="auto"/>
          </w:tcPr>
          <w:p>
            <w:pPr>
              <w:pStyle w:val="TablaTexto"/>
            </w:pPr>
            <w:r>
              <w:t xml:space="preserve">64,1 %</w:t>
            </w:r>
          </w:p>
        </w:tc>
        <w:tc>
          <w:tcPr>
            <w:tcW w:w="0" w:type="auto"/>
          </w:tcPr>
          <w:p>
            <w:pPr>
              <w:pStyle w:val="TablaTexto"/>
            </w:pPr>
            <w:r>
              <w:t xml:space="preserve">4,26</w:t>
            </w:r>
          </w:p>
        </w:tc>
        <w:tc>
          <w:tcPr>
            <w:tcW w:w="0" w:type="auto"/>
          </w:tcPr>
          <w:p>
            <w:pPr>
              <w:pStyle w:val="TablaTexto"/>
            </w:pPr>
            <w:r>
              <w:t xml:space="preserve">+11,2 %</w:t>
            </w:r>
          </w:p>
        </w:tc>
        <w:tc>
          <w:tcPr>
            <w:tcW w:w="0" w:type="auto"/>
          </w:tcPr>
          <w:p>
            <w:pPr>
              <w:pStyle w:val="TablaTexto"/>
            </w:pPr>
            <w:r>
              <w:t xml:space="preserve">El mayor soporte de todas (9,2 %). Desayuno y merienda: nunca liquidar ambas a la vez.</w:t>
            </w:r>
          </w:p>
        </w:tc>
      </w:tr>
    </w:tbl>
    <w:p>
      <w:pPr>
        <w:pStyle w:val="Espaciador"/>
      </w:pPr>
    </w:p>
    <w:p>
      <w:pPr>
        <w:pStyle w:val="Heading3"/>
      </w:pPr>
      <w:r>
        <w:t xml:space="preserve">3.4 Las reglas descartadas</w:t>
      </w:r>
    </w:p>
    <w:tbl>
      <w:tblPr>
        <w:tblW w:w="5000" w:type="pct"/>
        <w:tblBorders>
          <w:top w:val="single" w:sz="4" w:space="0" w:color="B9BFCC"/>
          <w:left w:val="single" w:sz="4" w:space="0" w:color="B9BFCC"/>
          <w:bottom w:val="single" w:sz="4" w:space="0" w:color="B9BFCC"/>
          <w:right w:val="single" w:sz="4" w:space="0" w:color="B9BFCC"/>
          <w:insideH w:val="single" w:sz="4" w:space="0" w:color="B9BFCC"/>
          <w:insideV w:val="single" w:sz="4" w:space="0" w:color="B9BFCC"/>
        </w:tblBorders>
        <w:tblLayout w:type="autofit"/>
      </w:tblPr>
      <w:tr>
        <w:trPr>
          <w:tblHeader/>
        </w:trPr>
        <w:tc>
          <w:tcPr>
            <w:tcW w:w="0" w:type="auto"/>
            <w:shd w:val="clear" w:fill="E6EAF2"/>
          </w:tcPr>
          <w:p>
            <w:pPr>
              <w:pStyle w:val="TablaTexto"/>
            </w:pPr>
            <w:r>
              <w:rPr>
                <w:b/>
              </w:rPr>
              <w:t xml:space="preserve">Regla</w:t>
            </w:r>
          </w:p>
        </w:tc>
        <w:tc>
          <w:tcPr>
            <w:tcW w:w="0" w:type="auto"/>
            <w:shd w:val="clear" w:fill="E6EAF2"/>
          </w:tcPr>
          <w:p>
            <w:pPr>
              <w:pStyle w:val="TablaTexto"/>
            </w:pPr>
            <w:r>
              <w:rPr>
                <w:b/>
              </w:rPr>
              <w:t xml:space="preserve">Lift</w:t>
            </w:r>
          </w:p>
        </w:tc>
        <w:tc>
          <w:tcPr>
            <w:tcW w:w="0" w:type="auto"/>
            <w:shd w:val="clear" w:fill="E6EAF2"/>
          </w:tcPr>
          <w:p>
            <w:pPr>
              <w:pStyle w:val="TablaTexto"/>
            </w:pPr>
            <w:r>
              <w:rPr>
                <w:b/>
              </w:rPr>
              <w:t xml:space="preserve">Paso</w:t>
            </w:r>
          </w:p>
        </w:tc>
        <w:tc>
          <w:tcPr>
            <w:tcW w:w="0" w:type="auto"/>
            <w:shd w:val="clear" w:fill="E6EAF2"/>
          </w:tcPr>
          <w:p>
            <w:pPr>
              <w:pStyle w:val="TablaTexto"/>
            </w:pPr>
            <w:r>
              <w:rPr>
                <w:b/>
              </w:rPr>
              <w:t xml:space="preserve">Motivo</w:t>
            </w:r>
          </w:p>
        </w:tc>
      </w:tr>
      <w:tr>
        <w:tc>
          <w:tcPr>
            <w:tcW w:w="0" w:type="auto"/>
          </w:tcPr>
          <w:p>
            <w:pPr>
              <w:pStyle w:val="TablaTexto"/>
            </w:pPr>
            <w:r>
              <w:t xml:space="preserve">Hamburguesas + Detergente → Palitos + Lavandina</w:t>
            </w:r>
          </w:p>
        </w:tc>
        <w:tc>
          <w:tcPr>
            <w:tcW w:w="0" w:type="auto"/>
          </w:tcPr>
          <w:p>
            <w:pPr>
              <w:pStyle w:val="TablaTexto"/>
            </w:pPr>
            <w:r>
              <w:t xml:space="preserve">36,87</w:t>
            </w:r>
          </w:p>
        </w:tc>
        <w:tc>
          <w:tcPr>
            <w:tcW w:w="0" w:type="auto"/>
          </w:tcPr>
          <w:p>
            <w:pPr>
              <w:pStyle w:val="TablaTexto"/>
            </w:pPr>
            <w:r>
              <w:t xml:space="preserve">2</w:t>
            </w:r>
          </w:p>
        </w:tc>
        <w:tc>
          <w:tcPr>
            <w:tcW w:w="0" w:type="auto"/>
          </w:tcPr>
          <w:p>
            <w:pPr>
              <w:pStyle w:val="TablaTexto"/>
            </w:pPr>
            <w:r>
              <w:t xml:space="preserve">Combinación de dos pares ya presentes: no aporta información nueva.</w:t>
            </w:r>
          </w:p>
        </w:tc>
      </w:tr>
      <w:tr>
        <w:tc>
          <w:tcPr>
            <w:tcW w:w="0" w:type="auto"/>
          </w:tcPr>
          <w:p>
            <w:pPr>
              <w:pStyle w:val="TablaTexto"/>
            </w:pPr>
            <w:r>
              <w:t xml:space="preserve">Galletitas + Caramelos → Mermelada + Leche</w:t>
            </w:r>
          </w:p>
        </w:tc>
        <w:tc>
          <w:tcPr>
            <w:tcW w:w="0" w:type="auto"/>
          </w:tcPr>
          <w:p>
            <w:pPr>
              <w:pStyle w:val="TablaTexto"/>
            </w:pPr>
            <w:r>
              <w:t xml:space="preserve">33,79</w:t>
            </w:r>
          </w:p>
        </w:tc>
        <w:tc>
          <w:tcPr>
            <w:tcW w:w="0" w:type="auto"/>
          </w:tcPr>
          <w:p>
            <w:pPr>
              <w:pStyle w:val="TablaTexto"/>
            </w:pPr>
            <w:r>
              <w:t xml:space="preserve">2</w:t>
            </w:r>
          </w:p>
        </w:tc>
        <w:tc>
          <w:tcPr>
            <w:tcW w:w="0" w:type="auto"/>
          </w:tcPr>
          <w:p>
            <w:pPr>
              <w:pStyle w:val="TablaTexto"/>
            </w:pPr>
            <w:r>
              <w:t xml:space="preserve">Cuatro ítems del mismo cluster; el lift es artefacto de combinar correlaciones.</w:t>
            </w:r>
          </w:p>
        </w:tc>
      </w:tr>
      <w:tr>
        <w:tc>
          <w:tcPr>
            <w:tcW w:w="0" w:type="auto"/>
          </w:tcPr>
          <w:p>
            <w:pPr>
              <w:pStyle w:val="TablaTexto"/>
            </w:pPr>
            <w:r>
              <w:t xml:space="preserve">Agua Saborizada + Yerba → Cerveza Rubia</w:t>
            </w:r>
          </w:p>
        </w:tc>
        <w:tc>
          <w:tcPr>
            <w:tcW w:w="0" w:type="auto"/>
          </w:tcPr>
          <w:p>
            <w:pPr>
              <w:pStyle w:val="TablaTexto"/>
            </w:pPr>
            <w:r>
              <w:t xml:space="preserve">11,20</w:t>
            </w:r>
          </w:p>
        </w:tc>
        <w:tc>
          <w:tcPr>
            <w:tcW w:w="0" w:type="auto"/>
          </w:tcPr>
          <w:p>
            <w:pPr>
              <w:pStyle w:val="TablaTexto"/>
            </w:pPr>
            <w:r>
              <w:t xml:space="preserve">4</w:t>
            </w:r>
          </w:p>
        </w:tc>
        <w:tc>
          <w:tcPr>
            <w:tcW w:w="0" w:type="auto"/>
          </w:tcPr>
          <w:p>
            <w:pPr>
              <w:pStyle w:val="TablaTexto"/>
            </w:pPr>
            <w:r>
              <w:t xml:space="preserve">Confianza exactamente 1,00 sobre 731 tickets: demasiado perfecto para ser real.</w:t>
            </w:r>
          </w:p>
        </w:tc>
      </w:tr>
      <w:tr>
        <w:tc>
          <w:tcPr>
            <w:tcW w:w="0" w:type="auto"/>
          </w:tcPr>
          <w:p>
            <w:pPr>
              <w:pStyle w:val="TablaTexto"/>
            </w:pPr>
            <w:r>
              <w:t xml:space="preserve">Mermelada ↔ Caramelos</w:t>
            </w:r>
          </w:p>
        </w:tc>
        <w:tc>
          <w:tcPr>
            <w:tcW w:w="0" w:type="auto"/>
          </w:tcPr>
          <w:p>
            <w:pPr>
              <w:pStyle w:val="TablaTexto"/>
            </w:pPr>
            <w:r>
              <w:t xml:space="preserve">8,44</w:t>
            </w:r>
          </w:p>
        </w:tc>
        <w:tc>
          <w:tcPr>
            <w:tcW w:w="0" w:type="auto"/>
          </w:tcPr>
          <w:p>
            <w:pPr>
              <w:pStyle w:val="TablaTexto"/>
            </w:pPr>
            <w:r>
              <w:t xml:space="preserve">6</w:t>
            </w:r>
          </w:p>
        </w:tc>
        <w:tc>
          <w:tcPr>
            <w:tcW w:w="0" w:type="auto"/>
          </w:tcPr>
          <w:p>
            <w:pPr>
              <w:pStyle w:val="TablaTexto"/>
            </w:pPr>
            <w:r>
              <w:t xml:space="preserve">Mecanismo débil (ambos dulces) y caída del 34 % entre años.</w:t>
            </w:r>
          </w:p>
        </w:tc>
      </w:tr>
      <w:tr>
        <w:tc>
          <w:tcPr>
            <w:tcW w:w="0" w:type="auto"/>
          </w:tcPr>
          <w:p>
            <w:pPr>
              <w:pStyle w:val="TablaTexto"/>
            </w:pPr>
            <w:r>
              <w:t xml:space="preserve">Palitos Helados ↔ Detergente</w:t>
            </w:r>
          </w:p>
        </w:tc>
        <w:tc>
          <w:tcPr>
            <w:tcW w:w="0" w:type="auto"/>
          </w:tcPr>
          <w:p>
            <w:pPr>
              <w:pStyle w:val="TablaTexto"/>
            </w:pPr>
            <w:r>
              <w:t xml:space="preserve">7,45</w:t>
            </w:r>
          </w:p>
        </w:tc>
        <w:tc>
          <w:tcPr>
            <w:tcW w:w="0" w:type="auto"/>
          </w:tcPr>
          <w:p>
            <w:pPr>
              <w:pStyle w:val="TablaTexto"/>
            </w:pPr>
            <w:r>
              <w:t xml:space="preserve">4</w:t>
            </w:r>
          </w:p>
        </w:tc>
        <w:tc>
          <w:tcPr>
            <w:tcW w:w="0" w:type="auto"/>
          </w:tcPr>
          <w:p>
            <w:pPr>
              <w:pStyle w:val="TablaTexto"/>
            </w:pPr>
            <w:r>
              <w:t xml:space="preserve">Congelados con Limpieza: sin explicación posible. Además cae 43 %.</w:t>
            </w:r>
          </w:p>
        </w:tc>
      </w:tr>
      <w:tr>
        <w:tc>
          <w:tcPr>
            <w:tcW w:w="0" w:type="auto"/>
          </w:tcPr>
          <w:p>
            <w:pPr>
              <w:pStyle w:val="TablaTexto"/>
            </w:pPr>
            <w:r>
              <w:t xml:space="preserve">Dulce de Leche ↔ Jabón en Polvo</w:t>
            </w:r>
          </w:p>
        </w:tc>
        <w:tc>
          <w:tcPr>
            <w:tcW w:w="0" w:type="auto"/>
          </w:tcPr>
          <w:p>
            <w:pPr>
              <w:pStyle w:val="TablaTexto"/>
            </w:pPr>
            <w:r>
              <w:t xml:space="preserve">6,98</w:t>
            </w:r>
          </w:p>
        </w:tc>
        <w:tc>
          <w:tcPr>
            <w:tcW w:w="0" w:type="auto"/>
          </w:tcPr>
          <w:p>
            <w:pPr>
              <w:pStyle w:val="TablaTexto"/>
            </w:pPr>
            <w:r>
              <w:t xml:space="preserve">4</w:t>
            </w:r>
          </w:p>
        </w:tc>
        <w:tc>
          <w:tcPr>
            <w:tcW w:w="0" w:type="auto"/>
          </w:tcPr>
          <w:p>
            <w:pPr>
              <w:pStyle w:val="TablaTexto"/>
            </w:pPr>
            <w:r>
              <w:t xml:space="preserve">Lácteos con Limpieza. Salta 61 % entre años.</w:t>
            </w:r>
          </w:p>
        </w:tc>
      </w:tr>
      <w:tr>
        <w:tc>
          <w:tcPr>
            <w:tcW w:w="0" w:type="auto"/>
          </w:tcPr>
          <w:p>
            <w:pPr>
              <w:pStyle w:val="TablaTexto"/>
            </w:pPr>
            <w:r>
              <w:t xml:space="preserve">Hamburguesas ↔ Lavandina</w:t>
            </w:r>
          </w:p>
        </w:tc>
        <w:tc>
          <w:tcPr>
            <w:tcW w:w="0" w:type="auto"/>
          </w:tcPr>
          <w:p>
            <w:pPr>
              <w:pStyle w:val="TablaTexto"/>
            </w:pPr>
            <w:r>
              <w:t xml:space="preserve">5,60</w:t>
            </w:r>
          </w:p>
        </w:tc>
        <w:tc>
          <w:tcPr>
            <w:tcW w:w="0" w:type="auto"/>
          </w:tcPr>
          <w:p>
            <w:pPr>
              <w:pStyle w:val="TablaTexto"/>
            </w:pPr>
            <w:r>
              <w:t xml:space="preserve">4</w:t>
            </w:r>
          </w:p>
        </w:tc>
        <w:tc>
          <w:tcPr>
            <w:tcW w:w="0" w:type="auto"/>
          </w:tcPr>
          <w:p>
            <w:pPr>
              <w:pStyle w:val="TablaTexto"/>
            </w:pPr>
            <w:r>
              <w:t xml:space="preserve">Congelados con Limpieza nuevamente.</w:t>
            </w:r>
          </w:p>
        </w:tc>
      </w:tr>
      <w:tr>
        <w:tc>
          <w:tcPr>
            <w:tcW w:w="0" w:type="auto"/>
          </w:tcPr>
          <w:p>
            <w:pPr>
              <w:pStyle w:val="TablaTexto"/>
            </w:pPr>
            <w:r>
              <w:t xml:space="preserve">Manteca ↔ Lavandina</w:t>
            </w:r>
          </w:p>
        </w:tc>
        <w:tc>
          <w:tcPr>
            <w:tcW w:w="0" w:type="auto"/>
          </w:tcPr>
          <w:p>
            <w:pPr>
              <w:pStyle w:val="TablaTexto"/>
            </w:pPr>
            <w:r>
              <w:t xml:space="preserve">5,57</w:t>
            </w:r>
          </w:p>
        </w:tc>
        <w:tc>
          <w:tcPr>
            <w:tcW w:w="0" w:type="auto"/>
          </w:tcPr>
          <w:p>
            <w:pPr>
              <w:pStyle w:val="TablaTexto"/>
            </w:pPr>
            <w:r>
              <w:t xml:space="preserve">6</w:t>
            </w:r>
          </w:p>
        </w:tc>
        <w:tc>
          <w:tcPr>
            <w:tcW w:w="0" w:type="auto"/>
          </w:tcPr>
          <w:p>
            <w:pPr>
              <w:pStyle w:val="TablaTexto"/>
            </w:pPr>
            <w:r>
              <w:t xml:space="preserve">Cae a la mitad (−50 %).</w:t>
            </w:r>
          </w:p>
        </w:tc>
      </w:tr>
      <w:tr>
        <w:tc>
          <w:tcPr>
            <w:tcW w:w="0" w:type="auto"/>
          </w:tcPr>
          <w:p>
            <w:pPr>
              <w:pStyle w:val="TablaTexto"/>
            </w:pPr>
            <w:r>
              <w:t xml:space="preserve">Aceite Girasol ↔ Yogur Bebible</w:t>
            </w:r>
          </w:p>
        </w:tc>
        <w:tc>
          <w:tcPr>
            <w:tcW w:w="0" w:type="auto"/>
          </w:tcPr>
          <w:p>
            <w:pPr>
              <w:pStyle w:val="TablaTexto"/>
            </w:pPr>
            <w:r>
              <w:t xml:space="preserve">5,07</w:t>
            </w:r>
          </w:p>
        </w:tc>
        <w:tc>
          <w:tcPr>
            <w:tcW w:w="0" w:type="auto"/>
          </w:tcPr>
          <w:p>
            <w:pPr>
              <w:pStyle w:val="TablaTexto"/>
            </w:pPr>
            <w:r>
              <w:t xml:space="preserve">4</w:t>
            </w:r>
          </w:p>
        </w:tc>
        <w:tc>
          <w:tcPr>
            <w:tcW w:w="0" w:type="auto"/>
          </w:tcPr>
          <w:p>
            <w:pPr>
              <w:pStyle w:val="TablaTexto"/>
            </w:pPr>
            <w:r>
              <w:t xml:space="preserve">Sin relación de uso ni de ocasión de consumo.</w:t>
            </w:r>
          </w:p>
        </w:tc>
      </w:tr>
      <w:tr>
        <w:tc>
          <w:tcPr>
            <w:tcW w:w="0" w:type="auto"/>
          </w:tcPr>
          <w:p>
            <w:pPr>
              <w:pStyle w:val="TablaTexto"/>
            </w:pPr>
            <w:r>
              <w:t xml:space="preserve">Alfajor ↔ Galletitas Dulces</w:t>
            </w:r>
          </w:p>
        </w:tc>
        <w:tc>
          <w:tcPr>
            <w:tcW w:w="0" w:type="auto"/>
          </w:tcPr>
          <w:p>
            <w:pPr>
              <w:pStyle w:val="TablaTexto"/>
            </w:pPr>
            <w:r>
              <w:t xml:space="preserve">1,70</w:t>
            </w:r>
          </w:p>
        </w:tc>
        <w:tc>
          <w:tcPr>
            <w:tcW w:w="0" w:type="auto"/>
          </w:tcPr>
          <w:p>
            <w:pPr>
              <w:pStyle w:val="TablaTexto"/>
            </w:pPr>
            <w:r>
              <w:t xml:space="preserve">3</w:t>
            </w:r>
          </w:p>
        </w:tc>
        <w:tc>
          <w:tcPr>
            <w:tcW w:w="0" w:type="auto"/>
          </w:tcPr>
          <w:p>
            <w:pPr>
              <w:pStyle w:val="TablaTexto"/>
            </w:pPr>
            <w:r>
              <w:t xml:space="preserve">Confianza 25,6 % que parece aceptable, pero las galletitas están en el 15,1 % de los tickets igual.</w:t>
            </w:r>
          </w:p>
        </w:tc>
      </w:tr>
    </w:tbl>
    <w:p>
      <w:pPr>
        <w:pStyle w:val="Espaciador"/>
      </w:pPr>
    </w:p>
    <w:p>
      <w:pPr>
        <w:pStyle w:val="Heading3"/>
      </w:pPr>
      <w:r>
        <w:t xml:space="preserve">3.5 El descarte más relevante</w:t>
      </w:r>
    </w:p>
    <w:p>
      <w:pPr>
        <w:jc w:val="both"/>
      </w:pPr>
      <w:r>
        <w:rPr>
          <w:rFonts w:ascii="Consolas" w:hAnsi="Consolas"/>
          <w:sz w:val="17"/>
          <w:shd w:val="clear" w:fill="F2F3F6"/>
        </w:rPr>
        <w:t xml:space="preserve">Palitos Helados → Detergente</w:t>
      </w:r>
      <w:r>
        <w:t xml:space="preserve"> tiene lift </w:t>
      </w:r>
      <w:r>
        <w:rPr>
          <w:b/>
        </w:rPr>
        <w:t xml:space="preserve">7,45</w:t>
      </w:r>
      <w:r>
        <w:t xml:space="preserve">, el cuarto más alto de todo el dataset, y no existe ninguna explicación de por qué alguien compraría helado junto con detergente. Si el criterio hubiera sido únicamente "ordenar por lift y quedarse con las primeras", esta regla habría entrado a la presentación y MiniRed habría terminado ubicando detergente junto a la heladera de helados.</w:t>
      </w:r>
    </w:p>
    <w:p>
      <w:pPr>
        <w:jc w:val="both"/>
      </w:pPr>
      <w:r>
        <w:rPr>
          <w:b/>
        </w:rPr>
        <w:t xml:space="preserve">Un número alto no es un hallazgo.</w:t>
      </w:r>
      <w:r>
        <w:t xml:space="preserve"> El valor del paso 4 se mide precisamente en las reglas que elimina pese a tener buenas métricas.</w:t>
      </w:r>
    </w:p>
    <w:p>
      <w:pPr>
        <w:pBdr>
          <w:bottom w:val="single" w:sz="6" w:space="1" w:color="C8C8C8"/>
        </w:pBdr>
      </w:pPr>
    </w:p>
    <w:p>
      <w:pPr>
        <w:pStyle w:val="Heading2"/>
      </w:pPr>
      <w:r>
        <w:t xml:space="preserve">4. Fase 3 — Rol de la inteligencia artificial</w:t>
      </w:r>
    </w:p>
    <w:p>
      <w:pPr>
        <w:jc w:val="both"/>
      </w:pPr>
      <w:r>
        <w:t xml:space="preserve">Se utilizó </w:t>
      </w:r>
      <w:r>
        <w:rPr>
          <w:b/>
        </w:rPr>
        <w:t xml:space="preserve">Claude (Anthropic)</w:t>
      </w:r>
      <w:r>
        <w:t xml:space="preserve"> como asistente.</w:t>
      </w:r>
    </w:p>
    <w:p>
      <w:pPr>
        <w:jc w:val="both"/>
      </w:pPr>
      <w:r>
        <w:rPr>
          <w:b/>
        </w:rPr>
        <w:t xml:space="preserve">Qué generó la IA:</w:t>
      </w:r>
      <w:r>
        <w:t xml:space="preserve"> la consulta SQL de la matriz transaccional, el script de Python que produce el archivo </w:t>
      </w:r>
      <w:r>
        <w:rPr>
          <w:rFonts w:ascii="Consolas" w:hAnsi="Consolas"/>
          <w:sz w:val="17"/>
          <w:shd w:val="clear" w:fill="F2F3F6"/>
        </w:rPr>
        <w:t xml:space="preserve">.arff</w:t>
      </w:r>
      <w:r>
        <w:t xml:space="preserve">, las consultas de verificación de soporte/confianza/lift, los comandos de Weka y el diseño de la presentación web.</w:t>
      </w:r>
    </w:p>
    <w:p>
      <w:pPr>
        <w:jc w:val="both"/>
      </w:pPr>
      <w:r>
        <w:rPr>
          <w:b/>
        </w:rPr>
        <w:t xml:space="preserve">Qué hubo que corregir:</w:t>
      </w:r>
    </w:p>
    <w:p>
      <w:pPr>
        <w:pStyle w:val="Vinieta"/>
      </w:pPr>
      <w:r>
        <w:rPr>
          <w:b/>
        </w:rPr>
        <w:t xml:space="preserve">El agrupamiento por `IdVenta`.</w:t>
      </w:r>
      <w:r>
        <w:t xml:space="preserve"> Seguir el enunciado al pie producía canastas de un solo</w:t>
      </w:r>
    </w:p>
    <w:p>
      <w:pPr>
        <w:jc w:val="both"/>
      </w:pPr>
      <w:r>
        <w:t xml:space="preserve">ítem. Se detectó revisando el esquema real de la tabla.</w:t>
      </w:r>
    </w:p>
    <w:p>
      <w:pPr>
        <w:pStyle w:val="Vinieta"/>
      </w:pPr>
      <w:r>
        <w:rPr>
          <w:b/>
        </w:rPr>
        <w:t xml:space="preserve">El ranking por lift truncado.</w:t>
      </w:r>
      <w:r>
        <w:t xml:space="preserve"> Weka detenía la búsqueda en un soporte alto y ocultaba la</w:t>
      </w:r>
    </w:p>
    <w:p>
      <w:pPr>
        <w:jc w:val="both"/>
      </w:pPr>
      <w:r>
        <w:t xml:space="preserve">regla más fuerte del dataset.</w:t>
      </w:r>
    </w:p>
    <w:p>
      <w:pPr>
        <w:pStyle w:val="Vinieta"/>
      </w:pPr>
      <w:r>
        <w:rPr>
          <w:b/>
        </w:rPr>
        <w:t xml:space="preserve">Un pipeline de PowerShell</w:t>
      </w:r>
      <w:r>
        <w:t xml:space="preserve"> que truncó una salida de Weka y la dejó incompleta.</w:t>
      </w:r>
    </w:p>
    <w:p>
      <w:pPr>
        <w:jc w:val="both"/>
      </w:pPr>
      <w:r>
        <w:rPr>
          <w:b/>
        </w:rPr>
        <w:t xml:space="preserve">Dónde confiar ciegamente habría sido un riesgo.</w:t>
      </w:r>
      <w:r>
        <w:t xml:space="preserve"> No en el código —que falla de forma ruidosa— sino en los </w:t>
      </w:r>
      <w:r>
        <w:rPr>
          <w:b/>
        </w:rPr>
        <w:t xml:space="preserve">números</w:t>
      </w:r>
      <w:r>
        <w:t xml:space="preserve">. Si se hubieran solicitado los valores de soporte, confianza y lift a un modelo generativo, habría devuelto cifras perfectamente plausibles y no existía forma de detectarlo: nadie observa un lift de 7,45 y sospecha.</w:t>
      </w:r>
    </w:p>
    <w:p>
      <w:pPr>
        <w:jc w:val="both"/>
      </w:pPr>
      <w:r>
        <w:t xml:space="preserve">Existe un segundo riesgo, más sutil: la </w:t>
      </w:r>
      <w:r>
        <w:rPr>
          <w:b/>
        </w:rPr>
        <w:t xml:space="preserve">interpretación</w:t>
      </w:r>
      <w:r>
        <w:t xml:space="preserve">. Consultada sobre qué mecanismo de negocio explica una regla, una IA generativa encuentra una justificación convincente para cualquier par de productos, incluso para helado con detergente. Los modelos generativos son eficaces produciendo explicaciones plausibles, que es exactamente lo contrario de lo que requiere el paso 4 de la curaduría.</w:t>
      </w:r>
    </w:p>
    <w:p>
      <w:pPr>
        <w:jc w:val="both"/>
      </w:pPr>
      <w:r>
        <w:t xml:space="preserve">Por eso el trabajo se apoyó en </w:t>
      </w:r>
      <w:r>
        <w:rPr>
          <w:b/>
        </w:rPr>
        <w:t xml:space="preserve">dos cálculos independientes</w:t>
      </w:r>
      <w:r>
        <w:t xml:space="preserve"> —SQL contra la base y Weka sobre el </w:t>
      </w:r>
      <w:r>
        <w:rPr>
          <w:rFonts w:ascii="Consolas" w:hAnsi="Consolas"/>
          <w:sz w:val="17"/>
          <w:shd w:val="clear" w:fill="F2F3F6"/>
        </w:rPr>
        <w:t xml:space="preserve">.arff</w:t>
      </w:r>
      <w:r>
        <w:t xml:space="preserve">— que coinciden hasta el segundo decimal, y el juicio sobre el mecanismo se emitió antes de consultar los datos de estabilidad. </w:t>
      </w:r>
      <w:r>
        <w:rPr>
          <w:b/>
        </w:rPr>
        <w:t xml:space="preserve">Ningún valor de soporte, confianza o lift fue estimado.</w:t>
      </w:r>
    </w:p>
    <w:p>
      <w:pPr>
        <w:pBdr>
          <w:bottom w:val="single" w:sz="6" w:space="1" w:color="C8C8C8"/>
        </w:pBdr>
      </w:pPr>
    </w:p>
    <w:p>
      <w:pPr>
        <w:pStyle w:val="Heading2"/>
      </w:pPr>
      <w:r>
        <w:t xml:space="preserve">5. Conclusiones</w:t>
      </w:r>
    </w:p>
    <w:p>
      <w:pPr>
        <w:pStyle w:val="Vinieta"/>
      </w:pPr>
      <w:r>
        <w:rPr>
          <w:b/>
        </w:rPr>
        <w:t xml:space="preserve">La preparación de los datos consumió aproximadamente el 80 % del esfuerzo.</w:t>
      </w:r>
      <w:r>
        <w:t xml:space="preserve"> Las dos</w:t>
      </w:r>
    </w:p>
    <w:p>
      <w:pPr>
        <w:jc w:val="both"/>
      </w:pPr>
      <w:r>
        <w:t xml:space="preserve">corridas de Apriori sumaron 4,5 segundos. La desproporción se explica porque el algoritmo resuelve un problema cerrado, mientras que la preparación concentra todas las decisiones sin respuesta única: el grano, el recorte, qué hacer con los tickets de un solo ítem.</w:t>
      </w:r>
    </w:p>
    <w:p>
      <w:pPr>
        <w:pStyle w:val="Vinieta"/>
      </w:pPr>
      <w:r>
        <w:rPr>
          <w:b/>
        </w:rPr>
        <w:t xml:space="preserve">Leer la fuente antes de modelarla evitó un error que habría invalidado el trabajo.</w:t>
      </w:r>
      <w:r>
        <w:t xml:space="preserve"> El</w:t>
      </w:r>
    </w:p>
    <w:p>
      <w:pPr>
        <w:jc w:val="both"/>
      </w:pPr>
      <w:r>
        <w:t xml:space="preserve">enunciado indicaba agrupar por una columna que no es el ticket.</w:t>
      </w:r>
    </w:p>
    <w:p>
      <w:pPr>
        <w:pStyle w:val="Vinieta"/>
      </w:pPr>
      <w:r>
        <w:rPr>
          <w:b/>
        </w:rPr>
        <w:t xml:space="preserve">El algoritmo encuentra correlaciones; el analista encuentra hallazgos.</w:t>
      </w:r>
      <w:r>
        <w:t xml:space="preserve"> De 53 reglas</w:t>
      </w:r>
    </w:p>
    <w:p>
      <w:pPr>
        <w:jc w:val="both"/>
      </w:pPr>
      <w:r>
        <w:t xml:space="preserve">estadísticamente ciertas sobrevivieron 7. Las 46 restantes eran redundantes, implausibles o inestables — y todas tenían métricas válidas.</w:t>
      </w:r>
    </w:p>
    <w:p>
      <w:pPr>
        <w:pStyle w:val="Vinieta"/>
      </w:pPr>
      <w:r>
        <w:rPr>
          <w:b/>
        </w:rPr>
        <w:t xml:space="preserve">El criterio de negocio resultó ser un predictor de la validez estadística.</w:t>
      </w:r>
      <w:r>
        <w:t xml:space="preserve"> Que las</w:t>
      </w:r>
    </w:p>
    <w:p>
      <w:pPr>
        <w:jc w:val="both"/>
      </w:pPr>
      <w:r>
        <w:t xml:space="preserve">reglas con explicación plausible sean exactamente las que se sostienen entre 2024 y 2025 no estaba previsto, y es el resultado que da sustento a toda la curaduría.</w:t>
      </w:r>
    </w:p>
    <w:p>
      <w:pPr>
        <w:pBdr>
          <w:bottom w:val="single" w:sz="6" w:space="1" w:color="C8C8C8"/>
        </w:pBdr>
      </w:pPr>
    </w:p>
    <w:p>
      <w:pPr>
        <w:pStyle w:val="Heading2"/>
      </w:pPr>
      <w:r>
        <w:t xml:space="preserve">Anexos</w:t>
      </w:r>
    </w:p>
    <w:p>
      <w:pPr>
        <w:pStyle w:val="Vinieta"/>
      </w:pPr>
      <w:r>
        <w:rPr>
          <w:b/>
        </w:rPr>
        <w:t xml:space="preserve">Repositorio completo:</w:t>
      </w:r>
      <w:r>
        <w:t xml:space="preserve"> https://github.com/SantiagoSkrobacki/MiniRed-2</w:t>
      </w:r>
    </w:p>
    <w:p>
      <w:pPr>
        <w:pStyle w:val="Vinieta"/>
      </w:pPr>
      <w:r>
        <w:rPr>
          <w:b/>
        </w:rPr>
        <w:t xml:space="preserve">Presentación interactiva:</w:t>
      </w:r>
      <w:r>
        <w:t xml:space="preserve"> https://santiagoskrobacki.github.io/MiniRed-2/</w:t>
      </w:r>
    </w:p>
    <w:p>
      <w:pPr>
        <w:pStyle w:val="Vinieta"/>
      </w:pPr>
      <w:r>
        <w:rPr>
          <w:b/>
        </w:rPr>
        <w:t xml:space="preserve">Salidas crudas de Weka:</w:t>
      </w:r>
      <w:r>
        <w:t xml:space="preserve"> carpeta </w:t>
      </w:r>
      <w:r>
        <w:rPr>
          <w:rFonts w:ascii="Consolas" w:hAnsi="Consolas"/>
          <w:sz w:val="17"/>
          <w:shd w:val="clear" w:fill="F2F3F6"/>
        </w:rPr>
        <w:t xml:space="preserve">weka/</w:t>
      </w:r>
      <w:r>
        <w:t xml:space="preserve"> del repositorio (7 corridas)</w:t>
      </w:r>
    </w:p>
    <w:p>
      <w:pPr>
        <w:pStyle w:val="Vinieta"/>
      </w:pPr>
      <w:r>
        <w:rPr>
          <w:b/>
        </w:rPr>
        <w:t xml:space="preserve">Consulta SQL documentada:</w:t>
      </w:r>
      <w:r>
        <w:t xml:space="preserve"> </w:t>
      </w:r>
      <w:r>
        <w:rPr>
          <w:rFonts w:ascii="Consolas" w:hAnsi="Consolas"/>
          <w:sz w:val="17"/>
          <w:shd w:val="clear" w:fill="F2F3F6"/>
        </w:rPr>
        <w:t xml:space="preserve">sql/01_matriz_transaccional.sql</w:t>
      </w:r>
    </w:p>
    <w:p>
      <w:pPr>
        <w:pStyle w:val="Vinieta"/>
      </w:pPr>
      <w:r>
        <w:rPr>
          <w:b/>
        </w:rPr>
        <w:t xml:space="preserve">Reflexiones individuales:</w:t>
      </w:r>
      <w:r>
        <w:t xml:space="preserve"> se adjuntan por separado, una por integrante</w:t>
      </w:r>
    </w:p>
    <w:p>
      <w:pPr>
        <w:pBdr>
          <w:bottom w:val="single" w:sz="6" w:space="1" w:color="C8C8C8"/>
        </w:pBdr>
      </w:pPr>
    </w:p>
    <w:p>
      <w:pPr>
        <w:pStyle w:val="Heading1"/>
      </w:pPr>
      <w:r>
        <w:t xml:space="preserve">Fase 4 — Reflexiones individuales</w:t>
      </w:r>
    </w:p>
    <w:p>
      <w:pPr>
        <w:pStyle w:val="Heading1"/>
      </w:pPr>
      <w:r>
        <w:t xml:space="preserve">Reflexión individual</w:t>
      </w:r>
    </w:p>
    <w:p>
      <w:pPr>
        <w:jc w:val="both"/>
      </w:pPr>
      <w:r>
        <w:rPr>
          <w:b/>
        </w:rPr>
        <w:t xml:space="preserve">Santiago Skrobacki</w:t>
      </w:r>
    </w:p>
    <w:p>
      <w:pPr>
        <w:jc w:val="both"/>
      </w:pPr>
      <w:r>
        <w:rPr>
          <w:b/>
        </w:rPr>
        <w:t xml:space="preserve">Preparación de datos y ejecución del algoritmo.</w:t>
      </w:r>
      <w:r>
        <w:t xml:space="preserve"> Las dos corridas de Apriori tardaron 0,81 y 3,70 segundos: cuatro segundos y medio en total. Todo lo demás —entender el grano de </w:t>
      </w:r>
      <w:r>
        <w:rPr>
          <w:rFonts w:ascii="Consolas" w:hAnsi="Consolas"/>
          <w:sz w:val="17"/>
          <w:shd w:val="clear" w:fill="F2F3F6"/>
        </w:rPr>
        <w:t xml:space="preserve">Fact_Ventas</w:t>
      </w:r>
      <w:r>
        <w:t xml:space="preserve">, escribir la consulta, decidir qué tickets entraban, generar el archivo para Weka y verificar que los números cerraran— se llevó prácticamente todo el tiempo que le dedicamos. La Unidad 4 dice que la preparación consume la mayor parte del esfuerzo y uno lo lee y asiente; medirlo fue distinto. Entendí </w:t>
      </w:r>
      <w:r>
        <w:rPr>
          <w:i/>
        </w:rPr>
        <w:t xml:space="preserve">por qué</w:t>
      </w:r>
      <w:r>
        <w:t xml:space="preserve"> pasa: el algoritmo resuelve un problema cerrado, con una respuesta única, y por eso se automatiza. La preparación es donde están las preguntas que no tienen respuesta correcta, y ninguna de las nuestras venía resuelta en el enunciado.</w:t>
      </w:r>
    </w:p>
    <w:p>
      <w:pPr>
        <w:jc w:val="both"/>
      </w:pPr>
      <w:r>
        <w:rPr>
          <w:b/>
        </w:rPr>
        <w:t xml:space="preserve">La advertencia que estuvimos cerca de cometer.</w:t>
      </w:r>
      <w:r>
        <w:t xml:space="preserve"> Dar por buena una suposición sobre los datos sin verificarla contra la base. El enunciado indicaba agrupar por </w:t>
      </w:r>
      <w:r>
        <w:rPr>
          <w:rFonts w:ascii="Consolas" w:hAnsi="Consolas"/>
          <w:sz w:val="17"/>
          <w:shd w:val="clear" w:fill="F2F3F6"/>
        </w:rPr>
        <w:t xml:space="preserve">IdVenta</w:t>
      </w:r>
      <w:r>
        <w:t xml:space="preserve">, "el ticket", pero en </w:t>
      </w:r>
      <w:r>
        <w:rPr>
          <w:rFonts w:ascii="Consolas" w:hAnsi="Consolas"/>
          <w:sz w:val="17"/>
          <w:shd w:val="clear" w:fill="F2F3F6"/>
        </w:rPr>
        <w:t xml:space="preserve">MiniRed_DW</w:t>
      </w:r>
      <w:r>
        <w:t xml:space="preserve"> esa columna es la PK de la línea: el ticket es </w:t>
      </w:r>
      <w:r>
        <w:rPr>
          <w:rFonts w:ascii="Consolas" w:hAnsi="Consolas"/>
          <w:sz w:val="17"/>
          <w:shd w:val="clear" w:fill="F2F3F6"/>
        </w:rPr>
        <w:t xml:space="preserve">IdTicket</w:t>
      </w:r>
      <w:r>
        <w:t xml:space="preserve">. Siguiéndolo al pie, cada canasta habría tenido un solo producto y Apriori no habría devuelto nada. Lo encontramos revisando las columnas antes de escribir la consulta, casi de casualidad; si no, habríamos pasado horas buscando por qué "no hay patrones" cuando el problema estaba en nuestro </w:t>
      </w:r>
      <w:r>
        <w:rPr>
          <w:rFonts w:ascii="Consolas" w:hAnsi="Consolas"/>
          <w:sz w:val="17"/>
          <w:shd w:val="clear" w:fill="F2F3F6"/>
        </w:rPr>
        <w:t xml:space="preserve">GROUP BY</w:t>
      </w:r>
      <w:r>
        <w:t xml:space="preserve">. Me llevo que la fuente gana sobre lo que uno cree de la fuente, incluso cuando eso viene escrito en la consigna.</w:t>
      </w:r>
    </w:p>
    <w:p>
      <w:pPr>
        <w:jc w:val="both"/>
      </w:pPr>
      <w:r>
        <w:rPr>
          <w:b/>
        </w:rPr>
        <w:t xml:space="preserve">El rol de la IA.</w:t>
      </w:r>
      <w:r>
        <w:t xml:space="preserve"> El riesgo no estaba en el código —el código falla ruidosamente— sino en los números. Si le hubiéramos pedido el soporte y el lift en vez de calcularlos, habría devuelto cifras creíbles y no teníamos forma de detectarlo: nadie mira un lift de 7,45 y sospecha. Por eso los calculamos por dos caminos separados, SQL contra la base y Weka sobre el </w:t>
      </w:r>
      <w:r>
        <w:rPr>
          <w:rFonts w:ascii="Consolas" w:hAnsi="Consolas"/>
          <w:sz w:val="17"/>
          <w:shd w:val="clear" w:fill="F2F3F6"/>
        </w:rPr>
        <w:t xml:space="preserve">.arff</w:t>
      </w:r>
      <w:r>
        <w:t xml:space="preserve">, y coincidieron al segundo decimal. Un número que no se puede reproducir por dos vías no entra al informe.</w:t>
      </w:r>
    </w:p>
    <w:p>
      <w:pPr>
        <w:pBdr>
          <w:bottom w:val="single" w:sz="6" w:space="1" w:color="C8C8C8"/>
        </w:pBdr>
      </w:pPr>
    </w:p>
    <w:p>
      <w:pPr>
        <w:pStyle w:val="Heading1"/>
      </w:pPr>
      <w:r>
        <w:t xml:space="preserve">Reflexión individual</w:t>
      </w:r>
    </w:p>
    <w:p>
      <w:pPr>
        <w:jc w:val="both"/>
      </w:pPr>
      <w:r>
        <w:rPr>
          <w:b/>
        </w:rPr>
        <w:t xml:space="preserve">(Nombre del segundo integrante)</w:t>
      </w:r>
    </w:p>
    <w:p>
      <w:pPr>
        <w:jc w:val="both"/>
      </w:pPr>
      <w:r>
        <w:rPr>
          <w:b/>
        </w:rPr>
        <w:t xml:space="preserve">Preparación de datos y ejecución del algoritmo.</w:t>
      </w:r>
      <w:r>
        <w:t xml:space="preserve"> Calculo que entre el 80 y el 90 % del tiempo se fue en la Fase 0. Apriori procesó 67.521 transacciones en 3,70 segundos y FP-Growth en 0,48; elegir </w:t>
      </w:r>
      <w:r>
        <w:rPr>
          <w:i/>
        </w:rPr>
        <w:t xml:space="preserve">cuáles</w:t>
      </w:r>
      <w:r>
        <w:t xml:space="preserve"> 67.521 transacciones nos llevó una tarde. Lo que me sorprendió es que la decisión más importante del trabajo no fue técnica sino de criterio: el 69 % de los tickets de MiniRed tiene un solo producto, 152.944 de 220.465. Esos tickets no pueden generar ninguna regla, pero engordan el denominador y hunden todos los soportes. Sacarlos no lo decide ninguna herramienta. Eso es lo que la Unidad 4 quiere decir cuando habla de que la preparación define el proyecto: no es la etapa más larga, es donde se toman las decisiones que después nadie revisa.</w:t>
      </w:r>
    </w:p>
    <w:p>
      <w:pPr>
        <w:jc w:val="both"/>
      </w:pPr>
      <w:r>
        <w:rPr>
          <w:b/>
        </w:rPr>
        <w:t xml:space="preserve">La advertencia que estuvimos cerca de cometer.</w:t>
      </w:r>
      <w:r>
        <w:t xml:space="preserve"> Confundir una correlación fuerte con un hallazgo. Nuestra regla </w:t>
      </w:r>
      <w:r>
        <w:rPr>
          <w:rFonts w:ascii="Consolas" w:hAnsi="Consolas"/>
          <w:sz w:val="17"/>
          <w:shd w:val="clear" w:fill="F2F3F6"/>
        </w:rPr>
        <w:t xml:space="preserve">Palitos Helados → Detergente</w:t>
      </w:r>
      <w:r>
        <w:t xml:space="preserve"> tiene lift 7,45, el cuarto más alto del dataset, y no hay ninguna explicación de por qué alguien compraría helado con detergente. Si ordenábamos por lift y presentábamos las primeras, entraba sin discusión. Lo evitamos aplicando el paso 4 —exigirle a cada regla un mecanismo de negocio— antes que el orden por lift, y después recalculando el lift por año: las reglas con explicación varían menos del 12 %, las implausibles nunca menos del 29 %. Peor todavía, hay pares que pasan de lift 0,08 a 4,52 entre 2024 y 2025; eso no es un cambio de hábito sino un cambio en cómo se generaron los datos, y las métricas lo respaldaban igual.</w:t>
      </w:r>
    </w:p>
    <w:p>
      <w:pPr>
        <w:jc w:val="both"/>
      </w:pPr>
      <w:r>
        <w:rPr>
          <w:b/>
        </w:rPr>
        <w:t xml:space="preserve">El rol de la IA.</w:t>
      </w:r>
      <w:r>
        <w:t xml:space="preserve"> Confiar ciegamente hubiera sido riesgoso en la interpretación. Si le preguntábamos qué mecanismo explica una regla, habría encontrado una justificación convincente para cualquier par de productos, incluso para helado con detergente. Los modelos generativos son muy buenos produciendo explicaciones plausibles, que es lo contrario de lo que necesita un paso que existe justamente para filtrar lo que suena razonable y no lo es. Por eso el juicio sobre el mecanismo lo tomamos primero nosotros y recién después lo contrastamos contra la estabilidad entre años, que sale de la base y no de una opinión.</w:t>
      </w:r>
    </w:p>
    <w:p>
      <w:pPr>
        <w:pBdr>
          <w:bottom w:val="single" w:sz="6" w:space="1" w:color="C8C8C8"/>
        </w:pBdr>
      </w:pPr>
    </w:p>
    <w:sectPr>
      <w:pgSz w:w="11906" w:h="16838"/>
      <w:pgMar w:top="1000" w:right="1000" w:bottom="1000" w:left="1000" w:header="510" w:footer="510" w:gutter="0"/>
    </w:sectPr>
  </w:body>
</w:document>
</file>

<file path=word/numbering.xml><?xml version="1.0" encoding="utf-8"?>
<w:numbering xmlns:w="http://schemas.openxmlformats.org/wordprocessingml/2006/main" xmlns:r="http://schemas.openxmlformats.org/officeDocument/2006/relationships">
  <w:abstractNum w:abstractNumId="0">
    <w:lvl w:ilvl="0">
      <w:start w:val="1"/>
      <w:numFmt w:val="bullet"/>
      <w:lvlText w:val="•"/>
      <w:lvlJc w:val="left"/>
      <w:pPr>
        <w:ind w:left="400" w:hanging="200"/>
      </w:pPr>
      <w:rPr>
        <w:rFonts w:ascii="Symbol" w:hAnsi="Symbol"/>
      </w:rPr>
    </w:lvl>
  </w:abstractNum>
  <w:num w:numId="1">
    <w:abstractNumId w:val="0"/>
  </w:num>
</w:numbering>
</file>

<file path=word/styles.xml><?xml version="1.0" encoding="utf-8"?>
<w:styles xmlns:w="http://schemas.openxmlformats.org/wordprocessingml/2006/main" xmlns:r="http://schemas.openxmlformats.org/officeDocument/2006/relationships">
  <w:docDefaults>
    <w:rPrDefault>
      <w:rPr>
        <w:rFonts w:ascii="Georgia" w:hAnsi="Georgia"/>
        <w:sz w:val="20"/>
        <w:szCs w:val="20"/>
        <w:lang w:val="es-AR"/>
      </w:rPr>
    </w:rPrDefault>
    <w:pPrDefault>
      <w:pPr>
        <w:spacing w:after="90" w:line="250" w:lineRule="auto"/>
      </w:pPr>
    </w:pPrDefault>
  </w:docDefaults>
  <w:style w:type="paragraph" w:styleId="Normal">
    <w:name w:val="Normal"/>
    <w:pPr/>
    <w:rPr>
      <w:rFonts w:ascii="Georgia" w:hAnsi="Georgia"/>
      <w:sz w:val="20"/>
    </w:rPr>
  </w:style>
  <w:style w:type="paragraph" w:styleId="Heading1">
    <w:name w:val="heading 1"/>
    <w:pPr>
      <w:spacing w:before="0" w:after="120"/>
      <w:outlineLvl w:val="0"/>
    </w:pPr>
    <w:rPr>
      <w:rFonts w:ascii="Segoe UI" w:hAnsi="Segoe UI"/>
      <w:b/>
      <w:sz w:val="32"/>
      <w:color w:val="12213F"/>
    </w:rPr>
  </w:style>
  <w:style w:type="paragraph" w:styleId="Heading2">
    <w:name w:val="heading 2"/>
    <w:pPr>
      <w:spacing w:before="220" w:after="100"/>
      <w:outlineLvl w:val="1"/>
      <w:pBdr>
        <w:bottom w:val="single" w:sz="8" w:space="3" w:color="12213F"/>
      </w:pBdr>
    </w:pPr>
    <w:rPr>
      <w:rFonts w:ascii="Segoe UI" w:hAnsi="Segoe UI"/>
      <w:b/>
      <w:sz w:val="24"/>
      <w:color w:val="12213F"/>
    </w:rPr>
  </w:style>
  <w:style w:type="paragraph" w:styleId="Heading3">
    <w:name w:val="heading 3"/>
    <w:pPr>
      <w:spacing w:before="150" w:after="60"/>
      <w:outlineLvl w:val="2"/>
    </w:pPr>
    <w:rPr>
      <w:rFonts w:ascii="Segoe UI" w:hAnsi="Segoe UI"/>
      <w:b/>
      <w:sz w:val="21"/>
      <w:color w:val="2B3A67"/>
    </w:rPr>
  </w:style>
  <w:style w:type="paragraph" w:styleId="Codigo">
    <w:name w:val="Codigo"/>
    <w:pPr>
      <w:spacing w:after="0" w:line="240" w:lineRule="auto"/>
      <w:ind w:left="220"/>
      <w:shd w:val="clear" w:fill="F5F6F8"/>
      <w:pBdr>
        <w:left w:val="single" w:sz="18" w:space="6" w:color="2B3A67"/>
      </w:pBdr>
    </w:pPr>
    <w:rPr>
      <w:rFonts w:ascii="Consolas" w:hAnsi="Consolas"/>
      <w:sz w:val="17"/>
    </w:rPr>
  </w:style>
  <w:style w:type="paragraph" w:styleId="Destacado">
    <w:name w:val="Destacado"/>
    <w:pPr>
      <w:spacing w:before="120" w:after="120"/>
      <w:ind w:left="220" w:right="160"/>
      <w:shd w:val="clear" w:fill="EEF1F7"/>
      <w:pBdr>
        <w:left w:val="single" w:sz="18" w:space="8" w:color="2B3A67"/>
      </w:pBdr>
    </w:pPr>
    <w:rPr>
      <w:rFonts w:ascii="Georgia" w:hAnsi="Georgia"/>
      <w:sz w:val="20"/>
    </w:rPr>
  </w:style>
  <w:style w:type="paragraph" w:styleId="TablaTexto">
    <w:name w:val="TablaTexto"/>
    <w:pPr>
      <w:spacing w:before="20" w:after="20" w:line="230" w:lineRule="auto"/>
    </w:pPr>
    <w:rPr>
      <w:rFonts w:ascii="Segoe UI" w:hAnsi="Segoe UI"/>
      <w:sz w:val="17"/>
    </w:rPr>
  </w:style>
  <w:style w:type="paragraph" w:styleId="Vinieta">
    <w:name w:val="Vinieta"/>
    <w:pPr>
      <w:numPr>
        <w:ilvl w:val="0"/>
        <w:numId w:val="1"/>
      </w:numPr>
      <w:spacing w:after="60"/>
      <w:ind w:left="400" w:hanging="200"/>
    </w:pPr>
    <w:rPr>
      <w:rFonts w:ascii="Georgia" w:hAnsi="Georgia"/>
      <w:sz w:val="20"/>
    </w:rPr>
  </w:style>
  <w:style w:type="paragraph" w:styleId="Espaciador">
    <w:name w:val="Espaciador"/>
    <w:pPr>
      <w:spacing w:after="0" w:line="120" w:lineRule="exact"/>
    </w:pPr>
    <w:rPr>
      <w:sz w:val="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