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color w:val="808080"/>
          <w:sz w:val="12"/>
          <w:szCs w:val="12"/>
        </w:rPr>
        <w:drawing>
          <wp:inline distB="0" distT="0" distL="0" distR="0">
            <wp:extent cx="716280" cy="952500"/>
            <wp:effectExtent b="0" l="0" r="0" t="0"/>
            <wp:docPr descr="logotipoudea" id="1" name="image1.png"/>
            <a:graphic>
              <a:graphicData uri="http://schemas.openxmlformats.org/drawingml/2006/picture">
                <pic:pic>
                  <pic:nvPicPr>
                    <pic:cNvPr descr="logotipoude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PREINFORME SEÑALES EEG 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Demostración adquisición de Señales EEG 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Santiago Tabares, Juan Andres Melo</w:t>
      </w:r>
    </w:p>
    <w:p w:rsidR="00000000" w:rsidDel="00000000" w:rsidP="00000000" w:rsidRDefault="00000000" w:rsidRPr="00000000" w14:paraId="00000005">
      <w:pPr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Bioingeniería, Facultad de Ingeniería, Universidad de Antioquia</w:t>
      </w:r>
    </w:p>
    <w:p w:rsidR="00000000" w:rsidDel="00000000" w:rsidP="00000000" w:rsidRDefault="00000000" w:rsidRPr="00000000" w14:paraId="00000006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Agosto 12, 2024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___________________________________________________________________________________________________________________________________ </w:t>
      </w:r>
    </w:p>
    <w:p w:rsidR="00000000" w:rsidDel="00000000" w:rsidP="00000000" w:rsidRDefault="00000000" w:rsidRPr="00000000" w14:paraId="00000008">
      <w:pPr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Resumen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 este documento se da respuesta al numeral 6 (preinforme) de la guía Introducción a la actividad espontánea y adquisición de señales EEG.  </w:t>
      </w:r>
    </w:p>
    <w:p w:rsidR="00000000" w:rsidDel="00000000" w:rsidP="00000000" w:rsidRDefault="00000000" w:rsidRPr="00000000" w14:paraId="0000000A">
      <w:pPr>
        <w:rPr>
          <w:b w:val="1"/>
          <w:sz w:val="16"/>
          <w:szCs w:val="16"/>
        </w:rPr>
        <w:sectPr>
          <w:pgSz w:h="15840" w:w="12240" w:orient="portrait"/>
          <w:pgMar w:bottom="567" w:top="426" w:left="851" w:right="900" w:header="708" w:footer="708"/>
          <w:pgNumType w:start="1"/>
        </w:sectPr>
      </w:pPr>
      <w:r w:rsidDel="00000000" w:rsidR="00000000" w:rsidRPr="00000000">
        <w:rPr>
          <w:b w:val="1"/>
          <w:sz w:val="16"/>
          <w:szCs w:val="16"/>
          <w:rtl w:val="0"/>
        </w:rPr>
        <w:t xml:space="preserve">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rPr>
          <w:b w:val="1"/>
          <w:sz w:val="16"/>
          <w:szCs w:val="16"/>
        </w:rPr>
        <w:sectPr>
          <w:type w:val="continuous"/>
          <w:pgSz w:h="15840" w:w="12240" w:orient="portrait"/>
          <w:pgMar w:bottom="567" w:top="426" w:left="851" w:right="90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0"/>
        </w:tabs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 </w:t>
      </w:r>
      <w:r w:rsidDel="00000000" w:rsidR="00000000" w:rsidRPr="00000000">
        <w:rPr>
          <w:b w:val="1"/>
          <w:sz w:val="16"/>
          <w:szCs w:val="16"/>
          <w:rtl w:val="0"/>
        </w:rPr>
        <w:t xml:space="preserve">Características de un montaje EEG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0"/>
        </w:tabs>
        <w:spacing w:after="0" w:before="0" w:line="240" w:lineRule="auto"/>
        <w:ind w:left="36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0"/>
        </w:tabs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Equipo de encefalografía</w:t>
      </w:r>
      <w:r w:rsidDel="00000000" w:rsidR="00000000" w:rsidRPr="00000000">
        <w:rPr>
          <w:sz w:val="16"/>
          <w:szCs w:val="16"/>
          <w:rtl w:val="0"/>
        </w:rPr>
        <w:t xml:space="preserve">: El electroencefalograma (EEG) es una técnica de exploración funcional del sistema nervioso central (SNC) que registra la actividad eléctrica cerebral en tiempo real.</w:t>
        <w:br w:type="textWrapping"/>
      </w:r>
    </w:p>
    <w:p w:rsidR="00000000" w:rsidDel="00000000" w:rsidP="00000000" w:rsidRDefault="00000000" w:rsidRPr="00000000" w14:paraId="0000000F">
      <w:pPr>
        <w:tabs>
          <w:tab w:val="left" w:leader="none" w:pos="5070"/>
        </w:tabs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Electrodos: Se utilizan electrodos fijados al cuero cabelludo, que captan las diferencias de potencial eléctrico originadas por las neuronas piramidales de la corteza cerebral.</w:t>
      </w:r>
    </w:p>
    <w:p w:rsidR="00000000" w:rsidDel="00000000" w:rsidP="00000000" w:rsidRDefault="00000000" w:rsidRPr="00000000" w14:paraId="00000010">
      <w:pPr>
        <w:tabs>
          <w:tab w:val="left" w:leader="none" w:pos="5070"/>
        </w:tabs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070"/>
        </w:tabs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Montaje de electrodos: Los electrodos pueden ser colocados en el cuero cabelludo (EEG estándar), en la superficie cortical (EEG cortical) o </w:t>
      </w:r>
      <w:r w:rsidDel="00000000" w:rsidR="00000000" w:rsidRPr="00000000">
        <w:rPr>
          <w:sz w:val="16"/>
          <w:szCs w:val="16"/>
          <w:rtl w:val="0"/>
        </w:rPr>
        <w:t xml:space="preserve">intracerebralmente</w:t>
      </w:r>
      <w:r w:rsidDel="00000000" w:rsidR="00000000" w:rsidRPr="00000000">
        <w:rPr>
          <w:sz w:val="16"/>
          <w:szCs w:val="16"/>
          <w:rtl w:val="0"/>
        </w:rPr>
        <w:t xml:space="preserve"> (EEG de profundidad).</w:t>
      </w:r>
    </w:p>
    <w:p w:rsidR="00000000" w:rsidDel="00000000" w:rsidP="00000000" w:rsidRDefault="00000000" w:rsidRPr="00000000" w14:paraId="00000012">
      <w:pPr>
        <w:tabs>
          <w:tab w:val="left" w:leader="none" w:pos="5070"/>
        </w:tabs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070"/>
        </w:tabs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Sistema de colocación: En el EEG estándar, los electrodos se colocan de acuerdo al sistema internacional 10-20. Se utilizan entre 16 y 24 derivaciones en cada montaje.</w:t>
      </w:r>
    </w:p>
    <w:p w:rsidR="00000000" w:rsidDel="00000000" w:rsidP="00000000" w:rsidRDefault="00000000" w:rsidRPr="00000000" w14:paraId="00000014">
      <w:pPr>
        <w:tabs>
          <w:tab w:val="left" w:leader="none" w:pos="5070"/>
        </w:tabs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5070"/>
        </w:tabs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Digitalización: Actualmente, se utilizan amplificadores digitales que facilitan la adquisición, análisis y almacenamiento de las señales, permitiendo modificaciones de parámetros durante y después de la grabación. [1]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0"/>
        </w:tabs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0"/>
        </w:tabs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0"/>
        </w:tabs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b w:val="1"/>
          <w:sz w:val="16"/>
          <w:szCs w:val="16"/>
          <w:rtl w:val="0"/>
        </w:rPr>
        <w:t xml:space="preserve">Tipos de montaje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0"/>
        </w:tabs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5070"/>
        </w:tabs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Montaje Bipolar:</w:t>
      </w:r>
    </w:p>
    <w:p w:rsidR="00000000" w:rsidDel="00000000" w:rsidP="00000000" w:rsidRDefault="00000000" w:rsidRPr="00000000" w14:paraId="0000001B">
      <w:pPr>
        <w:tabs>
          <w:tab w:val="left" w:leader="none" w:pos="5070"/>
        </w:tabs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leader="none" w:pos="5070"/>
        </w:tabs>
        <w:spacing w:after="0" w:line="240" w:lineRule="auto"/>
        <w:ind w:left="720" w:hanging="36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Transversal y longitudinal: Registra la diferencia de voltaje entre dos electrodos colocados en áreas de actividad cerebral. Este tipo de montaje es útil para localizar la actividad eléctrica entre dos puntos del cerebro.</w:t>
      </w:r>
    </w:p>
    <w:p w:rsidR="00000000" w:rsidDel="00000000" w:rsidP="00000000" w:rsidRDefault="00000000" w:rsidRPr="00000000" w14:paraId="0000001D">
      <w:pPr>
        <w:tabs>
          <w:tab w:val="left" w:leader="none" w:pos="5070"/>
        </w:tabs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5070"/>
        </w:tabs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Montaje Monopolar (Referencial):</w:t>
      </w:r>
    </w:p>
    <w:p w:rsidR="00000000" w:rsidDel="00000000" w:rsidP="00000000" w:rsidRDefault="00000000" w:rsidRPr="00000000" w14:paraId="0000001F">
      <w:pPr>
        <w:tabs>
          <w:tab w:val="left" w:leader="none" w:pos="5070"/>
        </w:tabs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tabs>
          <w:tab w:val="left" w:leader="none" w:pos="5070"/>
        </w:tabs>
        <w:spacing w:after="0" w:line="240" w:lineRule="auto"/>
        <w:ind w:left="720" w:hanging="36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Registra la diferencia de potencial entre un electrodo ubicado en una zona cerebral activa y otro en un área sin actividad o neutra (como el lóbulo de la oreja).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tabs>
          <w:tab w:val="left" w:leader="none" w:pos="5070"/>
        </w:tabs>
        <w:spacing w:after="0" w:line="240" w:lineRule="auto"/>
        <w:ind w:left="720" w:hanging="36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También puede registrar la diferencia de voltaje entre un electrodo en una zona activa y el promedio de todos o algunos de los electrodos activos. [1]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0"/>
        </w:tabs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0"/>
        </w:tabs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0"/>
        </w:tabs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b w:val="1"/>
          <w:sz w:val="16"/>
          <w:szCs w:val="16"/>
          <w:rtl w:val="0"/>
        </w:rPr>
        <w:t xml:space="preserve">Recomendaciones durante la adquisición de señales en reposo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0"/>
        </w:tabs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left" w:leader="none" w:pos="5070"/>
        </w:tabs>
        <w:spacing w:after="0" w:line="240" w:lineRule="auto"/>
        <w:ind w:left="720" w:hanging="36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Preparación del paciente:El paciente debe estar relajado, en un ambiente de semipenumbra y con los ojos cerrados. Es importante que haya dormido lo habitual la noche anterior, excepto en casos de EEG con privación de sueño.</w:t>
      </w:r>
    </w:p>
    <w:p w:rsidR="00000000" w:rsidDel="00000000" w:rsidP="00000000" w:rsidRDefault="00000000" w:rsidRPr="00000000" w14:paraId="00000027">
      <w:pPr>
        <w:tabs>
          <w:tab w:val="left" w:leader="none" w:pos="5070"/>
        </w:tabs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5070"/>
        </w:tabs>
        <w:spacing w:after="0" w:line="240" w:lineRule="auto"/>
        <w:ind w:left="720" w:hanging="36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Condiciones del registro: La duración del EEG estándar debe ser de al menos 30 minutos e incluir técnicas de activación como la fotoestimulación intermitente y la hiperventilación.</w:t>
      </w:r>
    </w:p>
    <w:p w:rsidR="00000000" w:rsidDel="00000000" w:rsidP="00000000" w:rsidRDefault="00000000" w:rsidRPr="00000000" w14:paraId="00000029">
      <w:pPr>
        <w:tabs>
          <w:tab w:val="left" w:leader="none" w:pos="5070"/>
        </w:tabs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tabs>
          <w:tab w:val="left" w:leader="none" w:pos="5070"/>
        </w:tabs>
        <w:spacing w:after="0" w:line="240" w:lineRule="auto"/>
        <w:ind w:left="720" w:hanging="36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Consideraciones sobre medicación: No es necesario suspender la medicación habitual, pero debe anotarse para una interpretación adecuada. La medicación antiepiléptica solo se suspende si se desea registrar una crisis en vídeo.</w:t>
      </w:r>
    </w:p>
    <w:p w:rsidR="00000000" w:rsidDel="00000000" w:rsidP="00000000" w:rsidRDefault="00000000" w:rsidRPr="00000000" w14:paraId="0000002B">
      <w:pPr>
        <w:tabs>
          <w:tab w:val="left" w:leader="none" w:pos="5070"/>
        </w:tabs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leader="none" w:pos="5070"/>
        </w:tabs>
        <w:spacing w:after="0" w:line="240" w:lineRule="auto"/>
        <w:ind w:left="720" w:hanging="36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Técnicas de activación: existen dos tipos de activación, hiperventilación y fotoestimulación intermitente, en la hiperventilación el paciente respira profunda y regularmente por la boca durante unos 3 minutos. Está contraindicada en algunos casos, como edad muy avanzada, enfermedad cardíaca o pulmonar severa, infarto agudo de miocardio, hemorragia cerebrovascular reciente, hipertensión arterial no controlada, mientras que en la fotoestimulación intermitente se aplican estímulos luminosos a diversas frecuencias para determinar el umbral de fotosensibilidad </w:t>
      </w:r>
      <w:r w:rsidDel="00000000" w:rsidR="00000000" w:rsidRPr="00000000">
        <w:rPr>
          <w:sz w:val="16"/>
          <w:szCs w:val="16"/>
          <w:rtl w:val="0"/>
        </w:rPr>
        <w:t xml:space="preserve">del</w:t>
      </w:r>
      <w:r w:rsidDel="00000000" w:rsidR="00000000" w:rsidRPr="00000000">
        <w:rPr>
          <w:sz w:val="16"/>
          <w:szCs w:val="16"/>
          <w:rtl w:val="0"/>
        </w:rPr>
        <w:t xml:space="preserve"> paciente. Se inicia con los ojos abiertos y luego cerrados, subiendo y bajando la frecuencia.</w:t>
      </w:r>
    </w:p>
    <w:p w:rsidR="00000000" w:rsidDel="00000000" w:rsidP="00000000" w:rsidRDefault="00000000" w:rsidRPr="00000000" w14:paraId="0000002D">
      <w:pPr>
        <w:tabs>
          <w:tab w:val="left" w:leader="none" w:pos="5070"/>
        </w:tabs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tabs>
          <w:tab w:val="left" w:leader="none" w:pos="5070"/>
        </w:tabs>
        <w:spacing w:after="0" w:line="240" w:lineRule="auto"/>
        <w:ind w:left="720" w:hanging="36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Contraindicaciones y precauciones: La sedación no debe realizarse ya que altera profundamente la actividad eléctrica cerebral, a menos que el paciente no coopere.</w:t>
      </w:r>
    </w:p>
    <w:p w:rsidR="00000000" w:rsidDel="00000000" w:rsidP="00000000" w:rsidRDefault="00000000" w:rsidRPr="00000000" w14:paraId="0000002F">
      <w:pPr>
        <w:tabs>
          <w:tab w:val="left" w:leader="none" w:pos="5070"/>
        </w:tabs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tabs>
          <w:tab w:val="left" w:leader="none" w:pos="5070"/>
        </w:tabs>
        <w:spacing w:after="0" w:line="240" w:lineRule="auto"/>
        <w:ind w:left="720" w:hanging="36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Duración y técnicas adicionales:Técnicas adicionales como la privación de sueño y el uso de sedación solo se emplean en situaciones específicas. [1]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0"/>
        </w:tabs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0"/>
        </w:tabs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0"/>
        </w:tabs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Referencias </w:t>
      </w:r>
    </w:p>
    <w:p w:rsidR="00000000" w:rsidDel="00000000" w:rsidP="00000000" w:rsidRDefault="00000000" w:rsidRPr="00000000" w14:paraId="00000034">
      <w:pPr>
        <w:spacing w:after="0" w:line="240" w:lineRule="auto"/>
        <w:ind w:lef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F. Ramos-Argüelles, G. Morales, S. Egozcue, R. M. Pabón y M. T. Alonso, “Técnicas básicas de electroencefalografía: principios y aplicaciones clínicas”, Anales del Sist. Sanitario de Navarra, vol. 32, 2009. Accedido el 11 de agosto de 2024. [En línea]. </w:t>
      </w:r>
      <w:r w:rsidDel="00000000" w:rsidR="00000000" w:rsidRPr="00000000">
        <w:rPr>
          <w:sz w:val="16"/>
          <w:szCs w:val="16"/>
          <w:rtl w:val="0"/>
        </w:rPr>
        <w:t xml:space="preserve">Disponible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https://doi.org/10.4321/s1137-66272009000600006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0"/>
        </w:tabs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67" w:top="426" w:left="851" w:right="900" w:header="708" w:footer="708"/>
      <w:cols w:equalWidth="0" w:num="2">
        <w:col w:space="708" w:w="4890.500000000001"/>
        <w:col w:space="0" w:w="4890.50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[%1]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i.org/10.4321/s1137-6627200900060000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0x01010046276CA5596C1A41AC00392C88B4D1E5</vt:lpwstr>
  </property>
  <property fmtid="{D5CDD505-2E9C-101B-9397-08002B2CF9AE}" pid="3" name="Order">
    <vt:lpwstr>400</vt:lpwstr>
  </property>
  <property fmtid="{D5CDD505-2E9C-101B-9397-08002B2CF9AE}" pid="4" name="xd_Signature">
    <vt:lpwstr>false</vt:lpwstr>
  </property>
  <property fmtid="{D5CDD505-2E9C-101B-9397-08002B2CF9AE}" pid="5" name="xd_ProgID">
    <vt:lpwstr>xd_ProgID</vt:lpwstr>
  </property>
  <property fmtid="{D5CDD505-2E9C-101B-9397-08002B2CF9AE}" pid="6" name="_ExtendedDescription">
    <vt:lpwstr>_ExtendedDescription</vt:lpwstr>
  </property>
  <property fmtid="{D5CDD505-2E9C-101B-9397-08002B2CF9AE}" pid="7" name="TriggerFlowInfo">
    <vt:lpwstr>TriggerFlowInfo</vt:lpwstr>
  </property>
  <property fmtid="{D5CDD505-2E9C-101B-9397-08002B2CF9AE}" pid="8" name="_SourceUrl">
    <vt:lpwstr>_SourceUrl</vt:lpwstr>
  </property>
  <property fmtid="{D5CDD505-2E9C-101B-9397-08002B2CF9AE}" pid="9" name="_SharedFileIndex">
    <vt:lpwstr>_SharedFileIndex</vt:lpwstr>
  </property>
  <property fmtid="{D5CDD505-2E9C-101B-9397-08002B2CF9AE}" pid="10" name="ComplianceAssetId">
    <vt:lpwstr>ComplianceAssetId</vt:lpwstr>
  </property>
  <property fmtid="{D5CDD505-2E9C-101B-9397-08002B2CF9AE}" pid="11" name="TemplateUrl">
    <vt:lpwstr>TemplateUrl</vt:lpwstr>
  </property>
</Properties>
</file>