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de pruebas de rendimiento de ParaBank</w:t>
      </w:r>
    </w:p>
    <w:p>
      <w:pPr>
        <w:spacing w:after="240"/>
      </w:pPr>
      <w:r>
        <w:rPr>
          <w:b/>
        </w:rPr>
        <w:t>Actividad grupal con Gatling y GitHub Actions</w:t>
      </w:r>
    </w:p>
    <w:p>
      <w:pPr>
        <w:pStyle w:val="Heading1"/>
      </w:pPr>
      <w:r>
        <w:t>Resumen de lo realizado</w:t>
      </w:r>
    </w:p>
    <w:p>
      <w:r>
        <w:t>El equipo desplegó localmente la imagen oficial de ParaBank en un contenedor fijado por digest y accesible solo por loopback. Se ejecutaron smoke funcionales de las cinco historias contra su API OpenAPI 3.0.0: login 2/2, transferencias 50/50 a 5 solicitudes por segundo, movimientos 2/2, préstamo 1/1 y pagos 2/2. Las 50 transferencias se conciliaron con 100 movimientos y los 2 pagos con 2 débitos. Estas corridas validan contrato e integridad en bajo volumen; no demuestran los umbrales de carga alta.</w:t>
      </w:r>
    </w:p>
    <w:p>
      <w:pPr>
        <w:pStyle w:val="Heading1"/>
      </w:pPr>
      <w:r>
        <w:t>Alcance previsto de las pruebas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6463"/>
      </w:tblGrid>
      <w:tr>
        <w:tc>
          <w:tcPr>
            <w:tcW w:type="dxa" w:w="4759"/>
            <w:vAlign w:val="center"/>
            <w:shd w:fill="E9EEF2"/>
          </w:tcPr>
          <w:p>
            <w:r>
              <w:rPr>
                <w:b/>
              </w:rPr>
              <w:t>Servicio</w:t>
            </w:r>
          </w:p>
        </w:tc>
        <w:tc>
          <w:tcPr>
            <w:tcW w:type="dxa" w:w="4759"/>
            <w:vAlign w:val="center"/>
            <w:shd w:fill="E9EEF2"/>
          </w:tcPr>
          <w:p>
            <w:r>
              <w:rPr>
                <w:b/>
              </w:rPr>
              <w:t>Criterio principal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Inicio de sesión</w:t>
            </w:r>
          </w:p>
        </w:tc>
        <w:tc>
          <w:tcPr>
            <w:tcW w:type="dxa" w:w="6463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100 y 200 usuarios simultáneos; tiempos límite de 2 y 5 segundos.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Transferencias</w:t>
            </w:r>
          </w:p>
        </w:tc>
        <w:tc>
          <w:tcPr>
            <w:tcW w:type="dxa" w:w="6463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Al menos 150 operaciones confirmadas por segundo; feeder CSV y conciliación.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Estado de cuenta</w:t>
            </w:r>
          </w:p>
        </w:tc>
        <w:tc>
          <w:tcPr>
            <w:tcW w:type="dxa" w:w="6463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200 usuarios simultáneos; máximo 3 segundos y errores hasta 1 %.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Préstamos</w:t>
            </w:r>
          </w:p>
        </w:tc>
        <w:tc>
          <w:tcPr>
            <w:tcW w:type="dxa" w:w="6463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150 usuarios simultáneos; promedio hasta 5 segundos y éxito desde 98 %.</w:t>
            </w:r>
          </w:p>
        </w:tc>
      </w:tr>
      <w:tr>
        <w:tc>
          <w:tcPr>
            <w:tcW w:type="dxa" w:w="2438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Pago de servicios</w:t>
            </w:r>
          </w:p>
        </w:tc>
        <w:tc>
          <w:tcPr>
            <w:tcW w:type="dxa" w:w="6463"/>
            <w:vAlign w:val="center"/>
          </w:tcPr>
          <w:p>
            <w:pPr>
              <w:spacing w:after="40" w:before="40"/>
            </w:pPr>
            <w:r>
              <w:rPr>
                <w:sz w:val="18"/>
              </w:rPr>
              <w:t>200 usuarios simultáneos; máximo 3 segundos, errores hasta 1 % y sin duplicados.</w:t>
            </w:r>
          </w:p>
        </w:tc>
      </w:tr>
    </w:tbl>
    <w:p>
      <w:pPr>
        <w:pStyle w:val="Heading1"/>
      </w:pPr>
      <w:r>
        <w:t>Evidencia de la ejecución</w:t>
      </w:r>
    </w:p>
    <w:p>
      <w:r>
        <w:t>Ejecución local de Gatling: smoke funcional, 24 de septiembre de 2026; la instancia permanece disponible en http://127.0.0.1:8080.</w:t>
      </w:r>
    </w:p>
    <w:p>
      <w:r>
        <w:t>Reportes HTML: target/gatling/ (excluido de Git). Métricas y conciliación smoke: evidence/local-smoke-summary.md. Se conciliaron transferencias y pagos; las campañas de alta concurrencia siguen pendientes.</w:t>
      </w:r>
    </w:p>
    <w:p>
      <w:r>
        <w:t>Estado de los criterios de aceptación: sin veredicto para carga alta; los smoke checks no alcanzaron la concurrencia o tasa de transferencia requerida.</w:t>
      </w:r>
    </w:p>
    <w:p>
      <w:pPr>
        <w:pStyle w:val="Heading1"/>
      </w:pPr>
      <w:r>
        <w:t>Video de presentación</w:t>
      </w:r>
    </w:p>
    <w:p>
      <w:r>
        <w:t>Enlace de Drive: [PEGAR ENLACE DEL VIDEO]</w:t>
      </w:r>
    </w:p>
    <w:p>
      <w:r>
        <w:t>Duración del video: [10 A 15 MINUTOS]</w:t>
      </w:r>
    </w:p>
    <w:p>
      <w:pPr>
        <w:pStyle w:val="Heading1"/>
      </w:pPr>
      <w:r>
        <w:t>Integrantes del grupo</w:t>
      </w:r>
    </w:p>
    <w:p>
      <w:pPr>
        <w:spacing w:after="80"/>
      </w:pPr>
      <w:r>
        <w:t>1.  [NOMBRE Y APELLIDO DEL INTEGRANTE 1]</w:t>
      </w:r>
    </w:p>
    <w:p>
      <w:pPr>
        <w:spacing w:after="80"/>
      </w:pPr>
      <w:r>
        <w:t>2.  [NOMBRE Y APELLIDO DEL INTEGRANTE 2]</w:t>
      </w:r>
    </w:p>
    <w:p>
      <w:pPr>
        <w:spacing w:after="80"/>
      </w:pPr>
      <w:r>
        <w:t>3.  [NOMBRE Y APELLIDO DEL INTEGRANTE 3]</w:t>
      </w:r>
    </w:p>
    <w:p>
      <w:pPr>
        <w:spacing w:after="80"/>
      </w:pPr>
      <w:r>
        <w:t>4.  [NOMBRE Y APELLIDO DEL INTEGRANTE 4]</w:t>
      </w:r>
    </w:p>
    <w:p>
      <w:pPr>
        <w:spacing w:after="80"/>
      </w:pPr>
      <w:r>
        <w:t>5.  [NOMBRE Y APELLIDO DEL INTEGRANTE 5]</w:t>
      </w:r>
    </w:p>
    <w:sectPr w:rsidR="00FC693F" w:rsidRPr="0006063C" w:rsidSect="00034616">
      <w:pgSz w:w="12240" w:h="15840"/>
      <w:pgMar w:top="1191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82836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828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82836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pruebas de rendimiento de ParaBank</dc:title>
  <dc:subject>Resumen de actividad grupal</dc:subject>
  <dc:creator>Equipo de pruebas de rendimiento</dc:creator>
  <cp:keywords>ParaBank, Gatling, rendimiento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