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76C9" w14:textId="77777777" w:rsidR="003813F6" w:rsidRDefault="0092160A">
      <w:pPr>
        <w:spacing w:before="1440" w:after="120"/>
        <w:jc w:val="center"/>
      </w:pPr>
      <w:r>
        <w:rPr>
          <w:b/>
          <w:bCs/>
          <w:color w:val="6B0F1A"/>
          <w:sz w:val="72"/>
          <w:szCs w:val="72"/>
        </w:rPr>
        <w:t>SINCRETISMO</w:t>
      </w:r>
    </w:p>
    <w:p w14:paraId="6FA8CC71" w14:textId="77777777" w:rsidR="003813F6" w:rsidRDefault="0092160A">
      <w:pPr>
        <w:spacing w:after="80"/>
        <w:jc w:val="center"/>
      </w:pPr>
      <w:r>
        <w:rPr>
          <w:i/>
          <w:iCs/>
          <w:color w:val="7A6652"/>
          <w:sz w:val="28"/>
          <w:szCs w:val="28"/>
        </w:rPr>
        <w:t>Documento de Diseño — Sistema de Interacción &amp; UI</w:t>
      </w:r>
    </w:p>
    <w:p w14:paraId="39B7F992" w14:textId="77777777" w:rsidR="003813F6" w:rsidRDefault="0092160A">
      <w:pPr>
        <w:spacing w:after="60"/>
        <w:jc w:val="center"/>
      </w:pPr>
      <w:proofErr w:type="spellStart"/>
      <w:r>
        <w:rPr>
          <w:color w:val="1A3A4A"/>
        </w:rPr>
        <w:t>Souls-like</w:t>
      </w:r>
      <w:proofErr w:type="spellEnd"/>
      <w:r>
        <w:rPr>
          <w:color w:val="1A3A4A"/>
        </w:rPr>
        <w:t xml:space="preserve"> 2D · Fantasía Oscura · Sincretismo Religioso Mexicano</w:t>
      </w:r>
    </w:p>
    <w:p w14:paraId="61EE2CE1" w14:textId="77777777" w:rsidR="003813F6" w:rsidRDefault="0092160A">
      <w:pPr>
        <w:pBdr>
          <w:bottom w:val="single" w:sz="12" w:space="6" w:color="D4A017"/>
        </w:pBdr>
        <w:spacing w:before="80" w:after="2880"/>
        <w:jc w:val="center"/>
      </w:pPr>
      <w:r>
        <w:rPr>
          <w:color w:val="7A6652"/>
          <w:sz w:val="20"/>
          <w:szCs w:val="20"/>
        </w:rPr>
        <w:t>v0.1 — Prototipo de Validación</w:t>
      </w:r>
    </w:p>
    <w:p w14:paraId="093CA196" w14:textId="77777777" w:rsidR="003813F6" w:rsidRDefault="0092160A">
      <w:pPr>
        <w:pStyle w:val="Ttulo1"/>
        <w:pBdr>
          <w:bottom w:val="single" w:sz="8" w:space="4" w:color="6B0F1A"/>
        </w:pBdr>
      </w:pPr>
      <w:r>
        <w:t>1. Concepto Central y Premisa de Diseño</w:t>
      </w:r>
    </w:p>
    <w:p w14:paraId="760FB5E8" w14:textId="77777777" w:rsidR="003813F6" w:rsidRDefault="0092160A">
      <w:pPr>
        <w:spacing w:before="80" w:after="120"/>
      </w:pPr>
      <w:r>
        <w:t xml:space="preserve">Sincretismo es un </w:t>
      </w:r>
      <w:proofErr w:type="spellStart"/>
      <w:r>
        <w:t>souls-like</w:t>
      </w:r>
      <w:proofErr w:type="spellEnd"/>
      <w:r>
        <w:t xml:space="preserve"> 2D de desplazamiento lateral ambientado en un México contemporáneo fantástico donde la devoción popular, las fiestas patronales y el culto a figuras como la Santa Muerte conviven con criaturas surgidas del sincretismo religioso. Inspirado visualmente en </w:t>
      </w:r>
      <w:proofErr w:type="spellStart"/>
      <w:r>
        <w:t>Blasphemous</w:t>
      </w:r>
      <w:proofErr w:type="spellEnd"/>
      <w:r>
        <w:t xml:space="preserve"> y espiritualmente en las tradiciones mesoamericanas y novohispanas, el juego explora la tensión entre fe, sacrificio y resistencia.</w:t>
      </w:r>
    </w:p>
    <w:p w14:paraId="53C26AE2"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440"/>
        <w:gridCol w:w="7920"/>
      </w:tblGrid>
      <w:tr w:rsidR="003813F6" w14:paraId="33A37F0A" w14:textId="77777777">
        <w:tc>
          <w:tcPr>
            <w:tcW w:w="1440" w:type="dxa"/>
            <w:tcBorders>
              <w:top w:val="single" w:sz="1" w:space="0" w:color="8B2020"/>
              <w:left w:val="single" w:sz="1" w:space="0" w:color="8B2020"/>
              <w:bottom w:val="single" w:sz="1" w:space="0" w:color="8B2020"/>
              <w:right w:val="single" w:sz="1" w:space="0" w:color="8B2020"/>
            </w:tcBorders>
            <w:shd w:val="clear" w:color="auto" w:fill="6B0F1A"/>
            <w:tcMar>
              <w:top w:w="120" w:type="dxa"/>
              <w:left w:w="160" w:type="dxa"/>
              <w:bottom w:w="120" w:type="dxa"/>
              <w:right w:w="160" w:type="dxa"/>
            </w:tcMar>
            <w:vAlign w:val="center"/>
          </w:tcPr>
          <w:p w14:paraId="648B45A1" w14:textId="77777777" w:rsidR="003813F6" w:rsidRDefault="0092160A">
            <w:pPr>
              <w:jc w:val="center"/>
            </w:pPr>
            <w:r>
              <w:rPr>
                <w:b/>
                <w:bCs/>
                <w:color w:val="FFFFFF"/>
                <w:sz w:val="20"/>
                <w:szCs w:val="20"/>
              </w:rPr>
              <w:t>PREMISA LÚDICA</w:t>
            </w:r>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4DFB100C" w14:textId="77777777" w:rsidR="003813F6" w:rsidRDefault="0092160A">
            <w:r>
              <w:rPr>
                <w:i/>
                <w:iCs/>
              </w:rPr>
              <w:t>El jugador encarna a un promesero: alguien que ha hecho una manda con una deidad popular y debe cumplirla atravesando un pueblo infernal durante una fiesta patronal que nunca termina.</w:t>
            </w:r>
          </w:p>
        </w:tc>
      </w:tr>
    </w:tbl>
    <w:p w14:paraId="224D84F1" w14:textId="77777777" w:rsidR="003813F6" w:rsidRDefault="003813F6">
      <w:pPr>
        <w:spacing w:before="80" w:after="120"/>
      </w:pPr>
    </w:p>
    <w:p w14:paraId="12F1D105" w14:textId="77777777" w:rsidR="003813F6" w:rsidRDefault="0092160A">
      <w:pPr>
        <w:pStyle w:val="Ttulo1"/>
        <w:pBdr>
          <w:bottom w:val="single" w:sz="8" w:space="4" w:color="6B0F1A"/>
        </w:pBdr>
      </w:pPr>
      <w:r>
        <w:t>2. Concepto de UI — HUD y Canales de Información</w:t>
      </w:r>
    </w:p>
    <w:p w14:paraId="61EC5A85" w14:textId="77777777" w:rsidR="003813F6" w:rsidRDefault="0092160A">
      <w:pPr>
        <w:spacing w:before="80" w:after="120"/>
      </w:pPr>
      <w:r>
        <w:t>El principio rector del HUD es diégesis máxima: toda información crítica tiene una representación en el mundo del juego antes de aparecer como elemento de interfaz. La UI es esclava de la estética; cada widget evoca un objeto devocional real.</w:t>
      </w:r>
    </w:p>
    <w:p w14:paraId="435998E0" w14:textId="77777777" w:rsidR="003813F6" w:rsidRDefault="003813F6">
      <w:pPr>
        <w:spacing w:before="80" w:after="120"/>
      </w:pPr>
    </w:p>
    <w:p w14:paraId="5F4AAD2E" w14:textId="77777777" w:rsidR="003813F6" w:rsidRDefault="0092160A">
      <w:pPr>
        <w:pStyle w:val="Ttulo2"/>
      </w:pPr>
      <w:r>
        <w:t>2.1 Anatomía del HUD</w:t>
      </w:r>
    </w:p>
    <w:p w14:paraId="4EE29574" w14:textId="77777777" w:rsidR="003813F6" w:rsidRDefault="0092160A">
      <w:pPr>
        <w:spacing w:before="80" w:after="120"/>
      </w:pPr>
      <w:r>
        <w:lastRenderedPageBreak/>
        <w:t>El HUD se divide en tres zonas funcionales que corresponden a las tres capas de la pantalla:</w:t>
      </w:r>
    </w:p>
    <w:p w14:paraId="658C5183"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560"/>
        <w:gridCol w:w="3400"/>
      </w:tblGrid>
      <w:tr w:rsidR="003813F6" w14:paraId="1D1260B1" w14:textId="77777777">
        <w:tblPrEx>
          <w:tblCellMar>
            <w:top w:w="0" w:type="dxa"/>
            <w:bottom w:w="0" w:type="dxa"/>
          </w:tblCellMar>
        </w:tblPrEx>
        <w:trPr>
          <w:tblHeader/>
        </w:trPr>
        <w:tc>
          <w:tcPr>
            <w:tcW w:w="14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53200EA4" w14:textId="77777777" w:rsidR="003813F6" w:rsidRDefault="0092160A">
            <w:r>
              <w:rPr>
                <w:b/>
                <w:bCs/>
                <w:color w:val="FFFFFF"/>
                <w:sz w:val="20"/>
                <w:szCs w:val="20"/>
              </w:rPr>
              <w:t>Zona</w:t>
            </w:r>
          </w:p>
        </w:tc>
        <w:tc>
          <w:tcPr>
            <w:tcW w:w="20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0FDE93AE" w14:textId="77777777" w:rsidR="003813F6" w:rsidRDefault="0092160A">
            <w:r>
              <w:rPr>
                <w:b/>
                <w:bCs/>
                <w:color w:val="FFFFFF"/>
                <w:sz w:val="20"/>
                <w:szCs w:val="20"/>
              </w:rPr>
              <w:t>Elemento Visual</w:t>
            </w:r>
          </w:p>
        </w:tc>
        <w:tc>
          <w:tcPr>
            <w:tcW w:w="256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68D4357A" w14:textId="77777777" w:rsidR="003813F6" w:rsidRDefault="0092160A">
            <w:r>
              <w:rPr>
                <w:b/>
                <w:bCs/>
                <w:color w:val="FFFFFF"/>
                <w:sz w:val="20"/>
                <w:szCs w:val="20"/>
              </w:rPr>
              <w:t>Información Codificada</w:t>
            </w:r>
          </w:p>
        </w:tc>
        <w:tc>
          <w:tcPr>
            <w:tcW w:w="34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30147D29" w14:textId="77777777" w:rsidR="003813F6" w:rsidRDefault="0092160A">
            <w:r>
              <w:rPr>
                <w:b/>
                <w:bCs/>
                <w:color w:val="FFFFFF"/>
                <w:sz w:val="20"/>
                <w:szCs w:val="20"/>
              </w:rPr>
              <w:t>Referente Cultural</w:t>
            </w:r>
          </w:p>
        </w:tc>
      </w:tr>
      <w:tr w:rsidR="003813F6" w14:paraId="73CF7CD8" w14:textId="77777777">
        <w:tblPrEx>
          <w:tblCellMar>
            <w:top w:w="0" w:type="dxa"/>
            <w:bottom w:w="0" w:type="dxa"/>
          </w:tblCellMar>
        </w:tblPrEx>
        <w:tc>
          <w:tcPr>
            <w:tcW w:w="1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65143520" w14:textId="77777777" w:rsidR="003813F6" w:rsidRDefault="0092160A">
            <w:r>
              <w:rPr>
                <w:sz w:val="20"/>
                <w:szCs w:val="20"/>
              </w:rPr>
              <w:t>Superior Izquierda</w:t>
            </w:r>
          </w:p>
        </w:tc>
        <w:tc>
          <w:tcPr>
            <w:tcW w:w="20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5346E9C3" w14:textId="77777777" w:rsidR="003813F6" w:rsidRDefault="0092160A">
            <w:r>
              <w:rPr>
                <w:sz w:val="20"/>
                <w:szCs w:val="20"/>
              </w:rPr>
              <w:t>Corazón de cera votivo</w:t>
            </w:r>
          </w:p>
        </w:tc>
        <w:tc>
          <w:tcPr>
            <w:tcW w:w="2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6282AF36" w14:textId="77777777" w:rsidR="003813F6" w:rsidRDefault="0092160A">
            <w:r>
              <w:rPr>
                <w:sz w:val="20"/>
                <w:szCs w:val="20"/>
              </w:rPr>
              <w:t>Salud (volumen de llama)</w:t>
            </w:r>
          </w:p>
        </w:tc>
        <w:tc>
          <w:tcPr>
            <w:tcW w:w="3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A888E7F" w14:textId="77777777" w:rsidR="003813F6" w:rsidRDefault="0092160A">
            <w:r>
              <w:rPr>
                <w:sz w:val="20"/>
                <w:szCs w:val="20"/>
              </w:rPr>
              <w:t>Exvotos de cera en capillas</w:t>
            </w:r>
          </w:p>
        </w:tc>
      </w:tr>
      <w:tr w:rsidR="003813F6" w14:paraId="49FF5676" w14:textId="77777777">
        <w:tblPrEx>
          <w:tblCellMar>
            <w:top w:w="0" w:type="dxa"/>
            <w:bottom w:w="0" w:type="dxa"/>
          </w:tblCellMar>
        </w:tblPrEx>
        <w:tc>
          <w:tcPr>
            <w:tcW w:w="14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79F55B15" w14:textId="77777777" w:rsidR="003813F6" w:rsidRDefault="0092160A">
            <w:r>
              <w:rPr>
                <w:sz w:val="20"/>
                <w:szCs w:val="20"/>
              </w:rPr>
              <w:t>Superior Izquierda</w:t>
            </w:r>
          </w:p>
        </w:tc>
        <w:tc>
          <w:tcPr>
            <w:tcW w:w="20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54B43521" w14:textId="77777777" w:rsidR="003813F6" w:rsidRDefault="0092160A">
            <w:r>
              <w:rPr>
                <w:sz w:val="20"/>
                <w:szCs w:val="20"/>
              </w:rPr>
              <w:t>Rosario de cuentas</w:t>
            </w:r>
          </w:p>
        </w:tc>
        <w:tc>
          <w:tcPr>
            <w:tcW w:w="25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2067209C" w14:textId="77777777" w:rsidR="003813F6" w:rsidRDefault="0092160A">
            <w:r>
              <w:rPr>
                <w:sz w:val="20"/>
                <w:szCs w:val="20"/>
              </w:rPr>
              <w:t>Cargas de Devoción (cuentas iluminadas de 0–10)</w:t>
            </w:r>
          </w:p>
        </w:tc>
        <w:tc>
          <w:tcPr>
            <w:tcW w:w="34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2F5AD08C" w14:textId="77777777" w:rsidR="003813F6" w:rsidRDefault="0092160A">
            <w:r>
              <w:rPr>
                <w:sz w:val="20"/>
                <w:szCs w:val="20"/>
              </w:rPr>
              <w:t>Rosario católico / pulseras de santos</w:t>
            </w:r>
          </w:p>
        </w:tc>
      </w:tr>
      <w:tr w:rsidR="003813F6" w14:paraId="1583FA80" w14:textId="77777777">
        <w:tblPrEx>
          <w:tblCellMar>
            <w:top w:w="0" w:type="dxa"/>
            <w:bottom w:w="0" w:type="dxa"/>
          </w:tblCellMar>
        </w:tblPrEx>
        <w:tc>
          <w:tcPr>
            <w:tcW w:w="1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63A4D145" w14:textId="77777777" w:rsidR="003813F6" w:rsidRDefault="0092160A">
            <w:r>
              <w:rPr>
                <w:sz w:val="20"/>
                <w:szCs w:val="20"/>
              </w:rPr>
              <w:t>Superior Derecha</w:t>
            </w:r>
          </w:p>
        </w:tc>
        <w:tc>
          <w:tcPr>
            <w:tcW w:w="20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4FD2D31" w14:textId="77777777" w:rsidR="003813F6" w:rsidRDefault="0092160A">
            <w:r>
              <w:rPr>
                <w:sz w:val="20"/>
                <w:szCs w:val="20"/>
              </w:rPr>
              <w:t>Veladora de colores</w:t>
            </w:r>
          </w:p>
        </w:tc>
        <w:tc>
          <w:tcPr>
            <w:tcW w:w="2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3FBB8492" w14:textId="77777777" w:rsidR="003813F6" w:rsidRDefault="0092160A">
            <w:proofErr w:type="spellStart"/>
            <w:r>
              <w:rPr>
                <w:sz w:val="20"/>
                <w:szCs w:val="20"/>
              </w:rPr>
              <w:t>Stamina</w:t>
            </w:r>
            <w:proofErr w:type="spellEnd"/>
            <w:r>
              <w:rPr>
                <w:sz w:val="20"/>
                <w:szCs w:val="20"/>
              </w:rPr>
              <w:t xml:space="preserve"> / Fuerza (altura de la flama)</w:t>
            </w:r>
          </w:p>
        </w:tc>
        <w:tc>
          <w:tcPr>
            <w:tcW w:w="3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17D9B1BA" w14:textId="77777777" w:rsidR="003813F6" w:rsidRDefault="0092160A">
            <w:r>
              <w:rPr>
                <w:sz w:val="20"/>
                <w:szCs w:val="20"/>
              </w:rPr>
              <w:t>Veladoras de colores para santos</w:t>
            </w:r>
          </w:p>
        </w:tc>
      </w:tr>
      <w:tr w:rsidR="003813F6" w14:paraId="4D978E69" w14:textId="77777777">
        <w:tblPrEx>
          <w:tblCellMar>
            <w:top w:w="0" w:type="dxa"/>
            <w:bottom w:w="0" w:type="dxa"/>
          </w:tblCellMar>
        </w:tblPrEx>
        <w:tc>
          <w:tcPr>
            <w:tcW w:w="14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32DB062" w14:textId="77777777" w:rsidR="003813F6" w:rsidRDefault="0092160A">
            <w:r>
              <w:rPr>
                <w:sz w:val="20"/>
                <w:szCs w:val="20"/>
              </w:rPr>
              <w:t>Inferior Centro</w:t>
            </w:r>
          </w:p>
        </w:tc>
        <w:tc>
          <w:tcPr>
            <w:tcW w:w="20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AD455B4" w14:textId="77777777" w:rsidR="003813F6" w:rsidRDefault="0092160A">
            <w:r>
              <w:rPr>
                <w:sz w:val="20"/>
                <w:szCs w:val="20"/>
              </w:rPr>
              <w:t>Retablo pequeño</w:t>
            </w:r>
          </w:p>
        </w:tc>
        <w:tc>
          <w:tcPr>
            <w:tcW w:w="25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EE8936B" w14:textId="77777777" w:rsidR="003813F6" w:rsidRDefault="0092160A">
            <w:r>
              <w:rPr>
                <w:sz w:val="20"/>
                <w:szCs w:val="20"/>
              </w:rPr>
              <w:t>Gracia Acumulada (ofrendas en el retablo)</w:t>
            </w:r>
          </w:p>
        </w:tc>
        <w:tc>
          <w:tcPr>
            <w:tcW w:w="34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B6C1CBF" w14:textId="77777777" w:rsidR="003813F6" w:rsidRDefault="0092160A">
            <w:r>
              <w:rPr>
                <w:sz w:val="20"/>
                <w:szCs w:val="20"/>
              </w:rPr>
              <w:t>Retablos milagrosos en santuarios</w:t>
            </w:r>
          </w:p>
        </w:tc>
      </w:tr>
      <w:tr w:rsidR="003813F6" w14:paraId="383CA675" w14:textId="77777777">
        <w:tblPrEx>
          <w:tblCellMar>
            <w:top w:w="0" w:type="dxa"/>
            <w:bottom w:w="0" w:type="dxa"/>
          </w:tblCellMar>
        </w:tblPrEx>
        <w:tc>
          <w:tcPr>
            <w:tcW w:w="1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A3F2B1F" w14:textId="77777777" w:rsidR="003813F6" w:rsidRDefault="0092160A">
            <w:r>
              <w:rPr>
                <w:sz w:val="20"/>
                <w:szCs w:val="20"/>
              </w:rPr>
              <w:t>Sin posición fija</w:t>
            </w:r>
          </w:p>
        </w:tc>
        <w:tc>
          <w:tcPr>
            <w:tcW w:w="20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746625AA" w14:textId="77777777" w:rsidR="003813F6" w:rsidRDefault="0092160A">
            <w:r>
              <w:rPr>
                <w:sz w:val="20"/>
                <w:szCs w:val="20"/>
              </w:rPr>
              <w:t>Vibración de pantalla + sonido de matracas</w:t>
            </w:r>
          </w:p>
        </w:tc>
        <w:tc>
          <w:tcPr>
            <w:tcW w:w="2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0DBFF00F" w14:textId="77777777" w:rsidR="003813F6" w:rsidRDefault="0092160A">
            <w:r>
              <w:rPr>
                <w:sz w:val="20"/>
                <w:szCs w:val="20"/>
              </w:rPr>
              <w:t>Daño recibido en estado crítico</w:t>
            </w:r>
          </w:p>
        </w:tc>
        <w:tc>
          <w:tcPr>
            <w:tcW w:w="3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17692853" w14:textId="77777777" w:rsidR="003813F6" w:rsidRDefault="0092160A">
            <w:r>
              <w:rPr>
                <w:sz w:val="20"/>
                <w:szCs w:val="20"/>
              </w:rPr>
              <w:t>Semana Santa / fiestas ruidosas</w:t>
            </w:r>
          </w:p>
        </w:tc>
      </w:tr>
      <w:tr w:rsidR="003813F6" w14:paraId="006F0CAA" w14:textId="77777777">
        <w:tblPrEx>
          <w:tblCellMar>
            <w:top w:w="0" w:type="dxa"/>
            <w:bottom w:w="0" w:type="dxa"/>
          </w:tblCellMar>
        </w:tblPrEx>
        <w:tc>
          <w:tcPr>
            <w:tcW w:w="14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9CABA16" w14:textId="77777777" w:rsidR="003813F6" w:rsidRDefault="0092160A">
            <w:r>
              <w:rPr>
                <w:sz w:val="20"/>
                <w:szCs w:val="20"/>
              </w:rPr>
              <w:t>Contextual</w:t>
            </w:r>
          </w:p>
        </w:tc>
        <w:tc>
          <w:tcPr>
            <w:tcW w:w="20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4151A0D4" w14:textId="77777777" w:rsidR="003813F6" w:rsidRDefault="0092160A">
            <w:r>
              <w:rPr>
                <w:sz w:val="20"/>
                <w:szCs w:val="20"/>
              </w:rPr>
              <w:t>Incensario humeante</w:t>
            </w:r>
          </w:p>
        </w:tc>
        <w:tc>
          <w:tcPr>
            <w:tcW w:w="25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7393BFC0" w14:textId="77777777" w:rsidR="003813F6" w:rsidRDefault="0092160A">
            <w:r>
              <w:rPr>
                <w:sz w:val="20"/>
                <w:szCs w:val="20"/>
              </w:rPr>
              <w:t xml:space="preserve">Zona de peligro / </w:t>
            </w:r>
            <w:proofErr w:type="spellStart"/>
            <w:r>
              <w:rPr>
                <w:sz w:val="20"/>
                <w:szCs w:val="20"/>
              </w:rPr>
              <w:t>boss</w:t>
            </w:r>
            <w:proofErr w:type="spellEnd"/>
            <w:r>
              <w:rPr>
                <w:sz w:val="20"/>
                <w:szCs w:val="20"/>
              </w:rPr>
              <w:t xml:space="preserve"> cercano</w:t>
            </w:r>
          </w:p>
        </w:tc>
        <w:tc>
          <w:tcPr>
            <w:tcW w:w="34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63027AF" w14:textId="77777777" w:rsidR="003813F6" w:rsidRDefault="0092160A">
            <w:r>
              <w:rPr>
                <w:sz w:val="20"/>
                <w:szCs w:val="20"/>
              </w:rPr>
              <w:t>Copal en ceremonias</w:t>
            </w:r>
          </w:p>
        </w:tc>
      </w:tr>
    </w:tbl>
    <w:p w14:paraId="3F45900D" w14:textId="77777777" w:rsidR="003813F6" w:rsidRDefault="003813F6">
      <w:pPr>
        <w:spacing w:before="80" w:after="120"/>
      </w:pPr>
    </w:p>
    <w:p w14:paraId="6AB428B3" w14:textId="77777777" w:rsidR="003813F6" w:rsidRDefault="0092160A">
      <w:pPr>
        <w:pStyle w:val="Ttulo2"/>
      </w:pPr>
      <w:r>
        <w:t xml:space="preserve">2.2 Principios de Legibilidad y </w:t>
      </w:r>
      <w:proofErr w:type="spellStart"/>
      <w:r>
        <w:t>Feedback</w:t>
      </w:r>
      <w:proofErr w:type="spellEnd"/>
    </w:p>
    <w:p w14:paraId="1C8A4880" w14:textId="77777777" w:rsidR="003813F6" w:rsidRDefault="0092160A">
      <w:pPr>
        <w:spacing w:before="80" w:after="120"/>
      </w:pPr>
      <w:r>
        <w:t xml:space="preserve">Cada canal de información usa modalidades distintas para evitar saturación cognitiva. La salud y la </w:t>
      </w:r>
      <w:proofErr w:type="spellStart"/>
      <w:r>
        <w:t>stamina</w:t>
      </w:r>
      <w:proofErr w:type="spellEnd"/>
      <w:r>
        <w:t xml:space="preserve"> no comparten el mismo lenguaje visual ni la misma posición en pantalla, reduciendo la carga de lectura en momentos de alto estrés.</w:t>
      </w:r>
    </w:p>
    <w:p w14:paraId="000C1871"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440"/>
        <w:gridCol w:w="7920"/>
      </w:tblGrid>
      <w:tr w:rsidR="003813F6" w14:paraId="2BCB4268" w14:textId="77777777">
        <w:tc>
          <w:tcPr>
            <w:tcW w:w="1440" w:type="dxa"/>
            <w:tcBorders>
              <w:top w:val="single" w:sz="1" w:space="0" w:color="8B2020"/>
              <w:left w:val="single" w:sz="1" w:space="0" w:color="8B2020"/>
              <w:bottom w:val="single" w:sz="1" w:space="0" w:color="8B2020"/>
              <w:right w:val="single" w:sz="1" w:space="0" w:color="8B2020"/>
            </w:tcBorders>
            <w:shd w:val="clear" w:color="auto" w:fill="1A3A4A"/>
            <w:tcMar>
              <w:top w:w="120" w:type="dxa"/>
              <w:left w:w="160" w:type="dxa"/>
              <w:bottom w:w="120" w:type="dxa"/>
              <w:right w:w="160" w:type="dxa"/>
            </w:tcMar>
            <w:vAlign w:val="center"/>
          </w:tcPr>
          <w:p w14:paraId="6B125488" w14:textId="77777777" w:rsidR="003813F6" w:rsidRDefault="0092160A">
            <w:pPr>
              <w:jc w:val="center"/>
            </w:pPr>
            <w:r>
              <w:rPr>
                <w:b/>
                <w:bCs/>
                <w:color w:val="FFFFFF"/>
                <w:sz w:val="20"/>
                <w:szCs w:val="20"/>
              </w:rPr>
              <w:t>CANAL VISUAL</w:t>
            </w:r>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3941C910" w14:textId="77777777" w:rsidR="003813F6" w:rsidRDefault="0092160A">
            <w:r>
              <w:rPr>
                <w:i/>
                <w:iCs/>
              </w:rPr>
              <w:t>Iconografía devocional animada: la llama del corazón tiembla cuando el jugador está en estado crítico; las cuentas del rosario se oscurecen gradualmente al consumir Devoción.</w:t>
            </w:r>
          </w:p>
        </w:tc>
      </w:tr>
    </w:tbl>
    <w:p w14:paraId="2FBF5039"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440"/>
        <w:gridCol w:w="7920"/>
      </w:tblGrid>
      <w:tr w:rsidR="003813F6" w14:paraId="736D4EF7" w14:textId="77777777">
        <w:tc>
          <w:tcPr>
            <w:tcW w:w="1440" w:type="dxa"/>
            <w:tcBorders>
              <w:top w:val="single" w:sz="1" w:space="0" w:color="8B2020"/>
              <w:left w:val="single" w:sz="1" w:space="0" w:color="8B2020"/>
              <w:bottom w:val="single" w:sz="1" w:space="0" w:color="8B2020"/>
              <w:right w:val="single" w:sz="1" w:space="0" w:color="8B2020"/>
            </w:tcBorders>
            <w:shd w:val="clear" w:color="auto" w:fill="1A3A4A"/>
            <w:tcMar>
              <w:top w:w="120" w:type="dxa"/>
              <w:left w:w="160" w:type="dxa"/>
              <w:bottom w:w="120" w:type="dxa"/>
              <w:right w:w="160" w:type="dxa"/>
            </w:tcMar>
            <w:vAlign w:val="center"/>
          </w:tcPr>
          <w:p w14:paraId="59755646" w14:textId="77777777" w:rsidR="003813F6" w:rsidRDefault="0092160A">
            <w:pPr>
              <w:jc w:val="center"/>
            </w:pPr>
            <w:r>
              <w:rPr>
                <w:b/>
                <w:bCs/>
                <w:color w:val="FFFFFF"/>
                <w:sz w:val="20"/>
                <w:szCs w:val="20"/>
              </w:rPr>
              <w:t>CANAL SONORO</w:t>
            </w:r>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057BA4C8" w14:textId="77777777" w:rsidR="003813F6" w:rsidRDefault="0092160A">
            <w:r>
              <w:rPr>
                <w:i/>
                <w:iCs/>
              </w:rPr>
              <w:t>Cada acción tiene un sonido diegético: el rosario castañea al gastar cargas; el retablo vibra al recoger gracia. El silencio repentino anuncia peligro.</w:t>
            </w:r>
          </w:p>
        </w:tc>
      </w:tr>
    </w:tbl>
    <w:p w14:paraId="437B506B"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440"/>
        <w:gridCol w:w="7920"/>
      </w:tblGrid>
      <w:tr w:rsidR="003813F6" w14:paraId="36F9EBAB" w14:textId="77777777">
        <w:tc>
          <w:tcPr>
            <w:tcW w:w="1440" w:type="dxa"/>
            <w:tcBorders>
              <w:top w:val="single" w:sz="1" w:space="0" w:color="8B2020"/>
              <w:left w:val="single" w:sz="1" w:space="0" w:color="8B2020"/>
              <w:bottom w:val="single" w:sz="1" w:space="0" w:color="8B2020"/>
              <w:right w:val="single" w:sz="1" w:space="0" w:color="8B2020"/>
            </w:tcBorders>
            <w:shd w:val="clear" w:color="auto" w:fill="1A3A4A"/>
            <w:tcMar>
              <w:top w:w="120" w:type="dxa"/>
              <w:left w:w="160" w:type="dxa"/>
              <w:bottom w:w="120" w:type="dxa"/>
              <w:right w:w="160" w:type="dxa"/>
            </w:tcMar>
            <w:vAlign w:val="center"/>
          </w:tcPr>
          <w:p w14:paraId="6CC8E7EB" w14:textId="77777777" w:rsidR="003813F6" w:rsidRDefault="0092160A">
            <w:pPr>
              <w:jc w:val="center"/>
            </w:pPr>
            <w:r>
              <w:rPr>
                <w:b/>
                <w:bCs/>
                <w:color w:val="FFFFFF"/>
                <w:sz w:val="20"/>
                <w:szCs w:val="20"/>
              </w:rPr>
              <w:t>CANAL TÁCTIL</w:t>
            </w:r>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72761469" w14:textId="77777777" w:rsidR="003813F6" w:rsidRDefault="0092160A">
            <w:r>
              <w:rPr>
                <w:i/>
                <w:iCs/>
              </w:rPr>
              <w:t>Vibración diferenciada por severidad del golpe: pulso corto (daño leve), pulso largo (guardia rota), vibración continua decreciente (muerte inminente).</w:t>
            </w:r>
          </w:p>
        </w:tc>
      </w:tr>
    </w:tbl>
    <w:p w14:paraId="2CD2CBC6" w14:textId="77777777" w:rsidR="003813F6" w:rsidRDefault="003813F6">
      <w:pPr>
        <w:spacing w:before="80" w:after="120"/>
      </w:pPr>
    </w:p>
    <w:p w14:paraId="2DE03DCD" w14:textId="77777777" w:rsidR="003813F6" w:rsidRDefault="0092160A">
      <w:pPr>
        <w:pStyle w:val="Ttulo2"/>
      </w:pPr>
      <w:r>
        <w:t>2.3 Modos de HUD</w:t>
      </w:r>
    </w:p>
    <w:p w14:paraId="0EAFB745" w14:textId="77777777" w:rsidR="003813F6" w:rsidRDefault="0092160A">
      <w:pPr>
        <w:spacing w:before="80" w:after="120"/>
      </w:pPr>
      <w:r>
        <w:t>El juego ofrece tres niveles de asistencia visual configurables, respetando la accesibilidad sin forzar al jugador a usar una interfaz genérica:</w:t>
      </w:r>
    </w:p>
    <w:p w14:paraId="061684B9" w14:textId="77777777" w:rsidR="003813F6" w:rsidRDefault="003813F6">
      <w:pPr>
        <w:spacing w:before="80" w:after="120"/>
      </w:pPr>
    </w:p>
    <w:p w14:paraId="28EE5898" w14:textId="77777777" w:rsidR="003813F6" w:rsidRDefault="0092160A">
      <w:pPr>
        <w:pStyle w:val="Prrafodelista"/>
        <w:numPr>
          <w:ilvl w:val="0"/>
          <w:numId w:val="2"/>
        </w:numPr>
        <w:spacing w:before="60" w:after="60"/>
      </w:pPr>
      <w:r>
        <w:t>Modo Devoto (mínimo): solo iconografía diegética, sin barras ni números.</w:t>
      </w:r>
    </w:p>
    <w:p w14:paraId="5AC97936" w14:textId="77777777" w:rsidR="003813F6" w:rsidRDefault="0092160A">
      <w:pPr>
        <w:pStyle w:val="Prrafodelista"/>
        <w:numPr>
          <w:ilvl w:val="0"/>
          <w:numId w:val="2"/>
        </w:numPr>
        <w:spacing w:before="60" w:after="60"/>
      </w:pPr>
      <w:r>
        <w:t>Modo Peregrino (balanceado): iconografía + indicadores de porcentaje al pasar el cursor/D-</w:t>
      </w:r>
      <w:proofErr w:type="spellStart"/>
      <w:r>
        <w:t>pad</w:t>
      </w:r>
      <w:proofErr w:type="spellEnd"/>
      <w:r>
        <w:t xml:space="preserve"> sobre el elemento.</w:t>
      </w:r>
    </w:p>
    <w:p w14:paraId="7E3BFD15" w14:textId="77777777" w:rsidR="003813F6" w:rsidRDefault="0092160A">
      <w:pPr>
        <w:pStyle w:val="Prrafodelista"/>
        <w:numPr>
          <w:ilvl w:val="0"/>
          <w:numId w:val="2"/>
        </w:numPr>
        <w:spacing w:before="60" w:after="60"/>
      </w:pPr>
      <w:r>
        <w:t>Modo Promesero (asistido): barras numéricas visibles permanentemente sobre los iconos devocionales.</w:t>
      </w:r>
    </w:p>
    <w:p w14:paraId="5E69011E" w14:textId="77777777" w:rsidR="003813F6" w:rsidRDefault="003813F6">
      <w:pPr>
        <w:spacing w:before="80" w:after="120"/>
      </w:pPr>
    </w:p>
    <w:p w14:paraId="7D5CCAB7" w14:textId="77777777" w:rsidR="003813F6" w:rsidRDefault="0092160A">
      <w:pPr>
        <w:pStyle w:val="Ttulo1"/>
        <w:pBdr>
          <w:bottom w:val="single" w:sz="8" w:space="4" w:color="6B0F1A"/>
        </w:pBdr>
      </w:pPr>
      <w:r>
        <w:t>3. Loop Principal de Interacción</w:t>
      </w:r>
    </w:p>
    <w:p w14:paraId="6BD9C11E" w14:textId="77777777" w:rsidR="003813F6" w:rsidRDefault="0092160A">
      <w:pPr>
        <w:pStyle w:val="Ttulo2"/>
      </w:pPr>
      <w:r>
        <w:t>3.1 Estructura Macro del Loop</w:t>
      </w:r>
    </w:p>
    <w:p w14:paraId="1BD298CE" w14:textId="77777777" w:rsidR="003813F6" w:rsidRDefault="0092160A">
      <w:pPr>
        <w:spacing w:before="80" w:after="120"/>
      </w:pPr>
      <w:r>
        <w:t xml:space="preserve">El </w:t>
      </w:r>
      <w:proofErr w:type="spellStart"/>
      <w:r>
        <w:t>loop</w:t>
      </w:r>
      <w:proofErr w:type="spellEnd"/>
      <w:r>
        <w:t xml:space="preserve"> se organiza en tres capas anidadas, cada una con su propio ciclo de tensión y recompensa:</w:t>
      </w:r>
    </w:p>
    <w:p w14:paraId="793CE8E1"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160"/>
        <w:gridCol w:w="3600"/>
      </w:tblGrid>
      <w:tr w:rsidR="003813F6" w14:paraId="7B29435F" w14:textId="77777777">
        <w:tblPrEx>
          <w:tblCellMar>
            <w:top w:w="0" w:type="dxa"/>
            <w:bottom w:w="0" w:type="dxa"/>
          </w:tblCellMar>
        </w:tblPrEx>
        <w:trPr>
          <w:tblHeader/>
        </w:trPr>
        <w:tc>
          <w:tcPr>
            <w:tcW w:w="18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30BEFBF8" w14:textId="77777777" w:rsidR="003813F6" w:rsidRDefault="0092160A">
            <w:r>
              <w:rPr>
                <w:b/>
                <w:bCs/>
                <w:color w:val="FFFFFF"/>
                <w:sz w:val="20"/>
                <w:szCs w:val="20"/>
              </w:rPr>
              <w:t>Capa</w:t>
            </w:r>
          </w:p>
        </w:tc>
        <w:tc>
          <w:tcPr>
            <w:tcW w:w="18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29D5393A" w14:textId="77777777" w:rsidR="003813F6" w:rsidRDefault="0092160A">
            <w:r>
              <w:rPr>
                <w:b/>
                <w:bCs/>
                <w:color w:val="FFFFFF"/>
                <w:sz w:val="20"/>
                <w:szCs w:val="20"/>
              </w:rPr>
              <w:t>Duración Aprox.</w:t>
            </w:r>
          </w:p>
        </w:tc>
        <w:tc>
          <w:tcPr>
            <w:tcW w:w="216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740141A1" w14:textId="77777777" w:rsidR="003813F6" w:rsidRDefault="0092160A">
            <w:r>
              <w:rPr>
                <w:b/>
                <w:bCs/>
                <w:color w:val="FFFFFF"/>
                <w:sz w:val="20"/>
                <w:szCs w:val="20"/>
              </w:rPr>
              <w:t>Verbo Principal</w:t>
            </w:r>
          </w:p>
        </w:tc>
        <w:tc>
          <w:tcPr>
            <w:tcW w:w="36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6F3FBC57" w14:textId="77777777" w:rsidR="003813F6" w:rsidRDefault="0092160A">
            <w:r>
              <w:rPr>
                <w:b/>
                <w:bCs/>
                <w:color w:val="FFFFFF"/>
                <w:sz w:val="20"/>
                <w:szCs w:val="20"/>
              </w:rPr>
              <w:t>Riesgo / Recompensa</w:t>
            </w:r>
          </w:p>
        </w:tc>
      </w:tr>
      <w:tr w:rsidR="003813F6" w14:paraId="0545B020" w14:textId="77777777">
        <w:tblPrEx>
          <w:tblCellMar>
            <w:top w:w="0" w:type="dxa"/>
            <w:bottom w:w="0" w:type="dxa"/>
          </w:tblCellMar>
        </w:tblPrEx>
        <w:tc>
          <w:tcPr>
            <w:tcW w:w="18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790A97C2" w14:textId="77777777" w:rsidR="003813F6" w:rsidRDefault="0092160A">
            <w:r>
              <w:rPr>
                <w:sz w:val="20"/>
                <w:szCs w:val="20"/>
              </w:rPr>
              <w:t>Micro (combate)</w:t>
            </w:r>
          </w:p>
        </w:tc>
        <w:tc>
          <w:tcPr>
            <w:tcW w:w="18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266CDE3F" w14:textId="77777777" w:rsidR="003813F6" w:rsidRDefault="0092160A">
            <w:r>
              <w:rPr>
                <w:sz w:val="20"/>
                <w:szCs w:val="20"/>
              </w:rPr>
              <w:t>3–15 segundos</w:t>
            </w:r>
          </w:p>
        </w:tc>
        <w:tc>
          <w:tcPr>
            <w:tcW w:w="21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3996D899" w14:textId="77777777" w:rsidR="003813F6" w:rsidRDefault="0092160A">
            <w:r>
              <w:rPr>
                <w:sz w:val="20"/>
                <w:szCs w:val="20"/>
              </w:rPr>
              <w:t>Leer, esquivar, castigar</w:t>
            </w:r>
          </w:p>
        </w:tc>
        <w:tc>
          <w:tcPr>
            <w:tcW w:w="36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6B004AE2" w14:textId="77777777" w:rsidR="003813F6" w:rsidRDefault="0092160A">
            <w:r>
              <w:rPr>
                <w:sz w:val="20"/>
                <w:szCs w:val="20"/>
              </w:rPr>
              <w:t>Morir / conservar posición</w:t>
            </w:r>
          </w:p>
        </w:tc>
      </w:tr>
      <w:tr w:rsidR="003813F6" w14:paraId="6B8788A9" w14:textId="77777777">
        <w:tblPrEx>
          <w:tblCellMar>
            <w:top w:w="0" w:type="dxa"/>
            <w:bottom w:w="0" w:type="dxa"/>
          </w:tblCellMar>
        </w:tblPrEx>
        <w:tc>
          <w:tcPr>
            <w:tcW w:w="18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5D825E04" w14:textId="77777777" w:rsidR="003813F6" w:rsidRDefault="0092160A">
            <w:r>
              <w:rPr>
                <w:sz w:val="20"/>
                <w:szCs w:val="20"/>
              </w:rPr>
              <w:t>Meso (zona)</w:t>
            </w:r>
          </w:p>
        </w:tc>
        <w:tc>
          <w:tcPr>
            <w:tcW w:w="18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6D5DA79A" w14:textId="77777777" w:rsidR="003813F6" w:rsidRDefault="0092160A">
            <w:r>
              <w:rPr>
                <w:sz w:val="20"/>
                <w:szCs w:val="20"/>
              </w:rPr>
              <w:t>10–25 minutos</w:t>
            </w:r>
          </w:p>
        </w:tc>
        <w:tc>
          <w:tcPr>
            <w:tcW w:w="21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3CF3AB38" w14:textId="77777777" w:rsidR="003813F6" w:rsidRDefault="0092160A">
            <w:r>
              <w:rPr>
                <w:sz w:val="20"/>
                <w:szCs w:val="20"/>
              </w:rPr>
              <w:t>Explorar, ofrenda, atajar</w:t>
            </w:r>
          </w:p>
        </w:tc>
        <w:tc>
          <w:tcPr>
            <w:tcW w:w="36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6AFC48F3" w14:textId="77777777" w:rsidR="003813F6" w:rsidRDefault="0092160A">
            <w:r>
              <w:rPr>
                <w:sz w:val="20"/>
                <w:szCs w:val="20"/>
              </w:rPr>
              <w:t>Perder Gracia / desbloquear atajo</w:t>
            </w:r>
          </w:p>
        </w:tc>
      </w:tr>
      <w:tr w:rsidR="003813F6" w14:paraId="3B02F856" w14:textId="77777777">
        <w:tblPrEx>
          <w:tblCellMar>
            <w:top w:w="0" w:type="dxa"/>
            <w:bottom w:w="0" w:type="dxa"/>
          </w:tblCellMar>
        </w:tblPrEx>
        <w:tc>
          <w:tcPr>
            <w:tcW w:w="18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992BB4C" w14:textId="77777777" w:rsidR="003813F6" w:rsidRDefault="0092160A">
            <w:r>
              <w:rPr>
                <w:sz w:val="20"/>
                <w:szCs w:val="20"/>
              </w:rPr>
              <w:t>Macro (sesión)</w:t>
            </w:r>
          </w:p>
        </w:tc>
        <w:tc>
          <w:tcPr>
            <w:tcW w:w="18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1D282ED9" w14:textId="77777777" w:rsidR="003813F6" w:rsidRDefault="0092160A">
            <w:r>
              <w:rPr>
                <w:sz w:val="20"/>
                <w:szCs w:val="20"/>
              </w:rPr>
              <w:t>60–120 minutos</w:t>
            </w:r>
          </w:p>
        </w:tc>
        <w:tc>
          <w:tcPr>
            <w:tcW w:w="21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299A0550" w14:textId="77777777" w:rsidR="003813F6" w:rsidRDefault="0092160A">
            <w:r>
              <w:rPr>
                <w:sz w:val="20"/>
                <w:szCs w:val="20"/>
              </w:rPr>
              <w:t>Construir, dedicar, progresar</w:t>
            </w:r>
          </w:p>
        </w:tc>
        <w:tc>
          <w:tcPr>
            <w:tcW w:w="36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14CA96AC" w14:textId="77777777" w:rsidR="003813F6" w:rsidRDefault="0092160A">
            <w:r>
              <w:rPr>
                <w:sz w:val="20"/>
                <w:szCs w:val="20"/>
              </w:rPr>
              <w:t xml:space="preserve">Construir </w:t>
            </w:r>
            <w:proofErr w:type="spellStart"/>
            <w:r>
              <w:rPr>
                <w:sz w:val="20"/>
                <w:szCs w:val="20"/>
              </w:rPr>
              <w:t>build</w:t>
            </w:r>
            <w:proofErr w:type="spellEnd"/>
            <w:r>
              <w:rPr>
                <w:sz w:val="20"/>
                <w:szCs w:val="20"/>
              </w:rPr>
              <w:t xml:space="preserve"> devocional erróneo / obtener poder específico</w:t>
            </w:r>
          </w:p>
        </w:tc>
      </w:tr>
    </w:tbl>
    <w:p w14:paraId="7BFDC964" w14:textId="77777777" w:rsidR="003813F6" w:rsidRDefault="003813F6">
      <w:pPr>
        <w:spacing w:before="80" w:after="120"/>
      </w:pPr>
    </w:p>
    <w:p w14:paraId="5223EC7A" w14:textId="77777777" w:rsidR="003813F6" w:rsidRDefault="0092160A">
      <w:pPr>
        <w:pStyle w:val="Ttulo2"/>
      </w:pPr>
      <w:r>
        <w:t>3.2 Loop Micro — Combate y Devoción</w:t>
      </w:r>
    </w:p>
    <w:p w14:paraId="4733D492" w14:textId="77777777" w:rsidR="003813F6" w:rsidRDefault="0092160A">
      <w:pPr>
        <w:spacing w:before="80" w:after="120"/>
      </w:pPr>
      <w:r>
        <w:t>El sistema de combate introduce el recurso de Devoción como diferenciador del género. A diferencia de la energía/magia tradicional, la Devoción no se regenera con el tiempo sino con actos de fe específicos dentro del nivel:</w:t>
      </w:r>
    </w:p>
    <w:p w14:paraId="2A6EAD1F" w14:textId="77777777" w:rsidR="003813F6" w:rsidRDefault="003813F6">
      <w:pPr>
        <w:spacing w:before="80" w:after="120"/>
      </w:pPr>
    </w:p>
    <w:p w14:paraId="72F44E0F" w14:textId="77777777" w:rsidR="003813F6" w:rsidRDefault="0092160A">
      <w:pPr>
        <w:pStyle w:val="Prrafodelista"/>
        <w:numPr>
          <w:ilvl w:val="0"/>
          <w:numId w:val="2"/>
        </w:numPr>
        <w:spacing w:before="60" w:after="60"/>
      </w:pPr>
      <w:r>
        <w:t>Rezar en un nicho activo (acción vulnerable, 2 segundos sin interacción).</w:t>
      </w:r>
    </w:p>
    <w:p w14:paraId="21638073" w14:textId="77777777" w:rsidR="003813F6" w:rsidRDefault="0092160A">
      <w:pPr>
        <w:pStyle w:val="Prrafodelista"/>
        <w:numPr>
          <w:ilvl w:val="0"/>
          <w:numId w:val="2"/>
        </w:numPr>
        <w:spacing w:before="60" w:after="60"/>
      </w:pPr>
      <w:r>
        <w:t>Depositar Gracia (moneda) en una alcancía parroquial (gasto voluntario).</w:t>
      </w:r>
    </w:p>
    <w:p w14:paraId="01437DF1" w14:textId="77777777" w:rsidR="003813F6" w:rsidRDefault="0092160A">
      <w:pPr>
        <w:pStyle w:val="Prrafodelista"/>
        <w:numPr>
          <w:ilvl w:val="0"/>
          <w:numId w:val="2"/>
        </w:numPr>
        <w:spacing w:before="60" w:after="60"/>
      </w:pPr>
      <w:r>
        <w:t>Completar una manda parcial (objetivo contextual de zona).</w:t>
      </w:r>
    </w:p>
    <w:p w14:paraId="154348F1" w14:textId="77777777" w:rsidR="003813F6" w:rsidRDefault="003813F6">
      <w:pPr>
        <w:spacing w:before="80" w:after="120"/>
      </w:pPr>
    </w:p>
    <w:p w14:paraId="5151F67B" w14:textId="77777777" w:rsidR="003813F6" w:rsidRDefault="0092160A">
      <w:pPr>
        <w:spacing w:before="80" w:after="120"/>
      </w:pPr>
      <w:r>
        <w:t xml:space="preserve">Esto crea una </w:t>
      </w:r>
      <w:proofErr w:type="spellStart"/>
      <w:r>
        <w:t>micro-decisión</w:t>
      </w:r>
      <w:proofErr w:type="spellEnd"/>
      <w:r>
        <w:t xml:space="preserve"> constante: el jugador puede acumular Gracia para progresar o gastarla en Devoción para sobrevivir el momento. La UI regula esta tensión mostrando ambos recursos en todo momento sin privilegiar ninguno visualmente.</w:t>
      </w:r>
    </w:p>
    <w:p w14:paraId="5069A31D"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440"/>
        <w:gridCol w:w="7920"/>
      </w:tblGrid>
      <w:tr w:rsidR="003813F6" w14:paraId="6D94B61E" w14:textId="77777777">
        <w:tc>
          <w:tcPr>
            <w:tcW w:w="1440" w:type="dxa"/>
            <w:tcBorders>
              <w:top w:val="single" w:sz="1" w:space="0" w:color="8B2020"/>
              <w:left w:val="single" w:sz="1" w:space="0" w:color="8B2020"/>
              <w:bottom w:val="single" w:sz="1" w:space="0" w:color="8B2020"/>
              <w:right w:val="single" w:sz="1" w:space="0" w:color="8B2020"/>
            </w:tcBorders>
            <w:shd w:val="clear" w:color="auto" w:fill="6B0F1A"/>
            <w:tcMar>
              <w:top w:w="120" w:type="dxa"/>
              <w:left w:w="160" w:type="dxa"/>
              <w:bottom w:w="120" w:type="dxa"/>
              <w:right w:w="160" w:type="dxa"/>
            </w:tcMar>
            <w:vAlign w:val="center"/>
          </w:tcPr>
          <w:p w14:paraId="7FA36A32" w14:textId="77777777" w:rsidR="003813F6" w:rsidRDefault="0092160A">
            <w:pPr>
              <w:jc w:val="center"/>
            </w:pPr>
            <w:r>
              <w:rPr>
                <w:b/>
                <w:bCs/>
                <w:color w:val="FFFFFF"/>
                <w:sz w:val="20"/>
                <w:szCs w:val="20"/>
              </w:rPr>
              <w:lastRenderedPageBreak/>
              <w:t>REGLA DE ORO DEL LOOP</w:t>
            </w:r>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3B2DF820" w14:textId="77777777" w:rsidR="003813F6" w:rsidRDefault="0092160A">
            <w:r>
              <w:rPr>
                <w:i/>
                <w:iCs/>
              </w:rPr>
              <w:t>Nunca hay un recurso 'correcto'. Gastar toda la Gracia en Devoción es válido; guardar toda la Gracia y llegar al santuario a duras penas también lo es. La UI informa sin aconsejar.</w:t>
            </w:r>
          </w:p>
        </w:tc>
      </w:tr>
    </w:tbl>
    <w:p w14:paraId="7D1B9C93" w14:textId="77777777" w:rsidR="003813F6" w:rsidRDefault="003813F6">
      <w:pPr>
        <w:spacing w:before="80" w:after="120"/>
      </w:pPr>
    </w:p>
    <w:p w14:paraId="2752A106" w14:textId="77777777" w:rsidR="003813F6" w:rsidRDefault="0092160A">
      <w:pPr>
        <w:pStyle w:val="Ttulo2"/>
      </w:pPr>
      <w:r>
        <w:t>3.3 Loop Meso — Exploración y Ofrenda</w:t>
      </w:r>
    </w:p>
    <w:p w14:paraId="27F83321" w14:textId="77777777" w:rsidR="003813F6" w:rsidRDefault="0092160A">
      <w:pPr>
        <w:spacing w:before="80" w:after="120"/>
      </w:pPr>
      <w:r>
        <w:t xml:space="preserve">Cada zona del juego es un barrio del pueblo durante la fiesta patronal. El jugador descubre nichos, capillas improvisadas y altares de camino que funcionan como puntos de anclaje del sistema </w:t>
      </w:r>
      <w:proofErr w:type="spellStart"/>
      <w:r>
        <w:t>souls</w:t>
      </w:r>
      <w:proofErr w:type="spellEnd"/>
      <w:r>
        <w:t xml:space="preserve"> (equivalentes a hogueras). Sin embargo, el jugador puede elegir NO activar un nicho para mantener la densidad de enemigos alta y obtener más Gracia por zona limpia.</w:t>
      </w:r>
    </w:p>
    <w:p w14:paraId="77CE4B8E" w14:textId="77777777" w:rsidR="003813F6" w:rsidRDefault="003813F6">
      <w:pPr>
        <w:spacing w:before="80" w:after="120"/>
      </w:pPr>
    </w:p>
    <w:p w14:paraId="40358D3B" w14:textId="77777777" w:rsidR="003813F6" w:rsidRDefault="0092160A">
      <w:pPr>
        <w:spacing w:before="80" w:after="120"/>
      </w:pPr>
      <w:r>
        <w:t>La UI comunica el estado de los nichos mediante el color de la veladora en el mapa del nivel (integrado en el marco de un cuadro de Santos, nunca como un mapa genérico):</w:t>
      </w:r>
    </w:p>
    <w:p w14:paraId="6177FA01" w14:textId="77777777" w:rsidR="003813F6" w:rsidRDefault="003813F6">
      <w:pPr>
        <w:spacing w:before="80" w:after="120"/>
      </w:pPr>
    </w:p>
    <w:p w14:paraId="52BEF5F1" w14:textId="77777777" w:rsidR="003813F6" w:rsidRDefault="0092160A">
      <w:pPr>
        <w:pStyle w:val="Prrafodelista"/>
        <w:numPr>
          <w:ilvl w:val="0"/>
          <w:numId w:val="2"/>
        </w:numPr>
        <w:spacing w:before="60" w:after="60"/>
      </w:pPr>
      <w:r>
        <w:t>Veladora apagada: nicho no descubierto.</w:t>
      </w:r>
    </w:p>
    <w:p w14:paraId="02EE08E1" w14:textId="77777777" w:rsidR="003813F6" w:rsidRDefault="0092160A">
      <w:pPr>
        <w:pStyle w:val="Prrafodelista"/>
        <w:numPr>
          <w:ilvl w:val="0"/>
          <w:numId w:val="2"/>
        </w:numPr>
        <w:spacing w:before="60" w:after="60"/>
      </w:pPr>
      <w:r>
        <w:t>Veladora blanca: descubierto, no activado.</w:t>
      </w:r>
    </w:p>
    <w:p w14:paraId="00D7498D" w14:textId="77777777" w:rsidR="003813F6" w:rsidRDefault="0092160A">
      <w:pPr>
        <w:pStyle w:val="Prrafodelista"/>
        <w:numPr>
          <w:ilvl w:val="0"/>
          <w:numId w:val="2"/>
        </w:numPr>
        <w:spacing w:before="60" w:after="60"/>
      </w:pPr>
      <w:r>
        <w:t>Veladora roja: activado, punto de reaparición activo.</w:t>
      </w:r>
    </w:p>
    <w:p w14:paraId="5E2D6756" w14:textId="77777777" w:rsidR="003813F6" w:rsidRDefault="0092160A">
      <w:pPr>
        <w:pStyle w:val="Prrafodelista"/>
        <w:numPr>
          <w:ilvl w:val="0"/>
          <w:numId w:val="2"/>
        </w:numPr>
        <w:spacing w:before="60" w:after="60"/>
      </w:pPr>
      <w:r>
        <w:t>Veladora dorada: ofrenda máxima depositada, bonus permanente desbloqueado.</w:t>
      </w:r>
    </w:p>
    <w:p w14:paraId="0EE2392A" w14:textId="77777777" w:rsidR="003813F6" w:rsidRDefault="003813F6">
      <w:pPr>
        <w:spacing w:before="80" w:after="120"/>
      </w:pPr>
    </w:p>
    <w:p w14:paraId="17B7A859" w14:textId="77777777" w:rsidR="003813F6" w:rsidRDefault="0092160A">
      <w:pPr>
        <w:pStyle w:val="Ttulo2"/>
      </w:pPr>
      <w:r>
        <w:t>3.4 Loop Macro — Dedicación Devocional</w:t>
      </w:r>
    </w:p>
    <w:p w14:paraId="7BC2189F" w14:textId="77777777" w:rsidR="003813F6" w:rsidRDefault="0092160A">
      <w:pPr>
        <w:spacing w:before="80" w:after="120"/>
      </w:pPr>
      <w:r>
        <w:t>El sistema de progresión se llama Dedicaciones: el jugador elige a qué figura devocional dedicar su run (un santo patronal, la Santa Muerte, el Niño Fidencio u otras figuras del panteón popular). Cada Dedicación otorga un árbol de habilidades pasivas con tres ramas y desbloquea un set de mecánicas especiales.</w:t>
      </w:r>
    </w:p>
    <w:p w14:paraId="6037981A" w14:textId="77777777" w:rsidR="003813F6" w:rsidRDefault="0092160A">
      <w:pPr>
        <w:spacing w:before="80" w:after="120"/>
      </w:pPr>
      <w:r>
        <w:t>La UI del árbol de Dedicaciones se presenta como un retablo dinámico: las imágenes del santo se completan (de boceto a policromía plena) conforme el jugador invierte Gracia en habilidades.</w:t>
      </w:r>
    </w:p>
    <w:p w14:paraId="4FD2FF87" w14:textId="77777777" w:rsidR="003813F6" w:rsidRDefault="003813F6">
      <w:pPr>
        <w:spacing w:before="80" w:after="120"/>
      </w:pPr>
    </w:p>
    <w:p w14:paraId="6CA1AEF7" w14:textId="77777777" w:rsidR="003813F6" w:rsidRDefault="0092160A">
      <w:pPr>
        <w:pStyle w:val="Ttulo1"/>
        <w:pBdr>
          <w:bottom w:val="single" w:sz="8" w:space="4" w:color="6B0F1A"/>
        </w:pBdr>
      </w:pPr>
      <w:r>
        <w:t>4. Dinámicas Asociadas y Regulación por UI</w:t>
      </w:r>
    </w:p>
    <w:p w14:paraId="11C21A2B" w14:textId="77777777" w:rsidR="003813F6" w:rsidRDefault="0092160A">
      <w:pPr>
        <w:pStyle w:val="Ttulo2"/>
      </w:pPr>
      <w:r>
        <w:t>4.1 Mapa de Dinámicas Emergentes</w:t>
      </w:r>
    </w:p>
    <w:p w14:paraId="5E728E67"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60"/>
        <w:gridCol w:w="2600"/>
      </w:tblGrid>
      <w:tr w:rsidR="003813F6" w14:paraId="20564BE5" w14:textId="77777777">
        <w:tblPrEx>
          <w:tblCellMar>
            <w:top w:w="0" w:type="dxa"/>
            <w:bottom w:w="0" w:type="dxa"/>
          </w:tblCellMar>
        </w:tblPrEx>
        <w:trPr>
          <w:tblHeader/>
        </w:trPr>
        <w:tc>
          <w:tcPr>
            <w:tcW w:w="20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6BCDFAC1" w14:textId="77777777" w:rsidR="003813F6" w:rsidRDefault="0092160A">
            <w:r>
              <w:rPr>
                <w:b/>
                <w:bCs/>
                <w:color w:val="FFFFFF"/>
                <w:sz w:val="20"/>
                <w:szCs w:val="20"/>
              </w:rPr>
              <w:t>Dinámica</w:t>
            </w:r>
          </w:p>
        </w:tc>
        <w:tc>
          <w:tcPr>
            <w:tcW w:w="22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5819A92F" w14:textId="77777777" w:rsidR="003813F6" w:rsidRDefault="0092160A">
            <w:r>
              <w:rPr>
                <w:b/>
                <w:bCs/>
                <w:color w:val="FFFFFF"/>
                <w:sz w:val="20"/>
                <w:szCs w:val="20"/>
              </w:rPr>
              <w:t>Condición Generadora</w:t>
            </w:r>
          </w:p>
        </w:tc>
        <w:tc>
          <w:tcPr>
            <w:tcW w:w="256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6B7C5FA4" w14:textId="77777777" w:rsidR="003813F6" w:rsidRDefault="0092160A">
            <w:r>
              <w:rPr>
                <w:b/>
                <w:bCs/>
                <w:color w:val="FFFFFF"/>
                <w:sz w:val="20"/>
                <w:szCs w:val="20"/>
              </w:rPr>
              <w:t>Cómo la UI la Regula</w:t>
            </w:r>
          </w:p>
        </w:tc>
        <w:tc>
          <w:tcPr>
            <w:tcW w:w="26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1D6E022D" w14:textId="77777777" w:rsidR="003813F6" w:rsidRDefault="0092160A">
            <w:r>
              <w:rPr>
                <w:b/>
                <w:bCs/>
                <w:color w:val="FFFFFF"/>
                <w:sz w:val="20"/>
                <w:szCs w:val="20"/>
              </w:rPr>
              <w:t>Riesgo de Confusión</w:t>
            </w:r>
          </w:p>
        </w:tc>
      </w:tr>
      <w:tr w:rsidR="003813F6" w14:paraId="7CB3574C" w14:textId="77777777">
        <w:tblPrEx>
          <w:tblCellMar>
            <w:top w:w="0" w:type="dxa"/>
            <w:bottom w:w="0" w:type="dxa"/>
          </w:tblCellMar>
        </w:tblPrEx>
        <w:tc>
          <w:tcPr>
            <w:tcW w:w="20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29AA57F9" w14:textId="77777777" w:rsidR="003813F6" w:rsidRDefault="0092160A">
            <w:r>
              <w:rPr>
                <w:sz w:val="20"/>
                <w:szCs w:val="20"/>
              </w:rPr>
              <w:t>Hesitación ante el nicho</w:t>
            </w:r>
          </w:p>
        </w:tc>
        <w:tc>
          <w:tcPr>
            <w:tcW w:w="22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06FDC5C0" w14:textId="77777777" w:rsidR="003813F6" w:rsidRDefault="0092160A">
            <w:r>
              <w:rPr>
                <w:sz w:val="20"/>
                <w:szCs w:val="20"/>
              </w:rPr>
              <w:t xml:space="preserve">Activarlo elimina enemigos, pero también la </w:t>
            </w:r>
            <w:r>
              <w:rPr>
                <w:sz w:val="20"/>
                <w:szCs w:val="20"/>
              </w:rPr>
              <w:lastRenderedPageBreak/>
              <w:t>recompensa de zona limpia</w:t>
            </w:r>
          </w:p>
        </w:tc>
        <w:tc>
          <w:tcPr>
            <w:tcW w:w="2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50980581" w14:textId="77777777" w:rsidR="003813F6" w:rsidRDefault="0092160A">
            <w:r>
              <w:rPr>
                <w:sz w:val="20"/>
                <w:szCs w:val="20"/>
              </w:rPr>
              <w:lastRenderedPageBreak/>
              <w:t xml:space="preserve">La veladora blanca no parpadea; no hay indicador de urgencia. </w:t>
            </w:r>
            <w:r>
              <w:rPr>
                <w:sz w:val="20"/>
                <w:szCs w:val="20"/>
              </w:rPr>
              <w:lastRenderedPageBreak/>
              <w:t>Silencio informativo deliberado.</w:t>
            </w:r>
          </w:p>
        </w:tc>
        <w:tc>
          <w:tcPr>
            <w:tcW w:w="26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73180CE3" w14:textId="77777777" w:rsidR="003813F6" w:rsidRDefault="0092160A">
            <w:r>
              <w:rPr>
                <w:sz w:val="20"/>
                <w:szCs w:val="20"/>
              </w:rPr>
              <w:lastRenderedPageBreak/>
              <w:t>Bajo — la ambigüedad es intencional</w:t>
            </w:r>
          </w:p>
        </w:tc>
      </w:tr>
      <w:tr w:rsidR="003813F6" w14:paraId="60435AF2" w14:textId="77777777">
        <w:tblPrEx>
          <w:tblCellMar>
            <w:top w:w="0" w:type="dxa"/>
            <w:bottom w:w="0" w:type="dxa"/>
          </w:tblCellMar>
        </w:tblPrEx>
        <w:tc>
          <w:tcPr>
            <w:tcW w:w="20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729021D" w14:textId="77777777" w:rsidR="003813F6" w:rsidRDefault="0092160A">
            <w:r>
              <w:rPr>
                <w:sz w:val="20"/>
                <w:szCs w:val="20"/>
              </w:rPr>
              <w:t>Gestión de Devoción bajo presión</w:t>
            </w:r>
          </w:p>
        </w:tc>
        <w:tc>
          <w:tcPr>
            <w:tcW w:w="22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4B42BD9E" w14:textId="77777777" w:rsidR="003813F6" w:rsidRDefault="0092160A">
            <w:r>
              <w:rPr>
                <w:sz w:val="20"/>
                <w:szCs w:val="20"/>
              </w:rPr>
              <w:t>Recurso crítico con recarga lenta</w:t>
            </w:r>
          </w:p>
        </w:tc>
        <w:tc>
          <w:tcPr>
            <w:tcW w:w="25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5A71413F" w14:textId="77777777" w:rsidR="003813F6" w:rsidRDefault="0092160A">
            <w:r>
              <w:rPr>
                <w:sz w:val="20"/>
                <w:szCs w:val="20"/>
              </w:rPr>
              <w:t>El rosario vibra y castañea al llegar a 1 carga; no hay barra de advertencia explícita.</w:t>
            </w:r>
          </w:p>
        </w:tc>
        <w:tc>
          <w:tcPr>
            <w:tcW w:w="26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45E0E87A" w14:textId="77777777" w:rsidR="003813F6" w:rsidRDefault="0092160A">
            <w:r>
              <w:rPr>
                <w:sz w:val="20"/>
                <w:szCs w:val="20"/>
              </w:rPr>
              <w:t>Medio — requiere habituación de 30–60 min</w:t>
            </w:r>
          </w:p>
        </w:tc>
      </w:tr>
      <w:tr w:rsidR="003813F6" w14:paraId="25824AF5" w14:textId="77777777">
        <w:tblPrEx>
          <w:tblCellMar>
            <w:top w:w="0" w:type="dxa"/>
            <w:bottom w:w="0" w:type="dxa"/>
          </w:tblCellMar>
        </w:tblPrEx>
        <w:tc>
          <w:tcPr>
            <w:tcW w:w="20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1304F2D3" w14:textId="77777777" w:rsidR="003813F6" w:rsidRDefault="0092160A">
            <w:r>
              <w:rPr>
                <w:sz w:val="20"/>
                <w:szCs w:val="20"/>
              </w:rPr>
              <w:t>Avaricia de Gracia</w:t>
            </w:r>
          </w:p>
        </w:tc>
        <w:tc>
          <w:tcPr>
            <w:tcW w:w="22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3FE43443" w14:textId="77777777" w:rsidR="003813F6" w:rsidRDefault="0092160A">
            <w:r>
              <w:rPr>
                <w:sz w:val="20"/>
                <w:szCs w:val="20"/>
              </w:rPr>
              <w:t>Acumular sin gastar aumenta la penalización por muerte</w:t>
            </w:r>
          </w:p>
        </w:tc>
        <w:tc>
          <w:tcPr>
            <w:tcW w:w="2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30B5BD3E" w14:textId="77777777" w:rsidR="003813F6" w:rsidRDefault="0092160A">
            <w:r>
              <w:rPr>
                <w:sz w:val="20"/>
                <w:szCs w:val="20"/>
              </w:rPr>
              <w:t>El retablo tiene un indicador de 'carga máxima' (vela parpadeante) antes de desbordar.</w:t>
            </w:r>
          </w:p>
        </w:tc>
        <w:tc>
          <w:tcPr>
            <w:tcW w:w="26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729B144" w14:textId="77777777" w:rsidR="003813F6" w:rsidRDefault="0092160A">
            <w:r>
              <w:rPr>
                <w:sz w:val="20"/>
                <w:szCs w:val="20"/>
              </w:rPr>
              <w:t>Alto — mecánica no obvia</w:t>
            </w:r>
          </w:p>
        </w:tc>
      </w:tr>
      <w:tr w:rsidR="003813F6" w14:paraId="17AF2C69" w14:textId="77777777">
        <w:tblPrEx>
          <w:tblCellMar>
            <w:top w:w="0" w:type="dxa"/>
            <w:bottom w:w="0" w:type="dxa"/>
          </w:tblCellMar>
        </w:tblPrEx>
        <w:tc>
          <w:tcPr>
            <w:tcW w:w="20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128256E6" w14:textId="77777777" w:rsidR="003813F6" w:rsidRDefault="0092160A">
            <w:r>
              <w:rPr>
                <w:sz w:val="20"/>
                <w:szCs w:val="20"/>
              </w:rPr>
              <w:t>Exploración de zonas cerradas</w:t>
            </w:r>
          </w:p>
        </w:tc>
        <w:tc>
          <w:tcPr>
            <w:tcW w:w="22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2D4C6A61" w14:textId="77777777" w:rsidR="003813F6" w:rsidRDefault="0092160A">
            <w:r>
              <w:rPr>
                <w:sz w:val="20"/>
                <w:szCs w:val="20"/>
              </w:rPr>
              <w:t>Accesos bloqueados por mandas no cumplidas</w:t>
            </w:r>
          </w:p>
        </w:tc>
        <w:tc>
          <w:tcPr>
            <w:tcW w:w="25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6799E740" w14:textId="77777777" w:rsidR="003813F6" w:rsidRDefault="0092160A">
            <w:r>
              <w:rPr>
                <w:sz w:val="20"/>
                <w:szCs w:val="20"/>
              </w:rPr>
              <w:t>Los accesos muestran el icono de la manda pendiente, no un candado genérico.</w:t>
            </w:r>
          </w:p>
        </w:tc>
        <w:tc>
          <w:tcPr>
            <w:tcW w:w="26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16495E31" w14:textId="77777777" w:rsidR="003813F6" w:rsidRDefault="0092160A">
            <w:r>
              <w:rPr>
                <w:sz w:val="20"/>
                <w:szCs w:val="20"/>
              </w:rPr>
              <w:t>Bajo — iconografía clara</w:t>
            </w:r>
          </w:p>
        </w:tc>
      </w:tr>
      <w:tr w:rsidR="003813F6" w14:paraId="160A9AB1" w14:textId="77777777">
        <w:tblPrEx>
          <w:tblCellMar>
            <w:top w:w="0" w:type="dxa"/>
            <w:bottom w:w="0" w:type="dxa"/>
          </w:tblCellMar>
        </w:tblPrEx>
        <w:tc>
          <w:tcPr>
            <w:tcW w:w="20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36476ADF" w14:textId="77777777" w:rsidR="003813F6" w:rsidRDefault="0092160A">
            <w:r>
              <w:rPr>
                <w:sz w:val="20"/>
                <w:szCs w:val="20"/>
              </w:rPr>
              <w:t xml:space="preserve">Presión social de </w:t>
            </w:r>
            <w:proofErr w:type="spellStart"/>
            <w:r>
              <w:rPr>
                <w:sz w:val="20"/>
                <w:szCs w:val="20"/>
              </w:rPr>
              <w:t>NPCs</w:t>
            </w:r>
            <w:proofErr w:type="spellEnd"/>
            <w:r>
              <w:rPr>
                <w:sz w:val="20"/>
                <w:szCs w:val="20"/>
              </w:rPr>
              <w:t xml:space="preserve"> devotos</w:t>
            </w:r>
          </w:p>
        </w:tc>
        <w:tc>
          <w:tcPr>
            <w:tcW w:w="22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6CDBC5B9" w14:textId="77777777" w:rsidR="003813F6" w:rsidRDefault="0092160A">
            <w:r>
              <w:rPr>
                <w:sz w:val="20"/>
                <w:szCs w:val="20"/>
              </w:rPr>
              <w:t>Personajes piden ayuda activa durante el nivel</w:t>
            </w:r>
          </w:p>
        </w:tc>
        <w:tc>
          <w:tcPr>
            <w:tcW w:w="2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63D4CCF" w14:textId="77777777" w:rsidR="003813F6" w:rsidRDefault="0092160A">
            <w:r>
              <w:rPr>
                <w:sz w:val="20"/>
                <w:szCs w:val="20"/>
              </w:rPr>
              <w:t>Sin marcador de misión; solo diálogo ambiental y humo de copal direccional.</w:t>
            </w:r>
          </w:p>
        </w:tc>
        <w:tc>
          <w:tcPr>
            <w:tcW w:w="26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38B86BC1" w14:textId="77777777" w:rsidR="003813F6" w:rsidRDefault="0092160A">
            <w:r>
              <w:rPr>
                <w:sz w:val="20"/>
                <w:szCs w:val="20"/>
              </w:rPr>
              <w:t>Alto — pode leerse como error de diseño</w:t>
            </w:r>
          </w:p>
        </w:tc>
      </w:tr>
    </w:tbl>
    <w:p w14:paraId="2FDD2808" w14:textId="77777777" w:rsidR="003813F6" w:rsidRDefault="003813F6">
      <w:pPr>
        <w:spacing w:before="80" w:after="120"/>
      </w:pPr>
    </w:p>
    <w:p w14:paraId="5255896E" w14:textId="77777777" w:rsidR="003813F6" w:rsidRDefault="0092160A">
      <w:pPr>
        <w:pStyle w:val="Ttulo2"/>
      </w:pPr>
      <w:r>
        <w:t>4.2 La UI como Sistema de Creencias, No de Instrucciones</w:t>
      </w:r>
    </w:p>
    <w:p w14:paraId="36862896" w14:textId="77777777" w:rsidR="003813F6" w:rsidRDefault="0092160A">
      <w:pPr>
        <w:spacing w:before="80" w:after="120"/>
      </w:pPr>
      <w:r>
        <w:t xml:space="preserve">El principio que distingue el sistema de UI de Sincretismo de otros </w:t>
      </w:r>
      <w:proofErr w:type="spellStart"/>
      <w:r>
        <w:t>souls-like</w:t>
      </w:r>
      <w:proofErr w:type="spellEnd"/>
      <w:r>
        <w:t xml:space="preserve"> es que la interfaz actúa como el propio ritual: presenta información de forma que el jugador debe interpretar, no solo leer. El juego no le dice al jugador que va a morir; le muestra que la llama de su veladora está casi extinta.</w:t>
      </w:r>
    </w:p>
    <w:p w14:paraId="53CFE459" w14:textId="77777777" w:rsidR="003813F6" w:rsidRDefault="003813F6">
      <w:pPr>
        <w:spacing w:before="80" w:after="120"/>
      </w:pPr>
    </w:p>
    <w:p w14:paraId="69780CB6" w14:textId="77777777" w:rsidR="003813F6" w:rsidRDefault="0092160A">
      <w:pPr>
        <w:spacing w:before="80" w:after="120"/>
      </w:pPr>
      <w:r>
        <w:t>Esto genera una dinámica de aprendizaje activo: el jugador construye un modelo mental del mundo (las fiestas patronales tienen lógica propia, los santos tienen reglas) que es más robusto que el aprendizaje de íconos abstractos. La comprensión cultural es la curva de aprendizaje.</w:t>
      </w:r>
    </w:p>
    <w:p w14:paraId="3D8C8EEA"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440"/>
        <w:gridCol w:w="7920"/>
      </w:tblGrid>
      <w:tr w:rsidR="003813F6" w14:paraId="341D52B0" w14:textId="77777777">
        <w:tc>
          <w:tcPr>
            <w:tcW w:w="1440" w:type="dxa"/>
            <w:tcBorders>
              <w:top w:val="single" w:sz="1" w:space="0" w:color="8B2020"/>
              <w:left w:val="single" w:sz="1" w:space="0" w:color="8B2020"/>
              <w:bottom w:val="single" w:sz="1" w:space="0" w:color="8B2020"/>
              <w:right w:val="single" w:sz="1" w:space="0" w:color="8B2020"/>
            </w:tcBorders>
            <w:shd w:val="clear" w:color="auto" w:fill="6B0F1A"/>
            <w:tcMar>
              <w:top w:w="120" w:type="dxa"/>
              <w:left w:w="160" w:type="dxa"/>
              <w:bottom w:w="120" w:type="dxa"/>
              <w:right w:w="160" w:type="dxa"/>
            </w:tcMar>
            <w:vAlign w:val="center"/>
          </w:tcPr>
          <w:p w14:paraId="545376F5" w14:textId="77777777" w:rsidR="003813F6" w:rsidRDefault="0092160A">
            <w:pPr>
              <w:jc w:val="center"/>
            </w:pPr>
            <w:r>
              <w:rPr>
                <w:b/>
                <w:bCs/>
                <w:color w:val="FFFFFF"/>
                <w:sz w:val="20"/>
                <w:szCs w:val="20"/>
              </w:rPr>
              <w:t>RIESGO DE DISEÑO</w:t>
            </w:r>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21076794" w14:textId="77777777" w:rsidR="003813F6" w:rsidRDefault="0092160A">
            <w:r>
              <w:rPr>
                <w:i/>
                <w:iCs/>
              </w:rPr>
              <w:t>Un jugador sin referentes del sincretismo mexicano puede sentir la UI como críptica en vez de misteriosa. Este es el principal riesgo identificado del proyecto (ver Sección 5).</w:t>
            </w:r>
          </w:p>
        </w:tc>
      </w:tr>
    </w:tbl>
    <w:p w14:paraId="63F9ED12" w14:textId="77777777" w:rsidR="003813F6" w:rsidRDefault="003813F6">
      <w:pPr>
        <w:spacing w:before="80" w:after="120"/>
      </w:pPr>
    </w:p>
    <w:p w14:paraId="0608C228" w14:textId="77777777" w:rsidR="003813F6" w:rsidRDefault="0092160A">
      <w:pPr>
        <w:pStyle w:val="Ttulo1"/>
        <w:pBdr>
          <w:bottom w:val="single" w:sz="8" w:space="4" w:color="6B0F1A"/>
        </w:pBdr>
      </w:pPr>
      <w:r>
        <w:t>5. Principal Riesgo del Diseño</w:t>
      </w:r>
    </w:p>
    <w:p w14:paraId="190D1A40" w14:textId="77777777" w:rsidR="003813F6" w:rsidRDefault="0092160A">
      <w:pPr>
        <w:pStyle w:val="Ttulo2"/>
      </w:pPr>
      <w:r>
        <w:t>5.1 Definición del Riesgo</w:t>
      </w:r>
    </w:p>
    <w:p w14:paraId="26B4D90D" w14:textId="77777777" w:rsidR="003813F6" w:rsidRDefault="0092160A">
      <w:pPr>
        <w:spacing w:before="80" w:after="120"/>
      </w:pPr>
      <w:r>
        <w:lastRenderedPageBreak/>
        <w:t xml:space="preserve">El riesgo más crítico no es técnico sino experiencial: la UI diegética depende de que el jugador tenga o construya un modelo mental del referente cultural para funcionar como sistema de información. Si ese modelo no se construye en los primeros 20 minutos, toda la arquitectura de </w:t>
      </w:r>
      <w:proofErr w:type="spellStart"/>
      <w:r>
        <w:t>feedback</w:t>
      </w:r>
      <w:proofErr w:type="spellEnd"/>
      <w:r>
        <w:t xml:space="preserve"> falla silenciosamente: el jugador no sabe que no sabe.</w:t>
      </w:r>
    </w:p>
    <w:p w14:paraId="02F78C5C" w14:textId="77777777" w:rsidR="003813F6" w:rsidRDefault="003813F6">
      <w:pPr>
        <w:spacing w:before="80" w:after="120"/>
      </w:pPr>
    </w:p>
    <w:p w14:paraId="6DD06795" w14:textId="77777777" w:rsidR="003813F6" w:rsidRDefault="0092160A">
      <w:pPr>
        <w:spacing w:before="80" w:after="120"/>
      </w:pPr>
      <w:r>
        <w:t>A diferencia de una barra de vida convencional que comunica su significado por convención universal, un corazón de cera votivo requiere que el jugador asocie 'volumen de llama = salud residual'. Esta asociación es natural para alguien familiarizado con los exvotos, pero completamente opaca para alguien sin ese referente.</w:t>
      </w:r>
    </w:p>
    <w:p w14:paraId="6F22A7E1"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3813F6" w14:paraId="2F3D4BF1" w14:textId="77777777">
        <w:tblPrEx>
          <w:tblCellMar>
            <w:top w:w="0" w:type="dxa"/>
            <w:bottom w:w="0" w:type="dxa"/>
          </w:tblCellMar>
        </w:tblPrEx>
        <w:trPr>
          <w:tblHeader/>
        </w:trPr>
        <w:tc>
          <w:tcPr>
            <w:tcW w:w="28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1F8F511C" w14:textId="77777777" w:rsidR="003813F6" w:rsidRDefault="0092160A">
            <w:r>
              <w:rPr>
                <w:b/>
                <w:bCs/>
                <w:color w:val="FFFFFF"/>
                <w:sz w:val="20"/>
                <w:szCs w:val="20"/>
              </w:rPr>
              <w:t>Perfil de Jugador</w:t>
            </w:r>
          </w:p>
        </w:tc>
        <w:tc>
          <w:tcPr>
            <w:tcW w:w="228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58276813" w14:textId="77777777" w:rsidR="003813F6" w:rsidRDefault="0092160A">
            <w:r>
              <w:rPr>
                <w:b/>
                <w:bCs/>
                <w:color w:val="FFFFFF"/>
                <w:sz w:val="20"/>
                <w:szCs w:val="20"/>
              </w:rPr>
              <w:t>Riesgo de Opacidad</w:t>
            </w:r>
          </w:p>
        </w:tc>
        <w:tc>
          <w:tcPr>
            <w:tcW w:w="428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7AD096FC" w14:textId="77777777" w:rsidR="003813F6" w:rsidRDefault="0092160A">
            <w:r>
              <w:rPr>
                <w:b/>
                <w:bCs/>
                <w:color w:val="FFFFFF"/>
                <w:sz w:val="20"/>
                <w:szCs w:val="20"/>
              </w:rPr>
              <w:t>Tiempo de Habituación Estimado</w:t>
            </w:r>
          </w:p>
        </w:tc>
      </w:tr>
      <w:tr w:rsidR="003813F6" w14:paraId="7789F6D5" w14:textId="77777777">
        <w:tblPrEx>
          <w:tblCellMar>
            <w:top w:w="0" w:type="dxa"/>
            <w:bottom w:w="0" w:type="dxa"/>
          </w:tblCellMar>
        </w:tblPrEx>
        <w:tc>
          <w:tcPr>
            <w:tcW w:w="28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5D9722E8" w14:textId="77777777" w:rsidR="003813F6" w:rsidRDefault="0092160A">
            <w:r>
              <w:rPr>
                <w:sz w:val="20"/>
                <w:szCs w:val="20"/>
              </w:rPr>
              <w:t>Mexicano con referentes religiosos populares</w:t>
            </w:r>
          </w:p>
        </w:tc>
        <w:tc>
          <w:tcPr>
            <w:tcW w:w="228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0A230DA1" w14:textId="77777777" w:rsidR="003813F6" w:rsidRDefault="0092160A">
            <w:r>
              <w:rPr>
                <w:sz w:val="20"/>
                <w:szCs w:val="20"/>
              </w:rPr>
              <w:t>Muy bajo</w:t>
            </w:r>
          </w:p>
        </w:tc>
        <w:tc>
          <w:tcPr>
            <w:tcW w:w="428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7DCE89D0" w14:textId="77777777" w:rsidR="003813F6" w:rsidRDefault="0092160A">
            <w:r>
              <w:rPr>
                <w:sz w:val="20"/>
                <w:szCs w:val="20"/>
              </w:rPr>
              <w:t>5–10 minutos</w:t>
            </w:r>
          </w:p>
        </w:tc>
      </w:tr>
      <w:tr w:rsidR="003813F6" w14:paraId="197B6080" w14:textId="77777777">
        <w:tblPrEx>
          <w:tblCellMar>
            <w:top w:w="0" w:type="dxa"/>
            <w:bottom w:w="0" w:type="dxa"/>
          </w:tblCellMar>
        </w:tblPrEx>
        <w:tc>
          <w:tcPr>
            <w:tcW w:w="28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2CF3667" w14:textId="77777777" w:rsidR="003813F6" w:rsidRDefault="0092160A">
            <w:r>
              <w:rPr>
                <w:sz w:val="20"/>
                <w:szCs w:val="20"/>
              </w:rPr>
              <w:t>Latinoamericano con referentes generales</w:t>
            </w:r>
          </w:p>
        </w:tc>
        <w:tc>
          <w:tcPr>
            <w:tcW w:w="228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6266CBFB" w14:textId="77777777" w:rsidR="003813F6" w:rsidRDefault="0092160A">
            <w:r>
              <w:rPr>
                <w:sz w:val="20"/>
                <w:szCs w:val="20"/>
              </w:rPr>
              <w:t>Bajo</w:t>
            </w:r>
          </w:p>
        </w:tc>
        <w:tc>
          <w:tcPr>
            <w:tcW w:w="428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1CAC4FBA" w14:textId="77777777" w:rsidR="003813F6" w:rsidRDefault="0092160A">
            <w:r>
              <w:rPr>
                <w:sz w:val="20"/>
                <w:szCs w:val="20"/>
              </w:rPr>
              <w:t>15–25 minutos</w:t>
            </w:r>
          </w:p>
        </w:tc>
      </w:tr>
      <w:tr w:rsidR="003813F6" w14:paraId="12704BC1" w14:textId="77777777">
        <w:tblPrEx>
          <w:tblCellMar>
            <w:top w:w="0" w:type="dxa"/>
            <w:bottom w:w="0" w:type="dxa"/>
          </w:tblCellMar>
        </w:tblPrEx>
        <w:tc>
          <w:tcPr>
            <w:tcW w:w="28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2D31BE61" w14:textId="77777777" w:rsidR="003813F6" w:rsidRDefault="0092160A">
            <w:r>
              <w:rPr>
                <w:sz w:val="20"/>
                <w:szCs w:val="20"/>
              </w:rPr>
              <w:t xml:space="preserve">Jugador de </w:t>
            </w:r>
            <w:proofErr w:type="spellStart"/>
            <w:r>
              <w:rPr>
                <w:sz w:val="20"/>
                <w:szCs w:val="20"/>
              </w:rPr>
              <w:t>souls-like</w:t>
            </w:r>
            <w:proofErr w:type="spellEnd"/>
            <w:r>
              <w:rPr>
                <w:sz w:val="20"/>
                <w:szCs w:val="20"/>
              </w:rPr>
              <w:t xml:space="preserve"> sin referente cultural</w:t>
            </w:r>
          </w:p>
        </w:tc>
        <w:tc>
          <w:tcPr>
            <w:tcW w:w="228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68616BB3" w14:textId="77777777" w:rsidR="003813F6" w:rsidRDefault="0092160A">
            <w:r>
              <w:rPr>
                <w:sz w:val="20"/>
                <w:szCs w:val="20"/>
              </w:rPr>
              <w:t>Alto</w:t>
            </w:r>
          </w:p>
        </w:tc>
        <w:tc>
          <w:tcPr>
            <w:tcW w:w="428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7C6D9168" w14:textId="77777777" w:rsidR="003813F6" w:rsidRDefault="0092160A">
            <w:r>
              <w:rPr>
                <w:sz w:val="20"/>
                <w:szCs w:val="20"/>
              </w:rPr>
              <w:t>30–50 minutos o abandono</w:t>
            </w:r>
          </w:p>
        </w:tc>
      </w:tr>
      <w:tr w:rsidR="003813F6" w14:paraId="5DF6906B" w14:textId="77777777">
        <w:tblPrEx>
          <w:tblCellMar>
            <w:top w:w="0" w:type="dxa"/>
            <w:bottom w:w="0" w:type="dxa"/>
          </w:tblCellMar>
        </w:tblPrEx>
        <w:tc>
          <w:tcPr>
            <w:tcW w:w="28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7916E016" w14:textId="77777777" w:rsidR="003813F6" w:rsidRDefault="0092160A">
            <w:r>
              <w:rPr>
                <w:sz w:val="20"/>
                <w:szCs w:val="20"/>
              </w:rPr>
              <w:t>Jugador casual sin referentes de género ni cultura</w:t>
            </w:r>
          </w:p>
        </w:tc>
        <w:tc>
          <w:tcPr>
            <w:tcW w:w="228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7D9F95F0" w14:textId="77777777" w:rsidR="003813F6" w:rsidRDefault="0092160A">
            <w:r>
              <w:rPr>
                <w:sz w:val="20"/>
                <w:szCs w:val="20"/>
              </w:rPr>
              <w:t>Muy alto</w:t>
            </w:r>
          </w:p>
        </w:tc>
        <w:tc>
          <w:tcPr>
            <w:tcW w:w="428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6E481265" w14:textId="77777777" w:rsidR="003813F6" w:rsidRDefault="0092160A">
            <w:r>
              <w:rPr>
                <w:sz w:val="20"/>
                <w:szCs w:val="20"/>
              </w:rPr>
              <w:t>Probable abandono antes de 20 min</w:t>
            </w:r>
          </w:p>
        </w:tc>
      </w:tr>
    </w:tbl>
    <w:p w14:paraId="570F5015" w14:textId="77777777" w:rsidR="003813F6" w:rsidRDefault="003813F6">
      <w:pPr>
        <w:spacing w:before="80" w:after="120"/>
      </w:pPr>
    </w:p>
    <w:p w14:paraId="01800F19" w14:textId="77777777" w:rsidR="003813F6" w:rsidRDefault="0092160A">
      <w:pPr>
        <w:pStyle w:val="Ttulo2"/>
      </w:pPr>
      <w:r>
        <w:t>5.2 Estrategia de Validación con Prototipo</w:t>
      </w:r>
    </w:p>
    <w:p w14:paraId="28CFE0EA" w14:textId="77777777" w:rsidR="003813F6" w:rsidRDefault="0092160A">
      <w:pPr>
        <w:spacing w:before="80" w:after="120"/>
      </w:pPr>
      <w:r>
        <w:t>El prototipo de validación tiene un objetivo único y preciso: medir el tiempo de construcción del modelo mental de UI, no la dificultad del combate ni la calidad artística. El prototipo debe ser lo más simple posible en todo lo que no sea la interfaz.</w:t>
      </w:r>
    </w:p>
    <w:p w14:paraId="49F438A4" w14:textId="77777777" w:rsidR="003813F6" w:rsidRDefault="003813F6">
      <w:pPr>
        <w:spacing w:before="80" w:after="120"/>
      </w:pPr>
    </w:p>
    <w:p w14:paraId="392DC36F" w14:textId="77777777" w:rsidR="003813F6" w:rsidRDefault="0092160A">
      <w:pPr>
        <w:pStyle w:val="Ttulo3"/>
      </w:pPr>
      <w:r>
        <w:t>Alcance del Prototipo de Validación</w:t>
      </w:r>
    </w:p>
    <w:p w14:paraId="2BAF3F02" w14:textId="77777777" w:rsidR="003813F6" w:rsidRDefault="003813F6">
      <w:pPr>
        <w:spacing w:before="80" w:after="120"/>
      </w:pPr>
    </w:p>
    <w:p w14:paraId="7D1106B7" w14:textId="77777777" w:rsidR="003813F6" w:rsidRDefault="0092160A">
      <w:pPr>
        <w:pStyle w:val="Prrafodelista"/>
        <w:numPr>
          <w:ilvl w:val="0"/>
          <w:numId w:val="2"/>
        </w:numPr>
        <w:spacing w:before="60" w:after="60"/>
      </w:pPr>
      <w:r>
        <w:t>Una sola zona (primer barrio del pueblo, 10 minutos de recorrido lineal).</w:t>
      </w:r>
    </w:p>
    <w:p w14:paraId="113B9644" w14:textId="77777777" w:rsidR="003813F6" w:rsidRDefault="0092160A">
      <w:pPr>
        <w:pStyle w:val="Prrafodelista"/>
        <w:numPr>
          <w:ilvl w:val="0"/>
          <w:numId w:val="2"/>
        </w:numPr>
        <w:spacing w:before="60" w:after="60"/>
      </w:pPr>
      <w:r>
        <w:t>Tres tipos de enemigos con comportamiento básico.</w:t>
      </w:r>
    </w:p>
    <w:p w14:paraId="360064E1" w14:textId="77777777" w:rsidR="003813F6" w:rsidRDefault="0092160A">
      <w:pPr>
        <w:pStyle w:val="Prrafodelista"/>
        <w:numPr>
          <w:ilvl w:val="0"/>
          <w:numId w:val="2"/>
        </w:numPr>
        <w:spacing w:before="60" w:after="60"/>
      </w:pPr>
      <w:r>
        <w:t>HUD completo con todos los elementos diegéticos implementados.</w:t>
      </w:r>
    </w:p>
    <w:p w14:paraId="482ACBBA" w14:textId="77777777" w:rsidR="003813F6" w:rsidRDefault="0092160A">
      <w:pPr>
        <w:pStyle w:val="Prrafodelista"/>
        <w:numPr>
          <w:ilvl w:val="0"/>
          <w:numId w:val="2"/>
        </w:numPr>
        <w:spacing w:before="60" w:after="60"/>
      </w:pPr>
      <w:r>
        <w:t>Sin diálogos explicativos, sin tutoriales de texto. Solo el mundo.</w:t>
      </w:r>
    </w:p>
    <w:p w14:paraId="2CD67D0E" w14:textId="77777777" w:rsidR="003813F6" w:rsidRDefault="0092160A">
      <w:pPr>
        <w:pStyle w:val="Prrafodelista"/>
        <w:numPr>
          <w:ilvl w:val="0"/>
          <w:numId w:val="2"/>
        </w:numPr>
        <w:spacing w:before="60" w:after="60"/>
      </w:pPr>
      <w:r>
        <w:t xml:space="preserve">Un nicho activable, un altar de Gracia, un </w:t>
      </w:r>
      <w:proofErr w:type="spellStart"/>
      <w:r>
        <w:t>boss</w:t>
      </w:r>
      <w:proofErr w:type="spellEnd"/>
      <w:r>
        <w:t xml:space="preserve"> menor al final.</w:t>
      </w:r>
    </w:p>
    <w:p w14:paraId="3B885DCC" w14:textId="77777777" w:rsidR="003813F6" w:rsidRDefault="003813F6">
      <w:pPr>
        <w:spacing w:before="80" w:after="120"/>
      </w:pPr>
    </w:p>
    <w:p w14:paraId="79834188" w14:textId="77777777" w:rsidR="003813F6" w:rsidRDefault="0092160A">
      <w:pPr>
        <w:pStyle w:val="Ttulo3"/>
      </w:pPr>
      <w:r>
        <w:t>Metodología de Prueba</w:t>
      </w:r>
    </w:p>
    <w:p w14:paraId="3B760A39" w14:textId="77777777" w:rsidR="003813F6" w:rsidRDefault="003813F6">
      <w:pPr>
        <w:spacing w:before="80" w:after="120"/>
      </w:pPr>
    </w:p>
    <w:p w14:paraId="3A730473" w14:textId="77777777" w:rsidR="003813F6" w:rsidRDefault="0092160A">
      <w:pPr>
        <w:pStyle w:val="Prrafodelista"/>
        <w:numPr>
          <w:ilvl w:val="0"/>
          <w:numId w:val="2"/>
        </w:numPr>
        <w:spacing w:before="60" w:after="60"/>
      </w:pPr>
      <w:r>
        <w:t xml:space="preserve">Sesiones de observación en silencio con 12 participantes (4 por perfil: con referente, sin referente, jugador de </w:t>
      </w:r>
      <w:proofErr w:type="spellStart"/>
      <w:r>
        <w:t>souls</w:t>
      </w:r>
      <w:proofErr w:type="spellEnd"/>
      <w:r>
        <w:t>).</w:t>
      </w:r>
    </w:p>
    <w:p w14:paraId="697E7E26" w14:textId="77777777" w:rsidR="003813F6" w:rsidRDefault="0092160A">
      <w:pPr>
        <w:pStyle w:val="Prrafodelista"/>
        <w:numPr>
          <w:ilvl w:val="0"/>
          <w:numId w:val="2"/>
        </w:numPr>
        <w:spacing w:before="60" w:after="60"/>
      </w:pPr>
      <w:r>
        <w:lastRenderedPageBreak/>
        <w:t>Métricas cuantitativas: número de muertes en los primeros 5 minutos atribuibles a no leer la salud correctamente, tiempo hasta primer uso exitoso de Devoción, porcentaje de jugadores que activan el nicho sin explicación.</w:t>
      </w:r>
    </w:p>
    <w:p w14:paraId="34BA77DC" w14:textId="77777777" w:rsidR="003813F6" w:rsidRDefault="0092160A">
      <w:pPr>
        <w:pStyle w:val="Prrafodelista"/>
        <w:numPr>
          <w:ilvl w:val="0"/>
          <w:numId w:val="2"/>
        </w:numPr>
        <w:spacing w:before="60" w:after="60"/>
      </w:pPr>
      <w:r>
        <w:t xml:space="preserve">Métricas cualitativas: pensamiento en voz alta durante la sesión, entrevista </w:t>
      </w:r>
      <w:proofErr w:type="spellStart"/>
      <w:r>
        <w:t>post-sesión</w:t>
      </w:r>
      <w:proofErr w:type="spellEnd"/>
      <w:r>
        <w:t xml:space="preserve"> de 10 minutos sobre qué representaba cada elemento de la UI.</w:t>
      </w:r>
    </w:p>
    <w:p w14:paraId="7094F6A8" w14:textId="77777777" w:rsidR="003813F6" w:rsidRDefault="0092160A">
      <w:pPr>
        <w:pStyle w:val="Prrafodelista"/>
        <w:numPr>
          <w:ilvl w:val="0"/>
          <w:numId w:val="2"/>
        </w:numPr>
        <w:spacing w:before="60" w:after="60"/>
      </w:pPr>
      <w:r>
        <w:t xml:space="preserve">Criterio de éxito: 75% de los jugadores de cualquier perfil construye el modelo correcto de los tres recursos principales (salud, </w:t>
      </w:r>
      <w:proofErr w:type="spellStart"/>
      <w:r>
        <w:t>stamina</w:t>
      </w:r>
      <w:proofErr w:type="spellEnd"/>
      <w:r>
        <w:t>, devoción) antes del minuto 15.</w:t>
      </w:r>
    </w:p>
    <w:p w14:paraId="1DC76CAA"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440"/>
        <w:gridCol w:w="7920"/>
      </w:tblGrid>
      <w:tr w:rsidR="003813F6" w14:paraId="0EF46AF0" w14:textId="77777777">
        <w:tc>
          <w:tcPr>
            <w:tcW w:w="1440" w:type="dxa"/>
            <w:tcBorders>
              <w:top w:val="single" w:sz="1" w:space="0" w:color="8B2020"/>
              <w:left w:val="single" w:sz="1" w:space="0" w:color="8B2020"/>
              <w:bottom w:val="single" w:sz="1" w:space="0" w:color="8B2020"/>
              <w:right w:val="single" w:sz="1" w:space="0" w:color="8B2020"/>
            </w:tcBorders>
            <w:shd w:val="clear" w:color="auto" w:fill="1A3A4A"/>
            <w:tcMar>
              <w:top w:w="120" w:type="dxa"/>
              <w:left w:w="160" w:type="dxa"/>
              <w:bottom w:w="120" w:type="dxa"/>
              <w:right w:w="160" w:type="dxa"/>
            </w:tcMar>
            <w:vAlign w:val="center"/>
          </w:tcPr>
          <w:p w14:paraId="06A08350" w14:textId="77777777" w:rsidR="003813F6" w:rsidRDefault="0092160A">
            <w:pPr>
              <w:jc w:val="center"/>
            </w:pPr>
            <w:proofErr w:type="gramStart"/>
            <w:r>
              <w:rPr>
                <w:b/>
                <w:bCs/>
                <w:color w:val="FFFFFF"/>
                <w:sz w:val="20"/>
                <w:szCs w:val="20"/>
              </w:rPr>
              <w:t>HIPÓTESIS A VALIDAR</w:t>
            </w:r>
            <w:proofErr w:type="gramEnd"/>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56DA4776" w14:textId="77777777" w:rsidR="003813F6" w:rsidRDefault="0092160A">
            <w:r>
              <w:rPr>
                <w:i/>
                <w:iCs/>
              </w:rPr>
              <w:t xml:space="preserve">El referente cultural no necesita ser previo: si el entorno es suficientemente coherente (sonido, visual, comportamiento de </w:t>
            </w:r>
            <w:proofErr w:type="spellStart"/>
            <w:r>
              <w:rPr>
                <w:i/>
                <w:iCs/>
              </w:rPr>
              <w:t>NPCs</w:t>
            </w:r>
            <w:proofErr w:type="spellEnd"/>
            <w:r>
              <w:rPr>
                <w:i/>
                <w:iCs/>
              </w:rPr>
              <w:t>), el jugador construye el modelo mental por inferencia contextual en menos de 15 minutos.</w:t>
            </w:r>
          </w:p>
        </w:tc>
      </w:tr>
    </w:tbl>
    <w:p w14:paraId="51B73055" w14:textId="77777777" w:rsidR="003813F6" w:rsidRDefault="003813F6">
      <w:pPr>
        <w:spacing w:before="80" w:after="120"/>
      </w:pPr>
    </w:p>
    <w:p w14:paraId="7BC62117" w14:textId="77777777" w:rsidR="003813F6" w:rsidRDefault="0092160A">
      <w:pPr>
        <w:pStyle w:val="Ttulo3"/>
      </w:pPr>
      <w:r>
        <w:t>Palancas de Ajuste según Resultados</w:t>
      </w:r>
    </w:p>
    <w:p w14:paraId="7AF064FD" w14:textId="77777777" w:rsidR="003813F6" w:rsidRDefault="003813F6">
      <w:pPr>
        <w:spacing w:before="80" w:after="120"/>
      </w:pPr>
    </w:p>
    <w:p w14:paraId="735F4501" w14:textId="77777777" w:rsidR="003813F6" w:rsidRDefault="0092160A">
      <w:pPr>
        <w:pStyle w:val="Prrafodelista"/>
        <w:numPr>
          <w:ilvl w:val="0"/>
          <w:numId w:val="2"/>
        </w:numPr>
        <w:spacing w:before="60" w:after="60"/>
      </w:pPr>
      <w:r>
        <w:t>Si el modelo se construye en &gt; 20 min: añadir un NPC-guía (un niño que reza) que haga la acción correcta antes de que el jugador la necesite. No explicar; demostrar.</w:t>
      </w:r>
    </w:p>
    <w:p w14:paraId="28E72463" w14:textId="77777777" w:rsidR="003813F6" w:rsidRDefault="0092160A">
      <w:pPr>
        <w:pStyle w:val="Prrafodelista"/>
        <w:numPr>
          <w:ilvl w:val="0"/>
          <w:numId w:val="2"/>
        </w:numPr>
        <w:spacing w:before="60" w:after="60"/>
      </w:pPr>
      <w:r>
        <w:t>Si la Devoción no se usa en el primer encuentro: agregar un promesero muerto (cadáver de NPC con el rosario en la mano) antes del primer encuentro hostil.</w:t>
      </w:r>
    </w:p>
    <w:p w14:paraId="466BA888" w14:textId="77777777" w:rsidR="003813F6" w:rsidRDefault="0092160A">
      <w:pPr>
        <w:pStyle w:val="Prrafodelista"/>
        <w:numPr>
          <w:ilvl w:val="0"/>
          <w:numId w:val="2"/>
        </w:numPr>
        <w:spacing w:before="60" w:after="60"/>
      </w:pPr>
      <w:r>
        <w:t xml:space="preserve">Si la salud se confunde con </w:t>
      </w:r>
      <w:proofErr w:type="spellStart"/>
      <w:r>
        <w:t>stamina</w:t>
      </w:r>
      <w:proofErr w:type="spellEnd"/>
      <w:r>
        <w:t>: separar físicamente más los dos elementos o cambiar la metáfora de uno de los dos.</w:t>
      </w:r>
    </w:p>
    <w:p w14:paraId="2B2D3696" w14:textId="77777777" w:rsidR="003813F6" w:rsidRDefault="003813F6">
      <w:pPr>
        <w:spacing w:before="80" w:after="120"/>
      </w:pPr>
    </w:p>
    <w:p w14:paraId="0093CF6B" w14:textId="77777777" w:rsidR="003813F6" w:rsidRDefault="0092160A">
      <w:pPr>
        <w:pStyle w:val="Ttulo1"/>
        <w:pBdr>
          <w:bottom w:val="single" w:sz="8" w:space="4" w:color="6B0F1A"/>
        </w:pBdr>
      </w:pPr>
      <w:r>
        <w:t xml:space="preserve">6. </w:t>
      </w:r>
      <w:proofErr w:type="spellStart"/>
      <w:r>
        <w:t>Trade</w:t>
      </w:r>
      <w:proofErr w:type="spellEnd"/>
      <w:r>
        <w:t>-off Explícito</w:t>
      </w:r>
    </w:p>
    <w:p w14:paraId="4188F4D1" w14:textId="77777777" w:rsidR="003813F6" w:rsidRDefault="0092160A">
      <w:pPr>
        <w:pStyle w:val="Ttulo2"/>
      </w:pPr>
      <w:r>
        <w:t xml:space="preserve">6.1 El Dilema Central: </w:t>
      </w:r>
      <w:proofErr w:type="spellStart"/>
      <w:r>
        <w:t>Diegesis</w:t>
      </w:r>
      <w:proofErr w:type="spellEnd"/>
      <w:r>
        <w:t xml:space="preserve"> vs. Accesibilidad Universal</w:t>
      </w:r>
    </w:p>
    <w:p w14:paraId="3E24D191"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440"/>
        <w:gridCol w:w="7920"/>
      </w:tblGrid>
      <w:tr w:rsidR="003813F6" w14:paraId="74FF3890" w14:textId="77777777">
        <w:tc>
          <w:tcPr>
            <w:tcW w:w="1440" w:type="dxa"/>
            <w:tcBorders>
              <w:top w:val="single" w:sz="1" w:space="0" w:color="8B2020"/>
              <w:left w:val="single" w:sz="1" w:space="0" w:color="8B2020"/>
              <w:bottom w:val="single" w:sz="1" w:space="0" w:color="8B2020"/>
              <w:right w:val="single" w:sz="1" w:space="0" w:color="8B2020"/>
            </w:tcBorders>
            <w:shd w:val="clear" w:color="auto" w:fill="6B0F1A"/>
            <w:tcMar>
              <w:top w:w="120" w:type="dxa"/>
              <w:left w:w="160" w:type="dxa"/>
              <w:bottom w:w="120" w:type="dxa"/>
              <w:right w:w="160" w:type="dxa"/>
            </w:tcMar>
            <w:vAlign w:val="center"/>
          </w:tcPr>
          <w:p w14:paraId="25886C3D" w14:textId="77777777" w:rsidR="003813F6" w:rsidRDefault="0092160A">
            <w:pPr>
              <w:jc w:val="center"/>
            </w:pPr>
            <w:r>
              <w:rPr>
                <w:b/>
                <w:bCs/>
                <w:color w:val="FFFFFF"/>
                <w:sz w:val="20"/>
                <w:szCs w:val="20"/>
              </w:rPr>
              <w:t>TRADE-OFF</w:t>
            </w:r>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7DAD1B5A" w14:textId="77777777" w:rsidR="003813F6" w:rsidRDefault="0092160A">
            <w:r>
              <w:rPr>
                <w:i/>
                <w:iCs/>
              </w:rPr>
              <w:t>A mayor coherencia diegética de la UI (más inmersión, más identidad cultural), mayor riesgo de opacidad para perfiles sin referente. A mayor asistencia visual genérica (más accesibilidad), menor distinción del producto y ruptura de la fantasía de lugar.</w:t>
            </w:r>
          </w:p>
        </w:tc>
      </w:tr>
    </w:tbl>
    <w:p w14:paraId="7E29E9AA" w14:textId="77777777" w:rsidR="003813F6" w:rsidRDefault="003813F6">
      <w:pPr>
        <w:spacing w:before="80" w:after="120"/>
      </w:pPr>
    </w:p>
    <w:p w14:paraId="28F61A9E" w14:textId="77777777" w:rsidR="003813F6" w:rsidRDefault="0092160A">
      <w:pPr>
        <w:spacing w:before="80" w:after="120"/>
      </w:pPr>
      <w:r>
        <w:t>Este no es un problema resoluble: es una tensión constitutiva del diseño. La decisión correcta no es eliminar uno de los extremos sino posicionarse conscientemente en el espectro.</w:t>
      </w:r>
    </w:p>
    <w:p w14:paraId="0467DC9E"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3813F6" w14:paraId="2884A838" w14:textId="77777777">
        <w:tblPrEx>
          <w:tblCellMar>
            <w:top w:w="0" w:type="dxa"/>
            <w:bottom w:w="0" w:type="dxa"/>
          </w:tblCellMar>
        </w:tblPrEx>
        <w:trPr>
          <w:tblHeader/>
        </w:trPr>
        <w:tc>
          <w:tcPr>
            <w:tcW w:w="18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1F875C3D" w14:textId="77777777" w:rsidR="003813F6" w:rsidRDefault="0092160A">
            <w:r>
              <w:rPr>
                <w:b/>
                <w:bCs/>
                <w:color w:val="FFFFFF"/>
                <w:sz w:val="20"/>
                <w:szCs w:val="20"/>
              </w:rPr>
              <w:t>Opción</w:t>
            </w:r>
          </w:p>
        </w:tc>
        <w:tc>
          <w:tcPr>
            <w:tcW w:w="24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26EA4489" w14:textId="77777777" w:rsidR="003813F6" w:rsidRDefault="0092160A">
            <w:r>
              <w:rPr>
                <w:b/>
                <w:bCs/>
                <w:color w:val="FFFFFF"/>
                <w:sz w:val="20"/>
                <w:szCs w:val="20"/>
              </w:rPr>
              <w:t>Ganancia</w:t>
            </w:r>
          </w:p>
        </w:tc>
        <w:tc>
          <w:tcPr>
            <w:tcW w:w="24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04541457" w14:textId="77777777" w:rsidR="003813F6" w:rsidRDefault="0092160A">
            <w:r>
              <w:rPr>
                <w:b/>
                <w:bCs/>
                <w:color w:val="FFFFFF"/>
                <w:sz w:val="20"/>
                <w:szCs w:val="20"/>
              </w:rPr>
              <w:t>Pérdida</w:t>
            </w:r>
          </w:p>
        </w:tc>
        <w:tc>
          <w:tcPr>
            <w:tcW w:w="276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289CF58B" w14:textId="77777777" w:rsidR="003813F6" w:rsidRDefault="0092160A">
            <w:r>
              <w:rPr>
                <w:b/>
                <w:bCs/>
                <w:color w:val="FFFFFF"/>
                <w:sz w:val="20"/>
                <w:szCs w:val="20"/>
              </w:rPr>
              <w:t>Para quién sirve</w:t>
            </w:r>
          </w:p>
        </w:tc>
      </w:tr>
      <w:tr w:rsidR="003813F6" w14:paraId="75769B82" w14:textId="77777777">
        <w:tblPrEx>
          <w:tblCellMar>
            <w:top w:w="0" w:type="dxa"/>
            <w:bottom w:w="0" w:type="dxa"/>
          </w:tblCellMar>
        </w:tblPrEx>
        <w:tc>
          <w:tcPr>
            <w:tcW w:w="18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04363434" w14:textId="77777777" w:rsidR="003813F6" w:rsidRDefault="0092160A">
            <w:r>
              <w:rPr>
                <w:sz w:val="20"/>
                <w:szCs w:val="20"/>
              </w:rPr>
              <w:t>UI 100% diegética (sin asistencia)</w:t>
            </w:r>
          </w:p>
        </w:tc>
        <w:tc>
          <w:tcPr>
            <w:tcW w:w="2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2E7D69C9" w14:textId="77777777" w:rsidR="003813F6" w:rsidRDefault="0092160A">
            <w:r>
              <w:rPr>
                <w:sz w:val="20"/>
                <w:szCs w:val="20"/>
              </w:rPr>
              <w:t>Máxima coherencia, identidad única, prensa cultural</w:t>
            </w:r>
          </w:p>
        </w:tc>
        <w:tc>
          <w:tcPr>
            <w:tcW w:w="2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1C501505" w14:textId="77777777" w:rsidR="003813F6" w:rsidRDefault="0092160A">
            <w:r>
              <w:rPr>
                <w:sz w:val="20"/>
                <w:szCs w:val="20"/>
              </w:rPr>
              <w:t>Abandono alto en perfiles sin referente, accesibilidad reducida</w:t>
            </w:r>
          </w:p>
        </w:tc>
        <w:tc>
          <w:tcPr>
            <w:tcW w:w="27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74321DB" w14:textId="77777777" w:rsidR="003813F6" w:rsidRDefault="0092160A">
            <w:r>
              <w:rPr>
                <w:sz w:val="20"/>
                <w:szCs w:val="20"/>
              </w:rPr>
              <w:t>Jugadores de nicho, mercado cultural específico</w:t>
            </w:r>
          </w:p>
        </w:tc>
      </w:tr>
      <w:tr w:rsidR="003813F6" w14:paraId="7D186FEE" w14:textId="77777777">
        <w:tblPrEx>
          <w:tblCellMar>
            <w:top w:w="0" w:type="dxa"/>
            <w:bottom w:w="0" w:type="dxa"/>
          </w:tblCellMar>
        </w:tblPrEx>
        <w:tc>
          <w:tcPr>
            <w:tcW w:w="18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6238B8F8" w14:textId="77777777" w:rsidR="003813F6" w:rsidRDefault="0092160A">
            <w:r>
              <w:rPr>
                <w:sz w:val="20"/>
                <w:szCs w:val="20"/>
              </w:rPr>
              <w:lastRenderedPageBreak/>
              <w:t>UI híbrida con asistencia opcional</w:t>
            </w:r>
          </w:p>
        </w:tc>
        <w:tc>
          <w:tcPr>
            <w:tcW w:w="24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351CEDEB" w14:textId="77777777" w:rsidR="003813F6" w:rsidRDefault="0092160A">
            <w:r>
              <w:rPr>
                <w:sz w:val="20"/>
                <w:szCs w:val="20"/>
              </w:rPr>
              <w:t>Amplia audiencia, datos de prueba comparables, menor riesgo de abandono</w:t>
            </w:r>
          </w:p>
        </w:tc>
        <w:tc>
          <w:tcPr>
            <w:tcW w:w="24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31E01276" w14:textId="77777777" w:rsidR="003813F6" w:rsidRDefault="0092160A">
            <w:r>
              <w:rPr>
                <w:sz w:val="20"/>
                <w:szCs w:val="20"/>
              </w:rPr>
              <w:t>Complejidad de implementación, riesgo de que la opción 'asistida' se convierta en el default</w:t>
            </w:r>
          </w:p>
        </w:tc>
        <w:tc>
          <w:tcPr>
            <w:tcW w:w="27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7C30F448" w14:textId="77777777" w:rsidR="003813F6" w:rsidRDefault="0092160A">
            <w:r>
              <w:rPr>
                <w:sz w:val="20"/>
                <w:szCs w:val="20"/>
              </w:rPr>
              <w:t xml:space="preserve">Audiencia de </w:t>
            </w:r>
            <w:proofErr w:type="spellStart"/>
            <w:r>
              <w:rPr>
                <w:sz w:val="20"/>
                <w:szCs w:val="20"/>
              </w:rPr>
              <w:t>souls-like</w:t>
            </w:r>
            <w:proofErr w:type="spellEnd"/>
            <w:r>
              <w:rPr>
                <w:sz w:val="20"/>
                <w:szCs w:val="20"/>
              </w:rPr>
              <w:t xml:space="preserve"> general + nicho cultural</w:t>
            </w:r>
          </w:p>
        </w:tc>
      </w:tr>
      <w:tr w:rsidR="003813F6" w14:paraId="703D7D69" w14:textId="77777777">
        <w:tblPrEx>
          <w:tblCellMar>
            <w:top w:w="0" w:type="dxa"/>
            <w:bottom w:w="0" w:type="dxa"/>
          </w:tblCellMar>
        </w:tblPrEx>
        <w:tc>
          <w:tcPr>
            <w:tcW w:w="18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2D8AEE61" w14:textId="77777777" w:rsidR="003813F6" w:rsidRDefault="0092160A">
            <w:r>
              <w:rPr>
                <w:sz w:val="20"/>
                <w:szCs w:val="20"/>
              </w:rPr>
              <w:t>UI con tutorial contextual (demostración, no texto)</w:t>
            </w:r>
          </w:p>
        </w:tc>
        <w:tc>
          <w:tcPr>
            <w:tcW w:w="2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5E7CEE3" w14:textId="77777777" w:rsidR="003813F6" w:rsidRDefault="0092160A">
            <w:r>
              <w:rPr>
                <w:sz w:val="20"/>
                <w:szCs w:val="20"/>
              </w:rPr>
              <w:t xml:space="preserve">Balance entre inmersión y aprendizaje, modelo de Hollow Knight / Dark </w:t>
            </w:r>
            <w:proofErr w:type="spellStart"/>
            <w:r>
              <w:rPr>
                <w:sz w:val="20"/>
                <w:szCs w:val="20"/>
              </w:rPr>
              <w:t>Souls</w:t>
            </w:r>
            <w:proofErr w:type="spellEnd"/>
            <w:r>
              <w:rPr>
                <w:sz w:val="20"/>
                <w:szCs w:val="20"/>
              </w:rPr>
              <w:t xml:space="preserve"> 1</w:t>
            </w:r>
          </w:p>
        </w:tc>
        <w:tc>
          <w:tcPr>
            <w:tcW w:w="24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68F8B786" w14:textId="77777777" w:rsidR="003813F6" w:rsidRDefault="0092160A">
            <w:r>
              <w:rPr>
                <w:sz w:val="20"/>
                <w:szCs w:val="20"/>
              </w:rPr>
              <w:t xml:space="preserve">Requiere más diseño de nivel para integrar las demostraciones </w:t>
            </w:r>
            <w:proofErr w:type="spellStart"/>
            <w:r>
              <w:rPr>
                <w:sz w:val="20"/>
                <w:szCs w:val="20"/>
              </w:rPr>
              <w:t>organicamente</w:t>
            </w:r>
            <w:proofErr w:type="spellEnd"/>
          </w:p>
        </w:tc>
        <w:tc>
          <w:tcPr>
            <w:tcW w:w="27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28A58073" w14:textId="77777777" w:rsidR="003813F6" w:rsidRDefault="0092160A">
            <w:r>
              <w:rPr>
                <w:sz w:val="20"/>
                <w:szCs w:val="20"/>
              </w:rPr>
              <w:t>Audiencia amplia con respeto a la coherencia</w:t>
            </w:r>
          </w:p>
        </w:tc>
      </w:tr>
    </w:tbl>
    <w:p w14:paraId="020129D9" w14:textId="77777777" w:rsidR="003813F6" w:rsidRDefault="003813F6">
      <w:pPr>
        <w:spacing w:before="80" w:after="120"/>
      </w:pPr>
    </w:p>
    <w:p w14:paraId="01AF1153" w14:textId="77777777" w:rsidR="003813F6" w:rsidRDefault="0092160A">
      <w:pPr>
        <w:pStyle w:val="Ttulo2"/>
      </w:pPr>
      <w:r>
        <w:t>6.2 Decisión Adoptada y Justificación</w:t>
      </w:r>
    </w:p>
    <w:p w14:paraId="34384611" w14:textId="77777777" w:rsidR="003813F6" w:rsidRDefault="0092160A">
      <w:pPr>
        <w:spacing w:before="80" w:after="120"/>
      </w:pPr>
      <w:r>
        <w:t>El proyecto adopta la opción 3 (UI con tutorial contextual) como postura de diseño principal, complementada con el sistema de Modos de HUD de la sección 2.3 como red de seguridad de accesibilidad.</w:t>
      </w:r>
    </w:p>
    <w:p w14:paraId="6DE4CB64" w14:textId="77777777" w:rsidR="003813F6" w:rsidRDefault="003813F6">
      <w:pPr>
        <w:spacing w:before="80" w:after="120"/>
      </w:pPr>
    </w:p>
    <w:p w14:paraId="7D5BAFFD" w14:textId="77777777" w:rsidR="003813F6" w:rsidRDefault="0092160A">
      <w:pPr>
        <w:spacing w:before="80" w:after="120"/>
      </w:pPr>
      <w:r>
        <w:t>La justificación tiene tres argumentos:</w:t>
      </w:r>
    </w:p>
    <w:p w14:paraId="417B7612" w14:textId="77777777" w:rsidR="003813F6" w:rsidRDefault="003813F6">
      <w:pPr>
        <w:spacing w:before="80" w:after="120"/>
      </w:pPr>
    </w:p>
    <w:p w14:paraId="386D5F70" w14:textId="77777777" w:rsidR="003813F6" w:rsidRDefault="0092160A">
      <w:pPr>
        <w:pStyle w:val="Prrafodelista"/>
        <w:numPr>
          <w:ilvl w:val="0"/>
          <w:numId w:val="2"/>
        </w:numPr>
        <w:spacing w:before="60" w:after="60"/>
      </w:pPr>
      <w:r>
        <w:t xml:space="preserve">Argumento de coherencia de producto: Sincretismo no puede competir con AAA en </w:t>
      </w:r>
      <w:proofErr w:type="gramStart"/>
      <w:r>
        <w:t>producción</w:t>
      </w:r>
      <w:proofErr w:type="gramEnd"/>
      <w:r>
        <w:t xml:space="preserve"> pero sí en identidad. Diluir la UI para ampliar audiencia erosiona la única ventaja competitiva real del proyecto en el mercado internacional.</w:t>
      </w:r>
    </w:p>
    <w:p w14:paraId="56F32FCA" w14:textId="77777777" w:rsidR="003813F6" w:rsidRDefault="0092160A">
      <w:pPr>
        <w:pStyle w:val="Prrafodelista"/>
        <w:numPr>
          <w:ilvl w:val="0"/>
          <w:numId w:val="2"/>
        </w:numPr>
        <w:spacing w:before="60" w:after="60"/>
      </w:pPr>
      <w:r>
        <w:t xml:space="preserve">Argumento de diseño: Dark </w:t>
      </w:r>
      <w:proofErr w:type="spellStart"/>
      <w:r>
        <w:t>Souls</w:t>
      </w:r>
      <w:proofErr w:type="spellEnd"/>
      <w:r>
        <w:t xml:space="preserve"> 1 nunca explica su interfaz con texto; la enseña a través de la muerte, el entorno y los cadáveres de otros jugadores. Este diseño es exactamente eso, traducido al contexto cultural mexicano. Es la referencia más exitosa del género.</w:t>
      </w:r>
    </w:p>
    <w:p w14:paraId="4A7D4BFF" w14:textId="77777777" w:rsidR="003813F6" w:rsidRDefault="0092160A">
      <w:pPr>
        <w:pStyle w:val="Prrafodelista"/>
        <w:numPr>
          <w:ilvl w:val="0"/>
          <w:numId w:val="2"/>
        </w:numPr>
        <w:spacing w:before="60" w:after="60"/>
      </w:pPr>
      <w:r>
        <w:t>Argumento de riesgo: La opción 3 permite iterar sin comprometer la dirección de arte. Si el prototipo demuestra que el modelo mental no se construye, se añaden demostraciones contextuales. La UI diegética permanece intacta; solo se añaden más 'maestros' en el nivel.</w:t>
      </w:r>
    </w:p>
    <w:p w14:paraId="43D959E4"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709"/>
        <w:gridCol w:w="7651"/>
      </w:tblGrid>
      <w:tr w:rsidR="003813F6" w14:paraId="7380A52A" w14:textId="77777777">
        <w:tc>
          <w:tcPr>
            <w:tcW w:w="1440" w:type="dxa"/>
            <w:tcBorders>
              <w:top w:val="single" w:sz="1" w:space="0" w:color="8B2020"/>
              <w:left w:val="single" w:sz="1" w:space="0" w:color="8B2020"/>
              <w:bottom w:val="single" w:sz="1" w:space="0" w:color="8B2020"/>
              <w:right w:val="single" w:sz="1" w:space="0" w:color="8B2020"/>
            </w:tcBorders>
            <w:shd w:val="clear" w:color="auto" w:fill="6B0F1A"/>
            <w:tcMar>
              <w:top w:w="120" w:type="dxa"/>
              <w:left w:w="160" w:type="dxa"/>
              <w:bottom w:w="120" w:type="dxa"/>
              <w:right w:w="160" w:type="dxa"/>
            </w:tcMar>
            <w:vAlign w:val="center"/>
          </w:tcPr>
          <w:p w14:paraId="045A5B05" w14:textId="77777777" w:rsidR="003813F6" w:rsidRDefault="0092160A">
            <w:pPr>
              <w:jc w:val="center"/>
            </w:pPr>
            <w:r>
              <w:rPr>
                <w:b/>
                <w:bCs/>
                <w:color w:val="FFFFFF"/>
                <w:sz w:val="20"/>
                <w:szCs w:val="20"/>
              </w:rPr>
              <w:t>LO QUE NO NEGOCIAMOS</w:t>
            </w:r>
          </w:p>
        </w:tc>
        <w:tc>
          <w:tcPr>
            <w:tcW w:w="7920" w:type="dxa"/>
            <w:tcBorders>
              <w:top w:val="single" w:sz="1" w:space="0" w:color="8B2020"/>
              <w:left w:val="single" w:sz="1" w:space="0" w:color="8B2020"/>
              <w:bottom w:val="single" w:sz="1" w:space="0" w:color="8B2020"/>
              <w:right w:val="single" w:sz="1" w:space="0" w:color="8B2020"/>
            </w:tcBorders>
            <w:shd w:val="clear" w:color="auto" w:fill="FDF8EE"/>
            <w:tcMar>
              <w:top w:w="120" w:type="dxa"/>
              <w:left w:w="200" w:type="dxa"/>
              <w:bottom w:w="120" w:type="dxa"/>
              <w:right w:w="160" w:type="dxa"/>
            </w:tcMar>
          </w:tcPr>
          <w:p w14:paraId="19628478" w14:textId="77777777" w:rsidR="003813F6" w:rsidRDefault="0092160A">
            <w:r>
              <w:rPr>
                <w:i/>
                <w:iCs/>
              </w:rPr>
              <w:t>La metáfora diegética de cada elemento de la UI es no negociable. Se puede ajustar cómo el jugador aprende a leerla; no se puede cambiar el corazón de cera por una barra de vida genérica.</w:t>
            </w:r>
          </w:p>
        </w:tc>
      </w:tr>
    </w:tbl>
    <w:p w14:paraId="294D3797" w14:textId="77777777" w:rsidR="003813F6" w:rsidRDefault="003813F6">
      <w:pPr>
        <w:spacing w:before="80" w:after="120"/>
      </w:pPr>
    </w:p>
    <w:p w14:paraId="125A7519" w14:textId="77777777" w:rsidR="003813F6" w:rsidRDefault="003813F6">
      <w:pPr>
        <w:pBdr>
          <w:bottom w:val="single" w:sz="4" w:space="2" w:color="D4A017"/>
        </w:pBdr>
        <w:spacing w:before="240" w:after="240"/>
      </w:pPr>
    </w:p>
    <w:p w14:paraId="334B005F" w14:textId="77777777" w:rsidR="003813F6" w:rsidRDefault="0092160A">
      <w:pPr>
        <w:pStyle w:val="Ttulo1"/>
        <w:pBdr>
          <w:bottom w:val="single" w:sz="8" w:space="4" w:color="6B0F1A"/>
        </w:pBdr>
      </w:pPr>
      <w:r>
        <w:t>7. Resumen de Decisiones y Principios Rectores</w:t>
      </w:r>
    </w:p>
    <w:p w14:paraId="5F5A1081" w14:textId="77777777" w:rsidR="003813F6" w:rsidRDefault="003813F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3813F6" w14:paraId="1B1D2565" w14:textId="77777777">
        <w:tblPrEx>
          <w:tblCellMar>
            <w:top w:w="0" w:type="dxa"/>
            <w:bottom w:w="0" w:type="dxa"/>
          </w:tblCellMar>
        </w:tblPrEx>
        <w:trPr>
          <w:tblHeader/>
        </w:trPr>
        <w:tc>
          <w:tcPr>
            <w:tcW w:w="22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1D381675" w14:textId="77777777" w:rsidR="003813F6" w:rsidRDefault="0092160A">
            <w:r>
              <w:rPr>
                <w:b/>
                <w:bCs/>
                <w:color w:val="FFFFFF"/>
                <w:sz w:val="20"/>
                <w:szCs w:val="20"/>
              </w:rPr>
              <w:lastRenderedPageBreak/>
              <w:t>Decisión</w:t>
            </w:r>
          </w:p>
        </w:tc>
        <w:tc>
          <w:tcPr>
            <w:tcW w:w="260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0BC24812" w14:textId="77777777" w:rsidR="003813F6" w:rsidRDefault="0092160A">
            <w:r>
              <w:rPr>
                <w:b/>
                <w:bCs/>
                <w:color w:val="FFFFFF"/>
                <w:sz w:val="20"/>
                <w:szCs w:val="20"/>
              </w:rPr>
              <w:t>Principio</w:t>
            </w:r>
          </w:p>
        </w:tc>
        <w:tc>
          <w:tcPr>
            <w:tcW w:w="4560" w:type="dxa"/>
            <w:tcBorders>
              <w:top w:val="single" w:sz="1" w:space="0" w:color="8B2020"/>
              <w:left w:val="single" w:sz="1" w:space="0" w:color="8B2020"/>
              <w:bottom w:val="single" w:sz="1" w:space="0" w:color="8B2020"/>
              <w:right w:val="single" w:sz="1" w:space="0" w:color="8B2020"/>
            </w:tcBorders>
            <w:shd w:val="clear" w:color="auto" w:fill="5C1A1A"/>
            <w:tcMar>
              <w:top w:w="100" w:type="dxa"/>
              <w:left w:w="150" w:type="dxa"/>
              <w:bottom w:w="100" w:type="dxa"/>
              <w:right w:w="150" w:type="dxa"/>
            </w:tcMar>
          </w:tcPr>
          <w:p w14:paraId="37538B8B" w14:textId="77777777" w:rsidR="003813F6" w:rsidRDefault="0092160A">
            <w:r>
              <w:rPr>
                <w:b/>
                <w:bCs/>
                <w:color w:val="FFFFFF"/>
                <w:sz w:val="20"/>
                <w:szCs w:val="20"/>
              </w:rPr>
              <w:t>Consecuencia Aceptada</w:t>
            </w:r>
          </w:p>
        </w:tc>
      </w:tr>
      <w:tr w:rsidR="003813F6" w14:paraId="278ABECD" w14:textId="77777777">
        <w:tblPrEx>
          <w:tblCellMar>
            <w:top w:w="0" w:type="dxa"/>
            <w:bottom w:w="0" w:type="dxa"/>
          </w:tblCellMar>
        </w:tblPrEx>
        <w:tc>
          <w:tcPr>
            <w:tcW w:w="22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8305B9F" w14:textId="77777777" w:rsidR="003813F6" w:rsidRDefault="0092160A">
            <w:r>
              <w:rPr>
                <w:sz w:val="20"/>
                <w:szCs w:val="20"/>
              </w:rPr>
              <w:t>UI 100% diegética con referentes mexicanos</w:t>
            </w:r>
          </w:p>
        </w:tc>
        <w:tc>
          <w:tcPr>
            <w:tcW w:w="26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0237CAFE" w14:textId="77777777" w:rsidR="003813F6" w:rsidRDefault="0092160A">
            <w:r>
              <w:rPr>
                <w:sz w:val="20"/>
                <w:szCs w:val="20"/>
              </w:rPr>
              <w:t>Identidad sobre universalidad</w:t>
            </w:r>
          </w:p>
        </w:tc>
        <w:tc>
          <w:tcPr>
            <w:tcW w:w="4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317318CA" w14:textId="77777777" w:rsidR="003813F6" w:rsidRDefault="0092160A">
            <w:r>
              <w:rPr>
                <w:sz w:val="20"/>
                <w:szCs w:val="20"/>
              </w:rPr>
              <w:t>Curva de aprendizaje más alta en perfiles sin referente</w:t>
            </w:r>
          </w:p>
        </w:tc>
      </w:tr>
      <w:tr w:rsidR="003813F6" w14:paraId="2497DF31" w14:textId="77777777">
        <w:tblPrEx>
          <w:tblCellMar>
            <w:top w:w="0" w:type="dxa"/>
            <w:bottom w:w="0" w:type="dxa"/>
          </w:tblCellMar>
        </w:tblPrEx>
        <w:tc>
          <w:tcPr>
            <w:tcW w:w="22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10C6788C" w14:textId="77777777" w:rsidR="003813F6" w:rsidRDefault="0092160A">
            <w:r>
              <w:rPr>
                <w:sz w:val="20"/>
                <w:szCs w:val="20"/>
              </w:rPr>
              <w:t>Sin tutoriales de texto en el juego base</w:t>
            </w:r>
          </w:p>
        </w:tc>
        <w:tc>
          <w:tcPr>
            <w:tcW w:w="26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290B3D92" w14:textId="77777777" w:rsidR="003813F6" w:rsidRPr="0074248C" w:rsidRDefault="0092160A">
            <w:pPr>
              <w:rPr>
                <w:lang w:val="en-US"/>
              </w:rPr>
            </w:pPr>
            <w:r w:rsidRPr="0074248C">
              <w:rPr>
                <w:sz w:val="20"/>
                <w:szCs w:val="20"/>
                <w:lang w:val="en-US"/>
              </w:rPr>
              <w:t>Show, don't tell; demostración contextual</w:t>
            </w:r>
          </w:p>
        </w:tc>
        <w:tc>
          <w:tcPr>
            <w:tcW w:w="45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2F45D20C" w14:textId="77777777" w:rsidR="003813F6" w:rsidRDefault="0092160A">
            <w:r>
              <w:rPr>
                <w:sz w:val="20"/>
                <w:szCs w:val="20"/>
              </w:rPr>
              <w:t>Requiere inversión adicional en diseño de nivel</w:t>
            </w:r>
          </w:p>
        </w:tc>
      </w:tr>
      <w:tr w:rsidR="003813F6" w14:paraId="294AB451" w14:textId="77777777">
        <w:tblPrEx>
          <w:tblCellMar>
            <w:top w:w="0" w:type="dxa"/>
            <w:bottom w:w="0" w:type="dxa"/>
          </w:tblCellMar>
        </w:tblPrEx>
        <w:tc>
          <w:tcPr>
            <w:tcW w:w="22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715A238E" w14:textId="77777777" w:rsidR="003813F6" w:rsidRDefault="0092160A">
            <w:r>
              <w:rPr>
                <w:sz w:val="20"/>
                <w:szCs w:val="20"/>
              </w:rPr>
              <w:t>Tres modos de HUD configurables</w:t>
            </w:r>
          </w:p>
        </w:tc>
        <w:tc>
          <w:tcPr>
            <w:tcW w:w="26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2A12E6BD" w14:textId="77777777" w:rsidR="003813F6" w:rsidRDefault="0092160A">
            <w:r>
              <w:rPr>
                <w:sz w:val="20"/>
                <w:szCs w:val="20"/>
              </w:rPr>
              <w:t>Accesibilidad sin ruptura de fantasía</w:t>
            </w:r>
          </w:p>
        </w:tc>
        <w:tc>
          <w:tcPr>
            <w:tcW w:w="4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322AA6B8" w14:textId="77777777" w:rsidR="003813F6" w:rsidRDefault="0092160A">
            <w:r>
              <w:rPr>
                <w:sz w:val="20"/>
                <w:szCs w:val="20"/>
              </w:rPr>
              <w:t>Complejidad de QA y mantenimiento de tres flujos</w:t>
            </w:r>
          </w:p>
        </w:tc>
      </w:tr>
      <w:tr w:rsidR="003813F6" w14:paraId="496B9E34" w14:textId="77777777">
        <w:tblPrEx>
          <w:tblCellMar>
            <w:top w:w="0" w:type="dxa"/>
            <w:bottom w:w="0" w:type="dxa"/>
          </w:tblCellMar>
        </w:tblPrEx>
        <w:tc>
          <w:tcPr>
            <w:tcW w:w="22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31F4483D" w14:textId="77777777" w:rsidR="003813F6" w:rsidRDefault="0092160A">
            <w:r>
              <w:rPr>
                <w:sz w:val="20"/>
                <w:szCs w:val="20"/>
              </w:rPr>
              <w:t>Prototipo de validación focalizado en UI, no en combate</w:t>
            </w:r>
          </w:p>
        </w:tc>
        <w:tc>
          <w:tcPr>
            <w:tcW w:w="26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3842A93" w14:textId="77777777" w:rsidR="003813F6" w:rsidRDefault="0092160A">
            <w:r>
              <w:rPr>
                <w:sz w:val="20"/>
                <w:szCs w:val="20"/>
              </w:rPr>
              <w:t>Validar el riesgo más crítico primero</w:t>
            </w:r>
          </w:p>
        </w:tc>
        <w:tc>
          <w:tcPr>
            <w:tcW w:w="45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061F7CA" w14:textId="77777777" w:rsidR="003813F6" w:rsidRDefault="0092160A">
            <w:r>
              <w:rPr>
                <w:sz w:val="20"/>
                <w:szCs w:val="20"/>
              </w:rPr>
              <w:t>Retrasa la validación del sistema de combate</w:t>
            </w:r>
          </w:p>
        </w:tc>
      </w:tr>
      <w:tr w:rsidR="003813F6" w14:paraId="295BF2C0" w14:textId="77777777">
        <w:tblPrEx>
          <w:tblCellMar>
            <w:top w:w="0" w:type="dxa"/>
            <w:bottom w:w="0" w:type="dxa"/>
          </w:tblCellMar>
        </w:tblPrEx>
        <w:tc>
          <w:tcPr>
            <w:tcW w:w="22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0A115F8" w14:textId="77777777" w:rsidR="003813F6" w:rsidRDefault="0092160A">
            <w:r>
              <w:rPr>
                <w:sz w:val="20"/>
                <w:szCs w:val="20"/>
              </w:rPr>
              <w:t xml:space="preserve">Devoción como recurso de </w:t>
            </w:r>
            <w:proofErr w:type="spellStart"/>
            <w:r>
              <w:rPr>
                <w:sz w:val="20"/>
                <w:szCs w:val="20"/>
              </w:rPr>
              <w:t>re-carga</w:t>
            </w:r>
            <w:proofErr w:type="spellEnd"/>
            <w:r>
              <w:rPr>
                <w:sz w:val="20"/>
                <w:szCs w:val="20"/>
              </w:rPr>
              <w:t xml:space="preserve"> activa (no automática)</w:t>
            </w:r>
          </w:p>
        </w:tc>
        <w:tc>
          <w:tcPr>
            <w:tcW w:w="260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7ED4B497" w14:textId="77777777" w:rsidR="003813F6" w:rsidRDefault="0092160A">
            <w:r>
              <w:rPr>
                <w:sz w:val="20"/>
                <w:szCs w:val="20"/>
              </w:rPr>
              <w:t>La fe requiere acto, no pasividad</w:t>
            </w:r>
          </w:p>
        </w:tc>
        <w:tc>
          <w:tcPr>
            <w:tcW w:w="4560" w:type="dxa"/>
            <w:tcBorders>
              <w:top w:val="single" w:sz="1" w:space="0" w:color="8B2020"/>
              <w:left w:val="single" w:sz="1" w:space="0" w:color="8B2020"/>
              <w:bottom w:val="single" w:sz="1" w:space="0" w:color="8B2020"/>
              <w:right w:val="single" w:sz="1" w:space="0" w:color="8B2020"/>
            </w:tcBorders>
            <w:shd w:val="clear" w:color="auto" w:fill="FFFFFF"/>
            <w:tcMar>
              <w:top w:w="80" w:type="dxa"/>
              <w:left w:w="150" w:type="dxa"/>
              <w:bottom w:w="80" w:type="dxa"/>
              <w:right w:w="150" w:type="dxa"/>
            </w:tcMar>
          </w:tcPr>
          <w:p w14:paraId="4120FB78" w14:textId="77777777" w:rsidR="003813F6" w:rsidRDefault="0092160A">
            <w:r>
              <w:rPr>
                <w:sz w:val="20"/>
                <w:szCs w:val="20"/>
              </w:rPr>
              <w:t>Puede sentirse punitivo si no se enseña bien el ciclo</w:t>
            </w:r>
          </w:p>
        </w:tc>
      </w:tr>
      <w:tr w:rsidR="003813F6" w14:paraId="7B560B3C" w14:textId="77777777">
        <w:tblPrEx>
          <w:tblCellMar>
            <w:top w:w="0" w:type="dxa"/>
            <w:bottom w:w="0" w:type="dxa"/>
          </w:tblCellMar>
        </w:tblPrEx>
        <w:tc>
          <w:tcPr>
            <w:tcW w:w="22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477C8684" w14:textId="77777777" w:rsidR="003813F6" w:rsidRDefault="0092160A">
            <w:r>
              <w:rPr>
                <w:sz w:val="20"/>
                <w:szCs w:val="20"/>
              </w:rPr>
              <w:t>Mapa integrado en cuadro de Santos</w:t>
            </w:r>
          </w:p>
        </w:tc>
        <w:tc>
          <w:tcPr>
            <w:tcW w:w="260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0F415CD5" w14:textId="77777777" w:rsidR="003813F6" w:rsidRDefault="0092160A">
            <w:r>
              <w:rPr>
                <w:sz w:val="20"/>
                <w:szCs w:val="20"/>
              </w:rPr>
              <w:t>Coherencia estética total</w:t>
            </w:r>
          </w:p>
        </w:tc>
        <w:tc>
          <w:tcPr>
            <w:tcW w:w="4560" w:type="dxa"/>
            <w:tcBorders>
              <w:top w:val="single" w:sz="1" w:space="0" w:color="8B2020"/>
              <w:left w:val="single" w:sz="1" w:space="0" w:color="8B2020"/>
              <w:bottom w:val="single" w:sz="1" w:space="0" w:color="8B2020"/>
              <w:right w:val="single" w:sz="1" w:space="0" w:color="8B2020"/>
            </w:tcBorders>
            <w:shd w:val="clear" w:color="auto" w:fill="FDF6E3"/>
            <w:tcMar>
              <w:top w:w="80" w:type="dxa"/>
              <w:left w:w="150" w:type="dxa"/>
              <w:bottom w:w="80" w:type="dxa"/>
              <w:right w:w="150" w:type="dxa"/>
            </w:tcMar>
          </w:tcPr>
          <w:p w14:paraId="599319EA" w14:textId="77777777" w:rsidR="003813F6" w:rsidRDefault="0092160A">
            <w:r>
              <w:rPr>
                <w:sz w:val="20"/>
                <w:szCs w:val="20"/>
              </w:rPr>
              <w:t>Legibilidad potencialmente menor que mapa convencional</w:t>
            </w:r>
          </w:p>
        </w:tc>
      </w:tr>
    </w:tbl>
    <w:p w14:paraId="2EF9E5D9" w14:textId="77777777" w:rsidR="003813F6" w:rsidRDefault="003813F6">
      <w:pPr>
        <w:spacing w:before="80" w:after="120"/>
      </w:pPr>
    </w:p>
    <w:p w14:paraId="43F382C9" w14:textId="77777777" w:rsidR="003813F6" w:rsidRDefault="003813F6">
      <w:pPr>
        <w:pBdr>
          <w:bottom w:val="single" w:sz="4" w:space="2" w:color="D4A017"/>
        </w:pBdr>
        <w:spacing w:before="240" w:after="240"/>
      </w:pPr>
    </w:p>
    <w:p w14:paraId="6FED2166" w14:textId="77777777" w:rsidR="003813F6" w:rsidRDefault="0092160A">
      <w:pPr>
        <w:spacing w:before="240" w:after="80"/>
        <w:jc w:val="center"/>
      </w:pPr>
      <w:r>
        <w:rPr>
          <w:i/>
          <w:iCs/>
          <w:color w:val="7A6652"/>
          <w:sz w:val="20"/>
          <w:szCs w:val="20"/>
        </w:rPr>
        <w:t>Sincretismo — Documento de Diseño v0.1</w:t>
      </w:r>
    </w:p>
    <w:p w14:paraId="772731B9" w14:textId="77777777" w:rsidR="003813F6" w:rsidRDefault="0092160A">
      <w:pPr>
        <w:jc w:val="center"/>
      </w:pPr>
      <w:r>
        <w:rPr>
          <w:i/>
          <w:iCs/>
          <w:color w:val="7A6652"/>
          <w:sz w:val="18"/>
          <w:szCs w:val="18"/>
        </w:rPr>
        <w:t>Este documento es un artefacto vivo. Cada sección debe actualizarse tras la sesión de validación del prototipo.</w:t>
      </w:r>
    </w:p>
    <w:sectPr w:rsidR="003813F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1A12" w14:textId="77777777" w:rsidR="0092160A" w:rsidRDefault="0092160A">
      <w:r>
        <w:separator/>
      </w:r>
    </w:p>
  </w:endnote>
  <w:endnote w:type="continuationSeparator" w:id="0">
    <w:p w14:paraId="43735AD1" w14:textId="77777777" w:rsidR="0092160A" w:rsidRDefault="0092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3080" w14:textId="77777777" w:rsidR="003813F6" w:rsidRDefault="0092160A">
    <w:pPr>
      <w:pBdr>
        <w:top w:val="single" w:sz="4" w:space="4" w:color="D4A017"/>
      </w:pBdr>
      <w:jc w:val="center"/>
    </w:pPr>
    <w:r>
      <w:rPr>
        <w:color w:val="7A6652"/>
        <w:sz w:val="18"/>
        <w:szCs w:val="18"/>
      </w:rPr>
      <w:t xml:space="preserve">Documento de Diseño — Proyecto </w:t>
    </w:r>
    <w:proofErr w:type="gramStart"/>
    <w:r>
      <w:rPr>
        <w:color w:val="7A6652"/>
        <w:sz w:val="18"/>
        <w:szCs w:val="18"/>
      </w:rPr>
      <w:t>Sincretismo  |</w:t>
    </w:r>
    <w:proofErr w:type="gramEnd"/>
    <w:r>
      <w:rPr>
        <w:color w:val="7A6652"/>
        <w:sz w:val="18"/>
        <w:szCs w:val="18"/>
      </w:rPr>
      <w:t xml:space="preserve">  Página </w:t>
    </w:r>
    <w:r>
      <w:rPr>
        <w:color w:val="7A6652"/>
        <w:sz w:val="18"/>
        <w:szCs w:val="18"/>
      </w:rPr>
      <w:fldChar w:fldCharType="begin"/>
    </w:r>
    <w:r>
      <w:rPr>
        <w:color w:val="7A6652"/>
        <w:sz w:val="18"/>
        <w:szCs w:val="18"/>
      </w:rPr>
      <w:instrText>PAGE</w:instrText>
    </w:r>
    <w:r>
      <w:rPr>
        <w:color w:val="7A6652"/>
        <w:sz w:val="18"/>
        <w:szCs w:val="18"/>
      </w:rPr>
      <w:fldChar w:fldCharType="separate"/>
    </w:r>
    <w:r w:rsidR="0074248C">
      <w:rPr>
        <w:noProof/>
        <w:color w:val="7A6652"/>
        <w:sz w:val="18"/>
        <w:szCs w:val="18"/>
      </w:rPr>
      <w:t>1</w:t>
    </w:r>
    <w:r>
      <w:rPr>
        <w:color w:val="7A665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93F87" w14:textId="77777777" w:rsidR="0092160A" w:rsidRDefault="0092160A">
      <w:r>
        <w:separator/>
      </w:r>
    </w:p>
  </w:footnote>
  <w:footnote w:type="continuationSeparator" w:id="0">
    <w:p w14:paraId="681EDAAE" w14:textId="77777777" w:rsidR="0092160A" w:rsidRDefault="00921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F42B3"/>
    <w:multiLevelType w:val="hybridMultilevel"/>
    <w:tmpl w:val="07B28D0A"/>
    <w:lvl w:ilvl="0" w:tplc="199607EC">
      <w:start w:val="1"/>
      <w:numFmt w:val="decimal"/>
      <w:lvlText w:val="%1."/>
      <w:lvlJc w:val="left"/>
      <w:pPr>
        <w:ind w:left="720" w:hanging="360"/>
      </w:pPr>
    </w:lvl>
    <w:lvl w:ilvl="1" w:tplc="47FC19F4">
      <w:numFmt w:val="decimal"/>
      <w:lvlText w:val=""/>
      <w:lvlJc w:val="left"/>
    </w:lvl>
    <w:lvl w:ilvl="2" w:tplc="E572D2F2">
      <w:numFmt w:val="decimal"/>
      <w:lvlText w:val=""/>
      <w:lvlJc w:val="left"/>
    </w:lvl>
    <w:lvl w:ilvl="3" w:tplc="0F604DB8">
      <w:numFmt w:val="decimal"/>
      <w:lvlText w:val=""/>
      <w:lvlJc w:val="left"/>
    </w:lvl>
    <w:lvl w:ilvl="4" w:tplc="F6582874">
      <w:numFmt w:val="decimal"/>
      <w:lvlText w:val=""/>
      <w:lvlJc w:val="left"/>
    </w:lvl>
    <w:lvl w:ilvl="5" w:tplc="3B686610">
      <w:numFmt w:val="decimal"/>
      <w:lvlText w:val=""/>
      <w:lvlJc w:val="left"/>
    </w:lvl>
    <w:lvl w:ilvl="6" w:tplc="11ECD988">
      <w:numFmt w:val="decimal"/>
      <w:lvlText w:val=""/>
      <w:lvlJc w:val="left"/>
    </w:lvl>
    <w:lvl w:ilvl="7" w:tplc="E9AC0564">
      <w:numFmt w:val="decimal"/>
      <w:lvlText w:val=""/>
      <w:lvlJc w:val="left"/>
    </w:lvl>
    <w:lvl w:ilvl="8" w:tplc="38E64492">
      <w:numFmt w:val="decimal"/>
      <w:lvlText w:val=""/>
      <w:lvlJc w:val="left"/>
    </w:lvl>
  </w:abstractNum>
  <w:abstractNum w:abstractNumId="1" w15:restartNumberingAfterBreak="0">
    <w:nsid w:val="608E6D39"/>
    <w:multiLevelType w:val="hybridMultilevel"/>
    <w:tmpl w:val="E39EC5E4"/>
    <w:lvl w:ilvl="0" w:tplc="2E96A734">
      <w:start w:val="1"/>
      <w:numFmt w:val="bullet"/>
      <w:lvlText w:val="●"/>
      <w:lvlJc w:val="left"/>
      <w:pPr>
        <w:ind w:left="720" w:hanging="360"/>
      </w:pPr>
    </w:lvl>
    <w:lvl w:ilvl="1" w:tplc="218090A4">
      <w:start w:val="1"/>
      <w:numFmt w:val="bullet"/>
      <w:lvlText w:val="○"/>
      <w:lvlJc w:val="left"/>
      <w:pPr>
        <w:ind w:left="1440" w:hanging="360"/>
      </w:pPr>
    </w:lvl>
    <w:lvl w:ilvl="2" w:tplc="48682B08">
      <w:start w:val="1"/>
      <w:numFmt w:val="bullet"/>
      <w:lvlText w:val="■"/>
      <w:lvlJc w:val="left"/>
      <w:pPr>
        <w:ind w:left="2160" w:hanging="360"/>
      </w:pPr>
    </w:lvl>
    <w:lvl w:ilvl="3" w:tplc="3D44C87A">
      <w:start w:val="1"/>
      <w:numFmt w:val="bullet"/>
      <w:lvlText w:val="●"/>
      <w:lvlJc w:val="left"/>
      <w:pPr>
        <w:ind w:left="2880" w:hanging="360"/>
      </w:pPr>
    </w:lvl>
    <w:lvl w:ilvl="4" w:tplc="97CACEBC">
      <w:start w:val="1"/>
      <w:numFmt w:val="bullet"/>
      <w:lvlText w:val="○"/>
      <w:lvlJc w:val="left"/>
      <w:pPr>
        <w:ind w:left="3600" w:hanging="360"/>
      </w:pPr>
    </w:lvl>
    <w:lvl w:ilvl="5" w:tplc="8452C15E">
      <w:start w:val="1"/>
      <w:numFmt w:val="bullet"/>
      <w:lvlText w:val="■"/>
      <w:lvlJc w:val="left"/>
      <w:pPr>
        <w:ind w:left="4320" w:hanging="360"/>
      </w:pPr>
    </w:lvl>
    <w:lvl w:ilvl="6" w:tplc="D474DFCC">
      <w:start w:val="1"/>
      <w:numFmt w:val="bullet"/>
      <w:lvlText w:val="●"/>
      <w:lvlJc w:val="left"/>
      <w:pPr>
        <w:ind w:left="5040" w:hanging="360"/>
      </w:pPr>
    </w:lvl>
    <w:lvl w:ilvl="7" w:tplc="3D2AD02A">
      <w:start w:val="1"/>
      <w:numFmt w:val="bullet"/>
      <w:lvlText w:val="●"/>
      <w:lvlJc w:val="left"/>
      <w:pPr>
        <w:ind w:left="5760" w:hanging="360"/>
      </w:pPr>
    </w:lvl>
    <w:lvl w:ilvl="8" w:tplc="8F8C91E0">
      <w:start w:val="1"/>
      <w:numFmt w:val="bullet"/>
      <w:lvlText w:val="●"/>
      <w:lvlJc w:val="left"/>
      <w:pPr>
        <w:ind w:left="6480" w:hanging="360"/>
      </w:pPr>
    </w:lvl>
  </w:abstractNum>
  <w:abstractNum w:abstractNumId="2" w15:restartNumberingAfterBreak="0">
    <w:nsid w:val="65BE0427"/>
    <w:multiLevelType w:val="hybridMultilevel"/>
    <w:tmpl w:val="E584B318"/>
    <w:lvl w:ilvl="0" w:tplc="5680C2F0">
      <w:start w:val="1"/>
      <w:numFmt w:val="bullet"/>
      <w:lvlText w:val="•"/>
      <w:lvlJc w:val="left"/>
      <w:pPr>
        <w:ind w:left="720" w:hanging="360"/>
      </w:pPr>
    </w:lvl>
    <w:lvl w:ilvl="1" w:tplc="08749F80">
      <w:start w:val="1"/>
      <w:numFmt w:val="bullet"/>
      <w:lvlText w:val="◦"/>
      <w:lvlJc w:val="left"/>
      <w:pPr>
        <w:ind w:left="1080" w:hanging="360"/>
      </w:pPr>
    </w:lvl>
    <w:lvl w:ilvl="2" w:tplc="5DC0298A">
      <w:numFmt w:val="decimal"/>
      <w:lvlText w:val=""/>
      <w:lvlJc w:val="left"/>
    </w:lvl>
    <w:lvl w:ilvl="3" w:tplc="DA707B72">
      <w:numFmt w:val="decimal"/>
      <w:lvlText w:val=""/>
      <w:lvlJc w:val="left"/>
    </w:lvl>
    <w:lvl w:ilvl="4" w:tplc="374002BA">
      <w:numFmt w:val="decimal"/>
      <w:lvlText w:val=""/>
      <w:lvlJc w:val="left"/>
    </w:lvl>
    <w:lvl w:ilvl="5" w:tplc="EF461784">
      <w:numFmt w:val="decimal"/>
      <w:lvlText w:val=""/>
      <w:lvlJc w:val="left"/>
    </w:lvl>
    <w:lvl w:ilvl="6" w:tplc="7B980B0E">
      <w:numFmt w:val="decimal"/>
      <w:lvlText w:val=""/>
      <w:lvlJc w:val="left"/>
    </w:lvl>
    <w:lvl w:ilvl="7" w:tplc="565A34B0">
      <w:numFmt w:val="decimal"/>
      <w:lvlText w:val=""/>
      <w:lvlJc w:val="left"/>
    </w:lvl>
    <w:lvl w:ilvl="8" w:tplc="9A4CBAB8">
      <w:numFmt w:val="decimal"/>
      <w:lvlText w:val=""/>
      <w:lvlJc w:val="left"/>
    </w:lvl>
  </w:abstractNum>
  <w:num w:numId="1" w16cid:durableId="83963644">
    <w:abstractNumId w:val="1"/>
    <w:lvlOverride w:ilvl="0">
      <w:startOverride w:val="1"/>
    </w:lvlOverride>
  </w:num>
  <w:num w:numId="2" w16cid:durableId="13404225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3F6"/>
    <w:rsid w:val="002E279E"/>
    <w:rsid w:val="003813F6"/>
    <w:rsid w:val="0074248C"/>
    <w:rsid w:val="009216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1482"/>
  <w15:docId w15:val="{4E33F47E-A7B8-436D-8652-9BD2CF92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6B0F1A"/>
      <w:sz w:val="36"/>
      <w:szCs w:val="36"/>
    </w:rPr>
  </w:style>
  <w:style w:type="paragraph" w:styleId="Ttulo2">
    <w:name w:val="heading 2"/>
    <w:uiPriority w:val="9"/>
    <w:unhideWhenUsed/>
    <w:qFormat/>
    <w:pPr>
      <w:spacing w:before="280" w:after="120"/>
      <w:outlineLvl w:val="1"/>
    </w:pPr>
    <w:rPr>
      <w:b/>
      <w:bCs/>
      <w:color w:val="1A3A4A"/>
      <w:sz w:val="28"/>
      <w:szCs w:val="28"/>
    </w:rPr>
  </w:style>
  <w:style w:type="paragraph" w:styleId="Ttulo3">
    <w:name w:val="heading 3"/>
    <w:uiPriority w:val="9"/>
    <w:unhideWhenUsed/>
    <w:qFormat/>
    <w:pPr>
      <w:spacing w:before="200" w:after="80"/>
      <w:outlineLvl w:val="2"/>
    </w:pPr>
    <w:rPr>
      <w:b/>
      <w:bCs/>
      <w:color w:val="7A665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2253</Words>
  <Characters>12396</Characters>
  <Application>Microsoft Office Word</Application>
  <DocSecurity>0</DocSecurity>
  <Lines>103</Lines>
  <Paragraphs>29</Paragraphs>
  <ScaleCrop>false</ScaleCrop>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VALENCIA MASSAKY SANTIAGO</cp:lastModifiedBy>
  <cp:revision>2</cp:revision>
  <dcterms:created xsi:type="dcterms:W3CDTF">2026-03-03T16:17:00Z</dcterms:created>
  <dcterms:modified xsi:type="dcterms:W3CDTF">2026-03-03T16:17:00Z</dcterms:modified>
</cp:coreProperties>
</file>