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040.0" w:type="dxa"/>
        <w:jc w:val="center"/>
        <w:tblBorders>
          <w:top w:color="000000" w:space="0" w:sz="18" w:val="single"/>
          <w:left w:color="000000" w:space="0" w:sz="18" w:val="single"/>
          <w:bottom w:color="000000" w:space="0" w:sz="18" w:val="single"/>
          <w:right w:color="000000" w:space="0" w:sz="18" w:val="single"/>
        </w:tblBorders>
        <w:tblLayout w:type="fixed"/>
        <w:tblLook w:val="0000"/>
      </w:tblPr>
      <w:tblGrid>
        <w:gridCol w:w="1594"/>
        <w:gridCol w:w="7446"/>
        <w:tblGridChange w:id="0">
          <w:tblGrid>
            <w:gridCol w:w="1594"/>
            <w:gridCol w:w="7446"/>
          </w:tblGrid>
        </w:tblGridChange>
      </w:tblGrid>
      <w:tr>
        <w:trPr>
          <w:cantSplit w:val="0"/>
          <w:trHeight w:val="1653" w:hRule="atLeast"/>
          <w:tblHeader w:val="0"/>
        </w:trPr>
        <w:tc>
          <w:tcPr>
            <w:tcBorders>
              <w:top w:color="000000" w:space="0" w:sz="18" w:val="single"/>
              <w:right w:color="000000" w:space="0" w:sz="0" w:val="nil"/>
            </w:tcBorders>
            <w:tcMar>
              <w:top w:w="57.0" w:type="dxa"/>
              <w:bottom w:w="57.0" w:type="dxa"/>
            </w:tcMar>
            <w:vAlign w:val="center"/>
          </w:tcPr>
          <w:p w:rsidR="00000000" w:rsidDel="00000000" w:rsidP="00000000" w:rsidRDefault="00000000" w:rsidRPr="00000000" w14:paraId="00000002">
            <w:pPr>
              <w:rPr>
                <w:rFonts w:ascii="Arial" w:cs="Arial" w:eastAsia="Arial" w:hAnsi="Arial"/>
              </w:rPr>
            </w:pPr>
            <w:r w:rsidDel="00000000" w:rsidR="00000000" w:rsidRPr="00000000">
              <w:rPr>
                <w:rtl w:val="0"/>
              </w:rPr>
              <w:t xml:space="preserve"> </w:t>
            </w:r>
            <w:r w:rsidDel="00000000" w:rsidR="00000000" w:rsidRPr="00000000">
              <w:rPr>
                <w:rtl w:val="0"/>
              </w:rPr>
            </w:r>
          </w:p>
        </w:tc>
        <w:tc>
          <w:tcPr>
            <w:tcBorders>
              <w:top w:color="000000" w:space="0" w:sz="18" w:val="single"/>
              <w:left w:color="000000" w:space="0" w:sz="0" w:val="nil"/>
              <w:bottom w:color="000000" w:space="0" w:sz="0" w:val="nil"/>
            </w:tcBorders>
            <w:tcMar>
              <w:top w:w="57.0" w:type="dxa"/>
              <w:bottom w:w="57.0" w:type="dxa"/>
            </w:tcMar>
            <w:vAlign w:val="center"/>
          </w:tcPr>
          <w:p w:rsidR="00000000" w:rsidDel="00000000" w:rsidP="00000000" w:rsidRDefault="00000000" w:rsidRPr="00000000" w14:paraId="00000003">
            <w:pPr>
              <w:jc w:val="both"/>
              <w:rPr>
                <w:rFonts w:ascii="Arial" w:cs="Arial" w:eastAsia="Arial" w:hAnsi="Arial"/>
                <w:b w:val="1"/>
              </w:rPr>
            </w:pPr>
            <w:r w:rsidDel="00000000" w:rsidR="00000000" w:rsidRPr="00000000">
              <w:rPr>
                <w:rtl w:val="0"/>
              </w:rPr>
            </w:r>
          </w:p>
        </w:tc>
      </w:tr>
      <w:tr>
        <w:trPr>
          <w:cantSplit w:val="0"/>
          <w:tblHeader w:val="0"/>
        </w:trPr>
        <w:tc>
          <w:tcPr>
            <w:gridSpan w:val="2"/>
            <w:tcBorders>
              <w:top w:color="000000" w:space="0" w:sz="18" w:val="single"/>
              <w:bottom w:color="000000" w:space="0" w:sz="18" w:val="single"/>
            </w:tcBorders>
            <w:tcMar>
              <w:top w:w="57.0" w:type="dxa"/>
              <w:bottom w:w="57.0" w:type="dxa"/>
            </w:tcMar>
            <w:vAlign w:val="center"/>
          </w:tcPr>
          <w:p w:rsidR="00000000" w:rsidDel="00000000" w:rsidP="00000000" w:rsidRDefault="00000000" w:rsidRPr="00000000" w14:paraId="00000004">
            <w:pPr>
              <w:jc w:val="both"/>
              <w:rPr>
                <w:rFonts w:ascii="Arial" w:cs="Arial" w:eastAsia="Arial" w:hAnsi="Arial"/>
              </w:rPr>
            </w:pPr>
            <w:r w:rsidDel="00000000" w:rsidR="00000000" w:rsidRPr="00000000">
              <w:rPr>
                <w:rtl w:val="0"/>
              </w:rPr>
            </w:r>
          </w:p>
        </w:tc>
      </w:tr>
      <w:tr>
        <w:trPr>
          <w:cantSplit w:val="0"/>
          <w:tblHeader w:val="0"/>
        </w:trPr>
        <w:tc>
          <w:tcPr>
            <w:gridSpan w:val="2"/>
            <w:tcBorders>
              <w:top w:color="000000" w:space="0" w:sz="18" w:val="single"/>
              <w:bottom w:color="000000" w:space="0" w:sz="18" w:val="single"/>
            </w:tcBorders>
            <w:tcMar>
              <w:top w:w="57.0" w:type="dxa"/>
              <w:bottom w:w="57.0" w:type="dxa"/>
            </w:tcMar>
          </w:tcPr>
          <w:p w:rsidR="00000000" w:rsidDel="00000000" w:rsidP="00000000" w:rsidRDefault="00000000" w:rsidRPr="00000000" w14:paraId="00000006">
            <w:pPr>
              <w:ind w:left="284" w:firstLine="0"/>
              <w:jc w:val="center"/>
              <w:rPr>
                <w:rFonts w:ascii="Arial" w:cs="Arial" w:eastAsia="Arial" w:hAnsi="Arial"/>
              </w:rPr>
            </w:pPr>
            <w:r w:rsidDel="00000000" w:rsidR="00000000" w:rsidRPr="00000000">
              <w:rPr>
                <w:rFonts w:ascii="Arial" w:cs="Arial" w:eastAsia="Arial" w:hAnsi="Arial"/>
                <w:rtl w:val="0"/>
              </w:rPr>
              <w:t xml:space="preserve">AÑO 2025</w:t>
            </w:r>
          </w:p>
          <w:p w:rsidR="00000000" w:rsidDel="00000000" w:rsidP="00000000" w:rsidRDefault="00000000" w:rsidRPr="00000000" w14:paraId="00000007">
            <w:pPr>
              <w:ind w:left="284"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08">
            <w:pPr>
              <w:ind w:left="284" w:firstLine="0"/>
              <w:rPr>
                <w:rFonts w:ascii="Arial" w:cs="Arial" w:eastAsia="Arial" w:hAnsi="Arial"/>
                <w:b w:val="1"/>
              </w:rPr>
            </w:pPr>
            <w:r w:rsidDel="00000000" w:rsidR="00000000" w:rsidRPr="00000000">
              <w:rPr>
                <w:rtl w:val="0"/>
              </w:rPr>
            </w:r>
          </w:p>
        </w:tc>
      </w:tr>
      <w:tr>
        <w:trPr>
          <w:cantSplit w:val="0"/>
          <w:tblHeader w:val="0"/>
        </w:trPr>
        <w:tc>
          <w:tcPr>
            <w:gridSpan w:val="2"/>
            <w:tcBorders>
              <w:top w:color="000000" w:space="0" w:sz="18" w:val="single"/>
              <w:bottom w:color="000000" w:space="0" w:sz="18" w:val="single"/>
            </w:tcBorders>
          </w:tcPr>
          <w:p w:rsidR="00000000" w:rsidDel="00000000" w:rsidP="00000000" w:rsidRDefault="00000000" w:rsidRPr="00000000" w14:paraId="0000000A">
            <w:pPr>
              <w:jc w:val="both"/>
              <w:rPr>
                <w:rFonts w:ascii="Arial" w:cs="Arial" w:eastAsia="Arial" w:hAnsi="Arial"/>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Informe de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tbl>
            <w:tblPr>
              <w:tblStyle w:val="Table2"/>
              <w:tblW w:w="88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42"/>
              <w:gridCol w:w="4442"/>
              <w:tblGridChange w:id="0">
                <w:tblGrid>
                  <w:gridCol w:w="4442"/>
                  <w:gridCol w:w="4442"/>
                </w:tblGrid>
              </w:tblGridChange>
            </w:tblGrid>
            <w:tr>
              <w:trPr>
                <w:cantSplit w:val="0"/>
                <w:tblHeader w:val="0"/>
              </w:trPr>
              <w:tc>
                <w:tcPr>
                  <w:shd w:fill="bfbfbf"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0"/>
                      <w:i w:val="0"/>
                      <w:smallCaps w:val="0"/>
                      <w:strike w:val="0"/>
                      <w:color w:val="000000"/>
                      <w:sz w:val="40"/>
                      <w:szCs w:val="40"/>
                      <w:u w:val="none"/>
                      <w:shd w:fill="auto" w:val="clear"/>
                      <w:vertAlign w:val="baseline"/>
                      <w:rtl w:val="0"/>
                    </w:rPr>
                    <w:t xml:space="preserve">APELLIDO Y NOMBRE</w:t>
                  </w:r>
                </w:p>
              </w:tc>
              <w:tc>
                <w:tcPr>
                  <w:shd w:fill="bfbfbf" w:val="clear"/>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0"/>
                      <w:i w:val="0"/>
                      <w:smallCaps w:val="0"/>
                      <w:strike w:val="0"/>
                      <w:color w:val="000000"/>
                      <w:sz w:val="40"/>
                      <w:szCs w:val="40"/>
                      <w:u w:val="none"/>
                      <w:shd w:fill="auto" w:val="clear"/>
                      <w:vertAlign w:val="baseline"/>
                      <w:rtl w:val="0"/>
                    </w:rPr>
                    <w:t xml:space="preserve">Legajo</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Arena Santiago</w:t>
                  </w:r>
                </w:p>
              </w:tc>
              <w:tc>
                <w:tcPr>
                  <w:vAlign w:val="center"/>
                </w:tcPr>
                <w:p w:rsidR="00000000" w:rsidDel="00000000" w:rsidP="00000000" w:rsidRDefault="00000000" w:rsidRPr="00000000" w14:paraId="00000014">
                  <w:pPr>
                    <w:rPr/>
                  </w:pPr>
                  <w:r w:rsidDel="00000000" w:rsidR="00000000" w:rsidRPr="00000000">
                    <w:rPr>
                      <w:rtl w:val="0"/>
                    </w:rPr>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Hernández Álvaro</w:t>
                  </w:r>
                </w:p>
              </w:tc>
              <w:tc>
                <w:tcPr>
                  <w:vAlign w:val="center"/>
                </w:tcPr>
                <w:p w:rsidR="00000000" w:rsidDel="00000000" w:rsidP="00000000" w:rsidRDefault="00000000" w:rsidRPr="00000000" w14:paraId="00000016">
                  <w:pPr>
                    <w:rPr/>
                  </w:pPr>
                  <w:r w:rsidDel="00000000" w:rsidR="00000000" w:rsidRPr="00000000">
                    <w:rPr>
                      <w:rtl w:val="0"/>
                    </w:rPr>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Masino Nicolas</w:t>
                  </w:r>
                </w:p>
              </w:tc>
              <w:tc>
                <w:tcPr>
                  <w:vAlign w:val="center"/>
                </w:tcPr>
                <w:p w:rsidR="00000000" w:rsidDel="00000000" w:rsidP="00000000" w:rsidRDefault="00000000" w:rsidRPr="00000000" w14:paraId="00000018">
                  <w:pPr>
                    <w:rPr/>
                  </w:pPr>
                  <w:r w:rsidDel="00000000" w:rsidR="00000000" w:rsidRPr="00000000">
                    <w:rPr>
                      <w:rtl w:val="0"/>
                    </w:rPr>
                  </w:r>
                </w:p>
              </w:tc>
            </w:tr>
            <w:tr>
              <w:trPr>
                <w:cantSplit w:val="0"/>
                <w:tblHeader w:val="0"/>
              </w:trPr>
              <w:tc>
                <w:tcPr/>
                <w:p w:rsidR="00000000" w:rsidDel="00000000" w:rsidP="00000000" w:rsidRDefault="00000000" w:rsidRPr="00000000" w14:paraId="00000019">
                  <w:pPr>
                    <w:rPr/>
                  </w:pPr>
                  <w:r w:rsidDel="00000000" w:rsidR="00000000" w:rsidRPr="00000000">
                    <w:rPr>
                      <w:rtl w:val="0"/>
                    </w:rPr>
                  </w:r>
                </w:p>
              </w:tc>
              <w:tc>
                <w:tcPr>
                  <w:vAlign w:val="center"/>
                </w:tcPr>
                <w:p w:rsidR="00000000" w:rsidDel="00000000" w:rsidP="00000000" w:rsidRDefault="00000000" w:rsidRPr="00000000" w14:paraId="0000001A">
                  <w:pPr>
                    <w:rPr/>
                  </w:pPr>
                  <w:r w:rsidDel="00000000" w:rsidR="00000000" w:rsidRPr="00000000">
                    <w:rPr>
                      <w:rtl w:val="0"/>
                    </w:rPr>
                  </w:r>
                </w:p>
              </w:tc>
            </w:tr>
            <w:tr>
              <w:trPr>
                <w:cantSplit w:val="0"/>
                <w:tblHeader w:val="0"/>
              </w:trPr>
              <w:tc>
                <w:tcPr/>
                <w:p w:rsidR="00000000" w:rsidDel="00000000" w:rsidP="00000000" w:rsidRDefault="00000000" w:rsidRPr="00000000" w14:paraId="0000001B">
                  <w:pPr>
                    <w:rPr/>
                  </w:pPr>
                  <w:r w:rsidDel="00000000" w:rsidR="00000000" w:rsidRPr="00000000">
                    <w:rPr>
                      <w:rtl w:val="0"/>
                    </w:rPr>
                  </w:r>
                </w:p>
              </w:tc>
              <w:tc>
                <w:tcPr>
                  <w:vAlign w:val="center"/>
                </w:tcPr>
                <w:p w:rsidR="00000000" w:rsidDel="00000000" w:rsidP="00000000" w:rsidRDefault="00000000" w:rsidRPr="00000000" w14:paraId="0000001C">
                  <w:pPr>
                    <w:rPr/>
                  </w:pPr>
                  <w:r w:rsidDel="00000000" w:rsidR="00000000" w:rsidRPr="00000000">
                    <w:rPr>
                      <w:rtl w:val="0"/>
                    </w:rPr>
                  </w:r>
                </w:p>
              </w:tc>
            </w:tr>
          </w:tbl>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pStyle w:val="Heading1"/>
        <w:numPr>
          <w:ilvl w:val="0"/>
          <w:numId w:val="1"/>
        </w:numPr>
        <w:ind w:left="432" w:hanging="432"/>
        <w:rPr/>
      </w:pPr>
      <w:r w:rsidDel="00000000" w:rsidR="00000000" w:rsidRPr="00000000">
        <w:br w:type="page"/>
      </w:r>
      <w:r w:rsidDel="00000000" w:rsidR="00000000" w:rsidRPr="00000000">
        <w:rPr>
          <w:rtl w:val="0"/>
        </w:rPr>
        <w:t xml:space="preserve">Objetivo</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objetivo de este estudio es simular el funcionamiento del puerto Terminal Baires y evaluar el impacto de la instalación de una segunda grúa en la eficiencia operativa del puerto, específicamente en el tiempo de carga y descarga de los barcos. Además, se busca analizar el efecto de aplicar tarifas diferenciadas a contenedores medios llenos, en comparación con contenedores llenos, para entender cómo estos influyen en la distribución de contenedores, los costos operativos y los tiempos de operación.</w:t>
      </w:r>
    </w:p>
    <w:p w:rsidR="00000000" w:rsidDel="00000000" w:rsidP="00000000" w:rsidRDefault="00000000" w:rsidRPr="00000000" w14:paraId="00000022">
      <w:pPr>
        <w:pStyle w:val="Heading2"/>
        <w:numPr>
          <w:ilvl w:val="1"/>
          <w:numId w:val="1"/>
        </w:numPr>
        <w:ind w:left="576" w:hanging="576"/>
        <w:rPr/>
      </w:pPr>
      <w:r w:rsidDel="00000000" w:rsidR="00000000" w:rsidRPr="00000000">
        <w:rPr>
          <w:rtl w:val="0"/>
        </w:rPr>
        <w:t xml:space="preserve">Definición del problema</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empresa Terminal Baires opera un puerto de aguas interiores que provee servicio de carga y descarga de contenedores. Los barcos, llegan a las aguas interiores “pre mar” esperando el ingreso al mismo. Estos barcos poseen una cantidad definida de carga y descarga, la cual conforma la tarea a realizar por la grúa. Una vez completada la duración de la carga. El buque abandona puerto.</w:t>
      </w:r>
    </w:p>
    <w:p w:rsidR="00000000" w:rsidDel="00000000" w:rsidP="00000000" w:rsidRDefault="00000000" w:rsidRPr="00000000" w14:paraId="00000024">
      <w:pPr>
        <w:pStyle w:val="Heading2"/>
        <w:numPr>
          <w:ilvl w:val="1"/>
          <w:numId w:val="1"/>
        </w:numPr>
        <w:ind w:left="576" w:hanging="576"/>
        <w:rPr/>
      </w:pPr>
      <w:r w:rsidDel="00000000" w:rsidR="00000000" w:rsidRPr="00000000">
        <w:rPr>
          <w:rtl w:val="0"/>
        </w:rPr>
        <w:t xml:space="preserve">Alcance</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alcance de esta simulación consiste en analizar los impactos directos en el servicio proveído de carga y descargar sobre la operatoria de las grúas. En paralelo, se registran métricas de los contenedores operados, con el fin de proveer información a la gerencia en la posible toma de decisiones. Este estudio se limitará a la simulación de los efectos de cambiar el número de grúas, la tasa de descarga y carga de las grúas. aplicadas a los contene, sin tener en cuenta otras variables operativas más allá de las mencionadas.</w:t>
      </w:r>
    </w:p>
    <w:p w:rsidR="00000000" w:rsidDel="00000000" w:rsidP="00000000" w:rsidRDefault="00000000" w:rsidRPr="00000000" w14:paraId="00000026">
      <w:pPr>
        <w:pStyle w:val="Heading1"/>
        <w:numPr>
          <w:ilvl w:val="0"/>
          <w:numId w:val="1"/>
        </w:numPr>
        <w:ind w:left="432" w:hanging="432"/>
        <w:rPr/>
      </w:pPr>
      <w:r w:rsidDel="00000000" w:rsidR="00000000" w:rsidRPr="00000000">
        <w:rPr>
          <w:rtl w:val="0"/>
        </w:rPr>
        <w:t xml:space="preserve">Modelo conceptual</w:t>
      </w:r>
    </w:p>
    <w:p w:rsidR="00000000" w:rsidDel="00000000" w:rsidP="00000000" w:rsidRDefault="00000000" w:rsidRPr="00000000" w14:paraId="00000027">
      <w:pPr>
        <w:pStyle w:val="Heading2"/>
        <w:numPr>
          <w:ilvl w:val="1"/>
          <w:numId w:val="1"/>
        </w:numPr>
        <w:ind w:left="576" w:hanging="576"/>
        <w:rPr/>
      </w:pPr>
      <w:r w:rsidDel="00000000" w:rsidR="00000000" w:rsidRPr="00000000">
        <w:rPr>
          <w:rtl w:val="0"/>
        </w:rPr>
        <w:t xml:space="preserve">Variables de decisión</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proyecto posee dos variables de decisión relevantes al objetivo del trabajo.</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Número de grúas (N_GRUAS): Determina cuántas grúas están disponibles para la operación de carga y descarga de los barcos.  </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Rendimiento de las grúas (rendimiento): La tasa de carga y descarga de contenedores por hora, que se define como la cantidad de contenedores que una grúa puede manejar por hora. Esta variable influye en el tiempo de servicio que cada barco requiere.</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estima que el puerto tiene la posibilidad de manejar la intensidad de trabajo de la grúa. Esta intensidad de trabajo por hora, entendida como cantidad de contenedores que pueden mover la grúa por hora, se asume como igual para todos los tipos de contenedores a menos que se especifique lo contario, </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 vez, el simulador permite seleccionar la tasa de llegada de barcos al puerto y la cantidad de barcos servir los cuales se tomarán métricas.</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Cantidad de barcos a servir: Determina el horizonte de trabajo que el simulador tomará como referencia. Es fijo para la totalidad de los escenarios con 10 barcos servidos. El simulador termina al completarse la carga y descarga del décimo barco.</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Frecuencia de llegada: La tasa de llegada de barcos sigue una distribución exponencial de base mensual 30 dividida por la llegada esperada en base de horas. Se asume que el puerto posee una agenda de barcos y estos, se esperan que lleguen en un rango esperado de días. Esta variable influye en que tan probable es que llegue un barco.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pStyle w:val="Heading2"/>
        <w:numPr>
          <w:ilvl w:val="1"/>
          <w:numId w:val="1"/>
        </w:numPr>
        <w:ind w:left="576" w:hanging="576"/>
        <w:rPr/>
      </w:pPr>
      <w:r w:rsidDel="00000000" w:rsidR="00000000" w:rsidRPr="00000000">
        <w:rPr>
          <w:rtl w:val="0"/>
        </w:rPr>
        <w:t xml:space="preserve">Variables de referencia</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variables de referencia son aquellas que se utilizan para medir el desempeño del sistema. En un principio se tienen las variables que dan respuesto al objetivo pincripal del presente trabajo, objetivo el cual fue el centro del diseño del simulador, la elección de las grùas. </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esta manera se tienen las siguientes variables:</w:t>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Tiempo de espera: El tiempo que un barco pasa esperando una grúa antes de ser atendido. </w:t>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Tiempo de servicio: La cantidad de horas que tarda un barco en ser atendido por una grúa.</w:t>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Tiempo ocioso de la grúa: El tiempo que la grúa no está operando debido a que no hay barcos disponibles para atender.</w:t>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Tiempo en sistema: Tiempo total que le lleva a un barco llegar a pre mar y salir del puerto luego de ser atendido.</w:t>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Buque espera (booleano): indica si un buque tuvo que esperar en pre mar para ser atendido.</w:t>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Reparaciones (booleano): indica si la atención de un buque sufrió demoras por daños en la grúa</w:t>
      </w:r>
    </w:p>
    <w:p w:rsidR="00000000" w:rsidDel="00000000" w:rsidP="00000000" w:rsidRDefault="00000000" w:rsidRPr="00000000" w14:paraId="000000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Grúa ociosa (booleano): indica si la grúa estuvo ociosa esperando atender a un buque.</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un segundo lugar se toman métricas cuantitativas y cualitativas del proceso de cargar y descargar contenedores. Estas métricas tienen como objeto reflejar las características de los contenedores que se operan, sus tipos y clases. La gerencia pretende evaluar la aplicación de tarifas en función del comportamiento de estas:</w:t>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Peso total operado: El peso total de los contenedores cargados o descargados por cada barco, el cual se usa para calcular el tiempo de servicio.</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Peso_x_hora: Peso operado por hora por la grúa. De todos los tipos de contenedores</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Cantidad de contenedores</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Cantidad de contenedores a cargar</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Cantidad de contenedores a descargar</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Proporción de tipo de contenedores (livianos, medianos y pesados): entendido como una distribución equiprobable</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Cantidad contenedores medios llenos: número de contenedores de clase medios llenos.</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Peso total de contenedores medios llenos</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Peso de medios llenos x hora</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Proporción de medios llenos </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Contenedores_descarga</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2"/>
        <w:numPr>
          <w:ilvl w:val="1"/>
          <w:numId w:val="1"/>
        </w:numPr>
        <w:ind w:left="576" w:hanging="576"/>
        <w:rPr/>
      </w:pPr>
      <w:r w:rsidDel="00000000" w:rsidR="00000000" w:rsidRPr="00000000">
        <w:rPr>
          <w:rtl w:val="0"/>
        </w:rPr>
        <w:t xml:space="preserve">Plan de cuadros (conceptual)</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plan de cuadros se compone de 3 secciones. Las variables de decisión, las variables de referencias del bloque A y las variables de referencias del bloque B.</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tbl>
      <w:tblPr>
        <w:tblStyle w:val="Table3"/>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8"/>
        <w:gridCol w:w="1558"/>
        <w:gridCol w:w="1558"/>
        <w:gridCol w:w="1558"/>
        <w:gridCol w:w="1559"/>
        <w:gridCol w:w="1559"/>
        <w:tblGridChange w:id="0">
          <w:tblGrid>
            <w:gridCol w:w="1558"/>
            <w:gridCol w:w="1558"/>
            <w:gridCol w:w="1558"/>
            <w:gridCol w:w="1558"/>
            <w:gridCol w:w="1559"/>
            <w:gridCol w:w="1559"/>
          </w:tblGrid>
        </w:tblGridChange>
      </w:tblGrid>
      <w:tr>
        <w:trPr>
          <w:cantSplit w:val="0"/>
          <w:tblHeader w:val="0"/>
        </w:trPr>
        <w:tc>
          <w:tcPr/>
          <w:p w:rsidR="00000000" w:rsidDel="00000000" w:rsidP="00000000" w:rsidRDefault="00000000" w:rsidRPr="00000000" w14:paraId="0000004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N_grúas</w:t>
            </w:r>
          </w:p>
        </w:tc>
        <w:tc>
          <w:tcPr/>
          <w:p w:rsidR="00000000" w:rsidDel="00000000" w:rsidP="00000000" w:rsidRDefault="00000000" w:rsidRPr="00000000" w14:paraId="0000004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Rendimiento</w:t>
            </w:r>
          </w:p>
        </w:tc>
        <w:tc>
          <w:tcPr/>
          <w:p w:rsidR="00000000" w:rsidDel="00000000" w:rsidP="00000000" w:rsidRDefault="00000000" w:rsidRPr="00000000" w14:paraId="0000004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Tasa de llegada</w:t>
            </w:r>
          </w:p>
        </w:tc>
        <w:tc>
          <w:tcPr/>
          <w:p w:rsidR="00000000" w:rsidDel="00000000" w:rsidP="00000000" w:rsidRDefault="00000000" w:rsidRPr="00000000" w14:paraId="0000004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Barcos a servir</w:t>
            </w:r>
          </w:p>
        </w:tc>
        <w:tc>
          <w:tcPr/>
          <w:p w:rsidR="00000000" w:rsidDel="00000000" w:rsidP="00000000" w:rsidRDefault="00000000" w:rsidRPr="00000000" w14:paraId="0000004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Variables de referencias A</w:t>
            </w:r>
          </w:p>
        </w:tc>
        <w:tc>
          <w:tcPr/>
          <w:p w:rsidR="00000000" w:rsidDel="00000000" w:rsidP="00000000" w:rsidRDefault="00000000" w:rsidRPr="00000000" w14:paraId="0000004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Variables de referencias B</w:t>
            </w:r>
          </w:p>
        </w:tc>
      </w:tr>
      <w:tr>
        <w:trPr>
          <w:cantSplit w:val="0"/>
          <w:tblHeader w:val="0"/>
        </w:trPr>
        <w:tc>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30/10</w:t>
            </w:r>
          </w:p>
        </w:tc>
        <w:tc>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r>
      <w:tr>
        <w:trPr>
          <w:cantSplit w:val="0"/>
          <w:tblHeader w:val="0"/>
        </w:trPr>
        <w:tc>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30/10</w:t>
            </w:r>
          </w:p>
        </w:tc>
        <w:tc>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r>
      <w:tr>
        <w:trPr>
          <w:cantSplit w:val="0"/>
          <w:tblHeader w:val="0"/>
        </w:trPr>
        <w:tc>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30/10</w:t>
            </w:r>
          </w:p>
        </w:tc>
        <w:tc>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r>
      <w:tr>
        <w:trPr>
          <w:cantSplit w:val="0"/>
          <w:tblHeader w:val="0"/>
        </w:trPr>
        <w:tc>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30/10</w:t>
            </w:r>
          </w:p>
        </w:tc>
        <w:tc>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r>
      <w:tr>
        <w:trPr>
          <w:cantSplit w:val="0"/>
          <w:tblHeader w:val="0"/>
        </w:trPr>
        <w:tc>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30/12</w:t>
            </w:r>
          </w:p>
        </w:tc>
        <w:tc>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r>
      <w:tr>
        <w:trPr>
          <w:cantSplit w:val="0"/>
          <w:tblHeader w:val="0"/>
        </w:trPr>
        <w:tc>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30/15</w:t>
            </w:r>
          </w:p>
        </w:tc>
        <w:tc>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r>
      <w:tr>
        <w:trPr>
          <w:cantSplit w:val="0"/>
          <w:tblHeader w:val="0"/>
        </w:trPr>
        <w:tc>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30/12</w:t>
            </w:r>
          </w:p>
        </w:tc>
        <w:tc>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r>
      <w:tr>
        <w:trPr>
          <w:cantSplit w:val="0"/>
          <w:tblHeader w:val="0"/>
        </w:trPr>
        <w:tc>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30/15</w:t>
            </w:r>
          </w:p>
        </w:tc>
        <w:tc>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r>
    </w:tbl>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pStyle w:val="Heading2"/>
        <w:numPr>
          <w:ilvl w:val="1"/>
          <w:numId w:val="1"/>
        </w:numPr>
        <w:ind w:left="576" w:hanging="576"/>
        <w:rPr/>
      </w:pPr>
      <w:r w:rsidDel="00000000" w:rsidR="00000000" w:rsidRPr="00000000">
        <w:rPr>
          <w:rtl w:val="0"/>
        </w:rPr>
        <w:t xml:space="preserve">Plan de experimentación (conceptual)</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experimentación debe incluir las siguientes pruebas</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analizan 6 escenarios. Se decide mantener constante la llegada de barcos al puerto (10 por mes), un rendimiento de las grúas de 25 contenedores por hora para los escenarios de 1 y 2 grúas. Una vez completado este bloque de simulaciones, se procede a realizar otros dos escenarios con 2 grúas, sosteniendo los rendimientos hora, pero aumentando la tasa de llegada de barcos de 10 por mes a 12 y 15 por mes. Por último, se realizan dos escenarios de 1 y 2 grúas con una tasa de llegada de 10 barcos mes pero un rendimiento de 50 contenedores hora, para evaluar como se comporta el servicio de las grúas. Cada escenario genera variables de referencias A y B. A para el bloque de atención de buques y B para la operación de contenedores.</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estos escenarios se analizará:</w:t>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Prueba con una sola grúa: Evaluar el rendimiento del puerto con una sola grúa y observar cómo los tiempos de servicio y de espera cambian cuando las condiciones del sistema se alteran.</w:t>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Prueba con dos grúas: Evaluar el rendimiento del puerto con una sola grúa y observar cómo los tiempos de servicio y de espera cambian cuando las condiciones del sistema se alteran.</w:t>
      </w:r>
    </w:p>
    <w:p w:rsidR="00000000" w:rsidDel="00000000" w:rsidP="00000000" w:rsidRDefault="00000000" w:rsidRPr="00000000" w14:paraId="00000087">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ambos escenarios se esperan analizar las fluctuaciones en las variables del bloque A.</w:t>
      </w:r>
    </w:p>
    <w:p w:rsidR="00000000" w:rsidDel="00000000" w:rsidP="00000000" w:rsidRDefault="00000000" w:rsidRPr="00000000" w14:paraId="000000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Prueba con tarifas diferenciadas: Evaluar el impacto de aplicar tarifas diferenciadas a los contenedores medios llenos, y cómo estas tarifas afectan los tiempos de carga y descarga, así como la rentabilidad del puerto.</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gerencia del puerto tendrá el bloque de variables B para analizar la estrategia comercial a tomar con el comportamiento de los contenedores. </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2"/>
        <w:numPr>
          <w:ilvl w:val="1"/>
          <w:numId w:val="1"/>
        </w:numPr>
        <w:ind w:left="576" w:hanging="576"/>
        <w:rPr/>
      </w:pPr>
      <w:r w:rsidDel="00000000" w:rsidR="00000000" w:rsidRPr="00000000">
        <w:rPr>
          <w:rtl w:val="0"/>
        </w:rPr>
        <w:t xml:space="preserve">Diagrama de proceso</w:t>
      </w:r>
    </w:p>
    <w:p w:rsidR="00000000" w:rsidDel="00000000" w:rsidP="00000000" w:rsidRDefault="00000000" w:rsidRPr="00000000" w14:paraId="0000008C">
      <w:pPr>
        <w:jc w:val="center"/>
        <w:rPr/>
      </w:pPr>
      <w:r w:rsidDel="00000000" w:rsidR="00000000" w:rsidRPr="00000000">
        <w:rPr>
          <w:rtl w:val="0"/>
        </w:rPr>
      </w:r>
    </w:p>
    <w:p w:rsidR="00000000" w:rsidDel="00000000" w:rsidP="00000000" w:rsidRDefault="00000000" w:rsidRPr="00000000" w14:paraId="0000008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1</w:t>
      </w:r>
    </w:p>
    <w:p w:rsidR="00000000" w:rsidDel="00000000" w:rsidP="00000000" w:rsidRDefault="00000000" w:rsidRPr="00000000" w14:paraId="0000008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Diagrama de proceso de puerto Terminal Baires</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34075" cy="2752725"/>
            <wp:effectExtent b="0" l="0" r="0" t="0"/>
            <wp:docPr id="148390331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34075"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2"/>
        <w:numPr>
          <w:ilvl w:val="1"/>
          <w:numId w:val="1"/>
        </w:numPr>
        <w:ind w:left="576" w:hanging="576"/>
        <w:rPr/>
      </w:pPr>
      <w:r w:rsidDel="00000000" w:rsidR="00000000" w:rsidRPr="00000000">
        <w:rPr>
          <w:rtl w:val="0"/>
        </w:rPr>
        <w:t xml:space="preserve">Eventos destacados y lógicas</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simulador opera mediante una lógica de eventos discretos utilizando SimPy, donde se modela la llegada y atención de buques en un puerto con grúas limitadas. Los eventos destacados que ocurren en el sistema son los siguientes, en orden secuencial:</w:t>
        <w:br w:type="textWrapping"/>
      </w:r>
    </w:p>
    <w:p w:rsidR="00000000" w:rsidDel="00000000" w:rsidP="00000000" w:rsidRDefault="00000000" w:rsidRPr="00000000" w14:paraId="0000009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Llegada del buque a pre-mar: el buque entra al sistema y comienza su espera.</w:t>
        <w:br w:type="textWrapping"/>
        <w:t xml:space="preserve">-Se genera un buque con un ID específico según el orden de generación y el ciclo. Buque 1 ciclo 0 es el primer objeto posible del simulador.</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generan una cantidad de contenedores siguiendo una distribución normal. Luego por cada generador generado se selecciona una clase liviano, mediano o pesado y un tipo, si lleno o medio lleno siguiendo un binominal 0.7 para llenos.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Cada contenedor es un objeto con atributos únicos.</w:t>
      </w:r>
    </w:p>
    <w:p w:rsidR="00000000" w:rsidDel="00000000" w:rsidP="00000000" w:rsidRDefault="00000000" w:rsidRPr="00000000" w14:paraId="0000009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Selección de un buque: Las grúas permiten a los barcos ingresar al puerto para ser atendidos. Si no se encuentra un barco en pre mar o una grúa libre ocurren esperas.</w:t>
      </w:r>
    </w:p>
    <w:p w:rsidR="00000000" w:rsidDel="00000000" w:rsidP="00000000" w:rsidRDefault="00000000" w:rsidRPr="00000000" w14:paraId="0000009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Inicio de la navegación del buque hacia: se simula el tiempo de navegación hasta la grua.</w:t>
      </w:r>
    </w:p>
    <w:p w:rsidR="00000000" w:rsidDel="00000000" w:rsidP="00000000" w:rsidRDefault="00000000" w:rsidRPr="00000000" w14:paraId="0000009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 de la navegación:  el buque llega a la grúa e inicia el servicio.</w:t>
      </w:r>
    </w:p>
    <w:p w:rsidR="00000000" w:rsidDel="00000000" w:rsidP="00000000" w:rsidRDefault="00000000" w:rsidRPr="00000000" w14:paraId="0000009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Inicio del servicio de carga/descarga: la grúa comienza a operar los contenedores del buque.</w:t>
        <w:br w:type="textWrapping"/>
        <w:t xml:space="preserve">- La duración del servicio se calcula para cada buque y se compone del número total de contenedores entendida sobre la cantidad de contenedores que puede mover la grúa por hora (rendimiento)</w:t>
      </w:r>
    </w:p>
    <w:p w:rsidR="00000000" w:rsidDel="00000000" w:rsidP="00000000" w:rsidRDefault="00000000" w:rsidRPr="00000000" w14:paraId="0000009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 del servicio: la operación de carga y descarga concluye. Puede incluir tiempo extra por reparaciones.</w:t>
      </w:r>
    </w:p>
    <w:p w:rsidR="00000000" w:rsidDel="00000000" w:rsidP="00000000" w:rsidRDefault="00000000" w:rsidRPr="00000000" w14:paraId="0000009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Inicio de la navegación de salida: el buque comienza su salida del puerto.</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Todos estos eventos son registrados en un log transaccional estructurado (eventos) que puede ser visualizado mediante una animación temporal. Uno para el simulador y otra para el experimento. Posee un formato del tipo DataFrame de pandas.</w:t>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pStyle w:val="Heading2"/>
        <w:numPr>
          <w:ilvl w:val="1"/>
          <w:numId w:val="1"/>
        </w:numPr>
        <w:ind w:left="576" w:hanging="576"/>
        <w:rPr/>
      </w:pPr>
      <w:r w:rsidDel="00000000" w:rsidR="00000000" w:rsidRPr="00000000">
        <w:rPr>
          <w:rtl w:val="0"/>
        </w:rPr>
        <w:t xml:space="preserve">Variables aleatorias, Parámetros y relación entre ellos</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modelo utiliza varias variables aleatorias y parámetros configurables para capturar la variabilidad del sistema y la naturaleza estocástica de muchos de los elementos que lo componen.</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tl w:val="0"/>
        </w:rPr>
      </w:r>
    </w:p>
    <w:tbl>
      <w:tblPr>
        <w:tblStyle w:val="Table4"/>
        <w:tblW w:w="10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4"/>
        <w:gridCol w:w="2681"/>
        <w:gridCol w:w="3365"/>
        <w:gridCol w:w="2770"/>
        <w:tblGridChange w:id="0">
          <w:tblGrid>
            <w:gridCol w:w="1974"/>
            <w:gridCol w:w="2681"/>
            <w:gridCol w:w="3365"/>
            <w:gridCol w:w="2770"/>
          </w:tblGrid>
        </w:tblGridChange>
      </w:tblGrid>
      <w:tr>
        <w:trPr>
          <w:cantSplit w:val="0"/>
          <w:tblHeader w:val="1"/>
        </w:trPr>
        <w:tc>
          <w:tcPr>
            <w:tcMar>
              <w:top w:w="71.43307086614173" w:type="dxa"/>
              <w:left w:w="71.43307086614173" w:type="dxa"/>
              <w:bottom w:w="71.43307086614173" w:type="dxa"/>
              <w:right w:w="71.43307086614173" w:type="dxa"/>
            </w:tcMar>
            <w:vAlign w:val="center"/>
          </w:tcPr>
          <w:p w:rsidR="00000000" w:rsidDel="00000000" w:rsidP="00000000" w:rsidRDefault="00000000" w:rsidRPr="00000000" w14:paraId="000000A4">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Componente</w:t>
            </w:r>
          </w:p>
        </w:tc>
        <w:tc>
          <w:tcPr>
            <w:tcMar>
              <w:top w:w="71.43307086614173" w:type="dxa"/>
              <w:left w:w="71.43307086614173" w:type="dxa"/>
              <w:bottom w:w="71.43307086614173" w:type="dxa"/>
              <w:right w:w="71.43307086614173" w:type="dxa"/>
            </w:tcMar>
            <w:vAlign w:val="center"/>
          </w:tcPr>
          <w:p w:rsidR="00000000" w:rsidDel="00000000" w:rsidP="00000000" w:rsidRDefault="00000000" w:rsidRPr="00000000" w14:paraId="000000A5">
            <w:pPr>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Variable aleatoria</w:t>
            </w:r>
          </w:p>
        </w:tc>
        <w:tc>
          <w:tcPr>
            <w:tcMar>
              <w:top w:w="71.43307086614173" w:type="dxa"/>
              <w:left w:w="71.43307086614173" w:type="dxa"/>
              <w:bottom w:w="71.43307086614173" w:type="dxa"/>
              <w:right w:w="71.43307086614173" w:type="dxa"/>
            </w:tcMar>
            <w:vAlign w:val="center"/>
          </w:tcPr>
          <w:p w:rsidR="00000000" w:rsidDel="00000000" w:rsidP="00000000" w:rsidRDefault="00000000" w:rsidRPr="00000000" w14:paraId="000000A6">
            <w:pPr>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Distribución / valor</w:t>
            </w:r>
          </w:p>
        </w:tc>
        <w:tc>
          <w:tcPr>
            <w:tcMar>
              <w:top w:w="71.43307086614173" w:type="dxa"/>
              <w:left w:w="71.43307086614173" w:type="dxa"/>
              <w:bottom w:w="71.43307086614173" w:type="dxa"/>
              <w:right w:w="71.43307086614173" w:type="dxa"/>
            </w:tcMar>
            <w:vAlign w:val="center"/>
          </w:tcPr>
          <w:p w:rsidR="00000000" w:rsidDel="00000000" w:rsidP="00000000" w:rsidRDefault="00000000" w:rsidRPr="00000000" w14:paraId="000000A7">
            <w:pPr>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Relación</w:t>
            </w:r>
          </w:p>
        </w:tc>
      </w:tr>
      <w:tr>
        <w:trPr>
          <w:cantSplit w:val="0"/>
          <w:tblHeader w:val="0"/>
        </w:trPr>
        <w:tc>
          <w:tcPr>
            <w:tcMar>
              <w:top w:w="71.43307086614173" w:type="dxa"/>
              <w:left w:w="71.43307086614173" w:type="dxa"/>
              <w:bottom w:w="71.43307086614173" w:type="dxa"/>
              <w:right w:w="71.43307086614173" w:type="dxa"/>
            </w:tcMar>
            <w:vAlign w:val="center"/>
          </w:tcPr>
          <w:p w:rsidR="00000000" w:rsidDel="00000000" w:rsidP="00000000" w:rsidRDefault="00000000" w:rsidRPr="00000000" w14:paraId="000000A8">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Llegada de buques</w:t>
            </w:r>
          </w:p>
        </w:tc>
        <w:tc>
          <w:tcPr>
            <w:tcMar>
              <w:top w:w="71.43307086614173" w:type="dxa"/>
              <w:left w:w="71.43307086614173" w:type="dxa"/>
              <w:bottom w:w="71.43307086614173" w:type="dxa"/>
              <w:right w:w="71.43307086614173" w:type="dxa"/>
            </w:tcMar>
            <w:vAlign w:val="center"/>
          </w:tcPr>
          <w:p w:rsidR="00000000" w:rsidDel="00000000" w:rsidP="00000000" w:rsidRDefault="00000000" w:rsidRPr="00000000" w14:paraId="000000A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 de llegada</w:t>
            </w:r>
          </w:p>
        </w:tc>
        <w:tc>
          <w:tcPr>
            <w:tcMar>
              <w:top w:w="71.43307086614173" w:type="dxa"/>
              <w:left w:w="71.43307086614173" w:type="dxa"/>
              <w:bottom w:w="71.43307086614173" w:type="dxa"/>
              <w:right w:w="71.43307086614173" w:type="dxa"/>
            </w:tcMar>
            <w:vAlign w:val="center"/>
          </w:tcPr>
          <w:p w:rsidR="00000000" w:rsidDel="00000000" w:rsidP="00000000" w:rsidRDefault="00000000" w:rsidRPr="00000000" w14:paraId="000000A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Exponencial (</w:t>
            </w:r>
            <w:r w:rsidDel="00000000" w:rsidR="00000000" w:rsidRPr="00000000">
              <w:rPr>
                <w:rFonts w:ascii="Courier New" w:cs="Courier New" w:eastAsia="Courier New" w:hAnsi="Courier New"/>
                <w:sz w:val="20"/>
                <w:szCs w:val="20"/>
                <w:rtl w:val="0"/>
              </w:rPr>
              <w:t xml:space="preserve">λ = 1 / tasa_llegada_dias</w:t>
            </w:r>
            <w:r w:rsidDel="00000000" w:rsidR="00000000" w:rsidRPr="00000000">
              <w:rPr>
                <w:rFonts w:ascii="Times New Roman" w:cs="Times New Roman" w:eastAsia="Times New Roman" w:hAnsi="Times New Roman"/>
                <w:sz w:val="20"/>
                <w:szCs w:val="20"/>
                <w:rtl w:val="0"/>
              </w:rPr>
              <w:t xml:space="preserve">)</w:t>
            </w:r>
          </w:p>
        </w:tc>
        <w:tc>
          <w:tcPr>
            <w:tcMar>
              <w:top w:w="71.43307086614173" w:type="dxa"/>
              <w:left w:w="71.43307086614173" w:type="dxa"/>
              <w:bottom w:w="71.43307086614173" w:type="dxa"/>
              <w:right w:w="71.43307086614173" w:type="dxa"/>
            </w:tcMar>
            <w:vAlign w:val="center"/>
          </w:tcPr>
          <w:p w:rsidR="00000000" w:rsidDel="00000000" w:rsidP="00000000" w:rsidRDefault="00000000" w:rsidRPr="00000000" w14:paraId="000000A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Determina que tan seguido llegan los barcos</w:t>
            </w:r>
          </w:p>
        </w:tc>
      </w:tr>
      <w:tr>
        <w:trPr>
          <w:cantSplit w:val="0"/>
          <w:tblHeader w:val="0"/>
        </w:trPr>
        <w:tc>
          <w:tcPr>
            <w:tcMar>
              <w:top w:w="71.43307086614173" w:type="dxa"/>
              <w:left w:w="71.43307086614173" w:type="dxa"/>
              <w:bottom w:w="71.43307086614173" w:type="dxa"/>
              <w:right w:w="71.43307086614173" w:type="dxa"/>
            </w:tcMar>
            <w:vAlign w:val="center"/>
          </w:tcPr>
          <w:p w:rsidR="00000000" w:rsidDel="00000000" w:rsidP="00000000" w:rsidRDefault="00000000" w:rsidRPr="00000000" w14:paraId="000000AC">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Navegación a grúa</w:t>
            </w:r>
          </w:p>
        </w:tc>
        <w:tc>
          <w:tcPr>
            <w:tcMar>
              <w:top w:w="71.43307086614173" w:type="dxa"/>
              <w:left w:w="71.43307086614173" w:type="dxa"/>
              <w:bottom w:w="71.43307086614173" w:type="dxa"/>
              <w:right w:w="71.43307086614173" w:type="dxa"/>
            </w:tcMar>
            <w:vAlign w:val="center"/>
          </w:tcPr>
          <w:p w:rsidR="00000000" w:rsidDel="00000000" w:rsidP="00000000" w:rsidRDefault="00000000" w:rsidRPr="00000000" w14:paraId="000000A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Tiempo de navegación</w:t>
            </w:r>
          </w:p>
        </w:tc>
        <w:tc>
          <w:tcPr>
            <w:tcMar>
              <w:top w:w="71.43307086614173" w:type="dxa"/>
              <w:left w:w="71.43307086614173" w:type="dxa"/>
              <w:bottom w:w="71.43307086614173" w:type="dxa"/>
              <w:right w:w="71.43307086614173" w:type="dxa"/>
            </w:tcMar>
            <w:vAlign w:val="center"/>
          </w:tcPr>
          <w:p w:rsidR="00000000" w:rsidDel="00000000" w:rsidP="00000000" w:rsidRDefault="00000000" w:rsidRPr="00000000" w14:paraId="000000A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Uniforme (15 min a 30 min)</w:t>
            </w:r>
          </w:p>
        </w:tc>
        <w:tc>
          <w:tcPr>
            <w:tcMar>
              <w:top w:w="71.43307086614173" w:type="dxa"/>
              <w:left w:w="71.43307086614173" w:type="dxa"/>
              <w:bottom w:w="71.43307086614173" w:type="dxa"/>
              <w:right w:w="71.43307086614173" w:type="dxa"/>
            </w:tcMar>
            <w:vAlign w:val="center"/>
          </w:tcPr>
          <w:p w:rsidR="00000000" w:rsidDel="00000000" w:rsidP="00000000" w:rsidRDefault="00000000" w:rsidRPr="00000000" w14:paraId="000000A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Tiempo de traslado de grúa al buque</w:t>
            </w:r>
          </w:p>
        </w:tc>
      </w:tr>
      <w:tr>
        <w:trPr>
          <w:cantSplit w:val="0"/>
          <w:tblHeader w:val="0"/>
        </w:trPr>
        <w:tc>
          <w:tcPr>
            <w:tcMar>
              <w:top w:w="71.43307086614173" w:type="dxa"/>
              <w:left w:w="71.43307086614173" w:type="dxa"/>
              <w:bottom w:w="71.43307086614173" w:type="dxa"/>
              <w:right w:w="71.43307086614173" w:type="dxa"/>
            </w:tcMar>
            <w:vAlign w:val="center"/>
          </w:tcPr>
          <w:p w:rsidR="00000000" w:rsidDel="00000000" w:rsidP="00000000" w:rsidRDefault="00000000" w:rsidRPr="00000000" w14:paraId="000000B0">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Contenedores por buque</w:t>
            </w:r>
          </w:p>
        </w:tc>
        <w:tc>
          <w:tcPr>
            <w:tcMar>
              <w:top w:w="71.43307086614173" w:type="dxa"/>
              <w:left w:w="71.43307086614173" w:type="dxa"/>
              <w:bottom w:w="71.43307086614173" w:type="dxa"/>
              <w:right w:w="71.43307086614173" w:type="dxa"/>
            </w:tcMar>
            <w:vAlign w:val="center"/>
          </w:tcPr>
          <w:p w:rsidR="00000000" w:rsidDel="00000000" w:rsidP="00000000" w:rsidRDefault="00000000" w:rsidRPr="00000000" w14:paraId="000000B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Cantidad de contenedores a descargar/cargar</w:t>
            </w:r>
          </w:p>
        </w:tc>
        <w:tc>
          <w:tcPr>
            <w:tcMar>
              <w:top w:w="71.43307086614173" w:type="dxa"/>
              <w:left w:w="71.43307086614173" w:type="dxa"/>
              <w:bottom w:w="71.43307086614173" w:type="dxa"/>
              <w:right w:w="71.43307086614173" w:type="dxa"/>
            </w:tcMar>
            <w:vAlign w:val="center"/>
          </w:tcPr>
          <w:p w:rsidR="00000000" w:rsidDel="00000000" w:rsidP="00000000" w:rsidRDefault="00000000" w:rsidRPr="00000000" w14:paraId="000000B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Uniforme (descarga: 200–1200, carga: 100–600)</w:t>
            </w:r>
          </w:p>
        </w:tc>
        <w:tc>
          <w:tcPr>
            <w:tcMar>
              <w:top w:w="71.43307086614173" w:type="dxa"/>
              <w:left w:w="71.43307086614173" w:type="dxa"/>
              <w:bottom w:w="71.43307086614173" w:type="dxa"/>
              <w:right w:w="71.43307086614173" w:type="dxa"/>
            </w:tcMar>
            <w:vAlign w:val="center"/>
          </w:tcPr>
          <w:p w:rsidR="00000000" w:rsidDel="00000000" w:rsidP="00000000" w:rsidRDefault="00000000" w:rsidRPr="00000000" w14:paraId="000000B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Define el trabajo total para la grúa</w:t>
            </w:r>
          </w:p>
        </w:tc>
      </w:tr>
      <w:tr>
        <w:trPr>
          <w:cantSplit w:val="0"/>
          <w:tblHeader w:val="0"/>
        </w:trPr>
        <w:tc>
          <w:tcPr>
            <w:tcMar>
              <w:top w:w="71.43307086614173" w:type="dxa"/>
              <w:left w:w="71.43307086614173" w:type="dxa"/>
              <w:bottom w:w="71.43307086614173" w:type="dxa"/>
              <w:right w:w="71.43307086614173" w:type="dxa"/>
            </w:tcMar>
            <w:vAlign w:val="center"/>
          </w:tcPr>
          <w:p w:rsidR="00000000" w:rsidDel="00000000" w:rsidP="00000000" w:rsidRDefault="00000000" w:rsidRPr="00000000" w14:paraId="000000B4">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Tipo de contenedor</w:t>
            </w:r>
          </w:p>
        </w:tc>
        <w:tc>
          <w:tcPr>
            <w:tcMar>
              <w:top w:w="71.43307086614173" w:type="dxa"/>
              <w:left w:w="71.43307086614173" w:type="dxa"/>
              <w:bottom w:w="71.43307086614173" w:type="dxa"/>
              <w:right w:w="71.43307086614173" w:type="dxa"/>
            </w:tcMar>
            <w:vAlign w:val="center"/>
          </w:tcPr>
          <w:p w:rsidR="00000000" w:rsidDel="00000000" w:rsidP="00000000" w:rsidRDefault="00000000" w:rsidRPr="00000000" w14:paraId="000000B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Tipo (</w:t>
            </w:r>
            <w:r w:rsidDel="00000000" w:rsidR="00000000" w:rsidRPr="00000000">
              <w:rPr>
                <w:rFonts w:ascii="Courier New" w:cs="Courier New" w:eastAsia="Courier New" w:hAnsi="Courier New"/>
                <w:sz w:val="20"/>
                <w:szCs w:val="20"/>
                <w:rtl w:val="0"/>
              </w:rPr>
              <w:t xml:space="preserve">liviano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Courier New" w:cs="Courier New" w:eastAsia="Courier New" w:hAnsi="Courier New"/>
                <w:sz w:val="20"/>
                <w:szCs w:val="20"/>
                <w:rtl w:val="0"/>
              </w:rPr>
              <w:t xml:space="preserve">mediano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Courier New" w:cs="Courier New" w:eastAsia="Courier New" w:hAnsi="Courier New"/>
                <w:sz w:val="20"/>
                <w:szCs w:val="20"/>
                <w:rtl w:val="0"/>
              </w:rPr>
              <w:t xml:space="preserve">pesado</w:t>
            </w:r>
            <w:r w:rsidDel="00000000" w:rsidR="00000000" w:rsidRPr="00000000">
              <w:rPr>
                <w:rFonts w:ascii="Times New Roman" w:cs="Times New Roman" w:eastAsia="Times New Roman" w:hAnsi="Times New Roman"/>
                <w:sz w:val="20"/>
                <w:szCs w:val="20"/>
                <w:rtl w:val="0"/>
              </w:rPr>
              <w:t xml:space="preserve">)</w:t>
            </w:r>
          </w:p>
        </w:tc>
        <w:tc>
          <w:tcPr>
            <w:tcMar>
              <w:top w:w="71.43307086614173" w:type="dxa"/>
              <w:left w:w="71.43307086614173" w:type="dxa"/>
              <w:bottom w:w="71.43307086614173" w:type="dxa"/>
              <w:right w:w="71.43307086614173" w:type="dxa"/>
            </w:tcMar>
            <w:vAlign w:val="center"/>
          </w:tcPr>
          <w:p w:rsidR="00000000" w:rsidDel="00000000" w:rsidP="00000000" w:rsidRDefault="00000000" w:rsidRPr="00000000" w14:paraId="000000B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Elección aleatoria equiprobable</w:t>
            </w:r>
          </w:p>
        </w:tc>
        <w:tc>
          <w:tcPr>
            <w:tcMar>
              <w:top w:w="71.43307086614173" w:type="dxa"/>
              <w:left w:w="71.43307086614173" w:type="dxa"/>
              <w:bottom w:w="71.43307086614173" w:type="dxa"/>
              <w:right w:w="71.43307086614173" w:type="dxa"/>
            </w:tcMar>
            <w:vAlign w:val="center"/>
          </w:tcPr>
          <w:p w:rsidR="00000000" w:rsidDel="00000000" w:rsidP="00000000" w:rsidRDefault="00000000" w:rsidRPr="00000000" w14:paraId="000000B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Afecta el peso total operado</w:t>
            </w:r>
          </w:p>
        </w:tc>
      </w:tr>
      <w:tr>
        <w:trPr>
          <w:cantSplit w:val="0"/>
          <w:tblHeader w:val="0"/>
        </w:trPr>
        <w:tc>
          <w:tcPr>
            <w:tcMar>
              <w:top w:w="71.43307086614173" w:type="dxa"/>
              <w:left w:w="71.43307086614173" w:type="dxa"/>
              <w:bottom w:w="71.43307086614173" w:type="dxa"/>
              <w:right w:w="71.43307086614173" w:type="dxa"/>
            </w:tcMar>
            <w:vAlign w:val="center"/>
          </w:tcPr>
          <w:p w:rsidR="00000000" w:rsidDel="00000000" w:rsidP="00000000" w:rsidRDefault="00000000" w:rsidRPr="00000000" w14:paraId="000000B8">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Clase contenedor</w:t>
            </w:r>
          </w:p>
        </w:tc>
        <w:tc>
          <w:tcPr>
            <w:tcMar>
              <w:top w:w="71.43307086614173" w:type="dxa"/>
              <w:left w:w="71.43307086614173" w:type="dxa"/>
              <w:bottom w:w="71.43307086614173" w:type="dxa"/>
              <w:right w:w="71.43307086614173" w:type="dxa"/>
            </w:tcMar>
            <w:vAlign w:val="center"/>
          </w:tcPr>
          <w:p w:rsidR="00000000" w:rsidDel="00000000" w:rsidP="00000000" w:rsidRDefault="00000000" w:rsidRPr="00000000" w14:paraId="000000B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Contenedor lleno o medio lleno</w:t>
            </w:r>
          </w:p>
        </w:tc>
        <w:tc>
          <w:tcPr>
            <w:tcMar>
              <w:top w:w="71.43307086614173" w:type="dxa"/>
              <w:left w:w="71.43307086614173" w:type="dxa"/>
              <w:bottom w:w="71.43307086614173" w:type="dxa"/>
              <w:right w:w="71.43307086614173" w:type="dxa"/>
            </w:tcMar>
            <w:vAlign w:val="center"/>
          </w:tcPr>
          <w:p w:rsidR="00000000" w:rsidDel="00000000" w:rsidP="00000000" w:rsidRDefault="00000000" w:rsidRPr="00000000" w14:paraId="000000B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Binomial (70% lleno, 30% medio)</w:t>
            </w:r>
          </w:p>
        </w:tc>
        <w:tc>
          <w:tcPr>
            <w:tcMar>
              <w:top w:w="71.43307086614173" w:type="dxa"/>
              <w:left w:w="71.43307086614173" w:type="dxa"/>
              <w:bottom w:w="71.43307086614173" w:type="dxa"/>
              <w:right w:w="71.43307086614173" w:type="dxa"/>
            </w:tcMar>
            <w:vAlign w:val="center"/>
          </w:tcPr>
          <w:p w:rsidR="00000000" w:rsidDel="00000000" w:rsidP="00000000" w:rsidRDefault="00000000" w:rsidRPr="00000000" w14:paraId="000000B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Modifica el peso real del contenedor</w:t>
            </w:r>
          </w:p>
        </w:tc>
      </w:tr>
      <w:tr>
        <w:trPr>
          <w:cantSplit w:val="0"/>
          <w:tblHeader w:val="0"/>
        </w:trPr>
        <w:tc>
          <w:tcPr>
            <w:tcMar>
              <w:top w:w="71.43307086614173" w:type="dxa"/>
              <w:left w:w="71.43307086614173" w:type="dxa"/>
              <w:bottom w:w="71.43307086614173" w:type="dxa"/>
              <w:right w:w="71.43307086614173" w:type="dxa"/>
            </w:tcMar>
            <w:vAlign w:val="center"/>
          </w:tcPr>
          <w:p w:rsidR="00000000" w:rsidDel="00000000" w:rsidP="00000000" w:rsidRDefault="00000000" w:rsidRPr="00000000" w14:paraId="000000BC">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Rotura de grúa</w:t>
            </w:r>
          </w:p>
        </w:tc>
        <w:tc>
          <w:tcPr>
            <w:tcMar>
              <w:top w:w="71.43307086614173" w:type="dxa"/>
              <w:left w:w="71.43307086614173" w:type="dxa"/>
              <w:bottom w:w="71.43307086614173" w:type="dxa"/>
              <w:right w:w="71.43307086614173" w:type="dxa"/>
            </w:tcMar>
            <w:vAlign w:val="center"/>
          </w:tcPr>
          <w:p w:rsidR="00000000" w:rsidDel="00000000" w:rsidP="00000000" w:rsidRDefault="00000000" w:rsidRPr="00000000" w14:paraId="000000B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ocurre rotura durante servicio</w:t>
            </w:r>
          </w:p>
        </w:tc>
        <w:tc>
          <w:tcPr>
            <w:tcMar>
              <w:top w:w="71.43307086614173" w:type="dxa"/>
              <w:left w:w="71.43307086614173" w:type="dxa"/>
              <w:bottom w:w="71.43307086614173" w:type="dxa"/>
              <w:right w:w="71.43307086614173" w:type="dxa"/>
            </w:tcMar>
            <w:vAlign w:val="center"/>
          </w:tcPr>
          <w:p w:rsidR="00000000" w:rsidDel="00000000" w:rsidP="00000000" w:rsidRDefault="00000000" w:rsidRPr="00000000" w14:paraId="000000B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Bernoulli (p = 0.15)</w:t>
            </w:r>
          </w:p>
        </w:tc>
        <w:tc>
          <w:tcPr>
            <w:tcMar>
              <w:top w:w="71.43307086614173" w:type="dxa"/>
              <w:left w:w="71.43307086614173" w:type="dxa"/>
              <w:bottom w:w="71.43307086614173" w:type="dxa"/>
              <w:right w:w="71.43307086614173" w:type="dxa"/>
            </w:tcMar>
            <w:vAlign w:val="center"/>
          </w:tcPr>
          <w:p w:rsidR="00000000" w:rsidDel="00000000" w:rsidP="00000000" w:rsidRDefault="00000000" w:rsidRPr="00000000" w14:paraId="000000B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Añade 2h extra de servicio</w:t>
            </w:r>
          </w:p>
        </w:tc>
      </w:tr>
      <w:tr>
        <w:trPr>
          <w:cantSplit w:val="0"/>
          <w:tblHeader w:val="0"/>
        </w:trPr>
        <w:tc>
          <w:tcPr>
            <w:tcMar>
              <w:top w:w="71.43307086614173" w:type="dxa"/>
              <w:left w:w="71.43307086614173" w:type="dxa"/>
              <w:bottom w:w="71.43307086614173" w:type="dxa"/>
              <w:right w:w="71.43307086614173" w:type="dxa"/>
            </w:tcMar>
            <w:vAlign w:val="center"/>
          </w:tcPr>
          <w:p w:rsidR="00000000" w:rsidDel="00000000" w:rsidP="00000000" w:rsidRDefault="00000000" w:rsidRPr="00000000" w14:paraId="000000C0">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Navegación de salida</w:t>
            </w:r>
          </w:p>
        </w:tc>
        <w:tc>
          <w:tcPr>
            <w:tcMar>
              <w:top w:w="71.43307086614173" w:type="dxa"/>
              <w:left w:w="71.43307086614173" w:type="dxa"/>
              <w:bottom w:w="71.43307086614173" w:type="dxa"/>
              <w:right w:w="71.43307086614173" w:type="dxa"/>
            </w:tcMar>
            <w:vAlign w:val="center"/>
          </w:tcPr>
          <w:p w:rsidR="00000000" w:rsidDel="00000000" w:rsidP="00000000" w:rsidRDefault="00000000" w:rsidRPr="00000000" w14:paraId="000000C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Tiempo de salida</w:t>
            </w:r>
          </w:p>
        </w:tc>
        <w:tc>
          <w:tcPr>
            <w:tcMar>
              <w:top w:w="71.43307086614173" w:type="dxa"/>
              <w:left w:w="71.43307086614173" w:type="dxa"/>
              <w:bottom w:w="71.43307086614173" w:type="dxa"/>
              <w:right w:w="71.43307086614173" w:type="dxa"/>
            </w:tcMar>
            <w:vAlign w:val="center"/>
          </w:tcPr>
          <w:p w:rsidR="00000000" w:rsidDel="00000000" w:rsidP="00000000" w:rsidRDefault="00000000" w:rsidRPr="00000000" w14:paraId="000000C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Uniforme (10 min a 20 min)</w:t>
            </w:r>
          </w:p>
        </w:tc>
        <w:tc>
          <w:tcPr>
            <w:tcMar>
              <w:top w:w="71.43307086614173" w:type="dxa"/>
              <w:left w:w="71.43307086614173" w:type="dxa"/>
              <w:bottom w:w="71.43307086614173" w:type="dxa"/>
              <w:right w:w="71.43307086614173" w:type="dxa"/>
            </w:tcMar>
            <w:vAlign w:val="center"/>
          </w:tcPr>
          <w:p w:rsidR="00000000" w:rsidDel="00000000" w:rsidP="00000000" w:rsidRDefault="00000000" w:rsidRPr="00000000" w14:paraId="000000C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Tiempo final antes de que el buque deje el sistema</w:t>
            </w:r>
          </w:p>
        </w:tc>
      </w:tr>
    </w:tbl>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2"/>
        <w:numPr>
          <w:ilvl w:val="1"/>
          <w:numId w:val="1"/>
        </w:numPr>
        <w:ind w:left="576" w:hanging="576"/>
        <w:rPr/>
      </w:pPr>
      <w:r w:rsidDel="00000000" w:rsidR="00000000" w:rsidRPr="00000000">
        <w:rPr>
          <w:rtl w:val="0"/>
        </w:rPr>
        <w:t xml:space="preserve">Elementos del simulador</w:t>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Entidades.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Las entidades representan los objetos dinámicos que atraviesan el sistema y sobre los que se aplican procesos. En este simulador hay dos tipos principales: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•Buques: cada buque llega al sistema, espera, es atendido por una grúa y finalmente abandona el puerto. El sistema los procesa siguiendo una lógica FIFO</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•Contenedores: asociados a los buques, pueden ser livianos, medianos o pesados, y están llenos o medio llenos. No se simulan de forma independiente, sino como atributos del buque. Se genera una cantidad aleatoria de esos en cada buque al llegar al puerto, cada uno con atributos únicos.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Atributos.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 atributos son propiedades individuales de las entidades que pueden variar entre instancias: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tab/>
        <w:t xml:space="preserve">Para los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buques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id: identificador único del buque.</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cargar, descargar: cantidad de contenedores a cargar y descargar.</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num_contenedores: total de contenedores del buque.</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peso_total: peso acumulado de todos los contenedores.</w:t>
      </w:r>
      <w:r w:rsidDel="00000000" w:rsidR="00000000" w:rsidRPr="00000000">
        <w:br w:type="page"/>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tiempos: momentos clave como inicio de navegación, servicio, salida, etc. En su mayoría marcas de tiempo o TimeStamps.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tiempo_llegada: marca temporal al entrar al sistema.</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inicio_servicio: marca temporal al iniciar servicio con grúa.</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fin_servicio: marca temporal al finalizar la tarea de carga con una grúa.</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tiempo_llegada: marca temporal al entrar al sistema.</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tab/>
        <w:t xml:space="preserve">Para los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contenedores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tipo: liviano, mediano o pesado.</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lleno: booleano, indica si está lleno o medio lleno.</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peso: valor calculado en función del tipo y nivel de llenado.</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Variables.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Las variables son valores globales del sistema, que permiten monitorear o controlar el comportamiento:</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duración_sistema: tiempo total que llevó simular la atención de 10 barcos.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grua_ts: tiempo en que la grúa quedó libre por última vez.</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barcos_servidos: contador acumulado de buques atendidos.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rendimiento: cantidad de contenedores que la grúa puede operar por hora (parámetro configurable).</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tasa_llegada_dias: tiempo promedio entre llegadas de buques.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ciclo: identifica el ciclo actual que el barco pertenece.</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Existen listas o arreglos cuyo propósito es almacenar la información que se va generando.</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 lista de simulaciones ejecutadas (si se corre más de una)</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eventos: lista de eventos registrados (timestamp, tipo de evento, buque).</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log: lista con datos detallados de cada operación.</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Recursos.</w:t>
      </w:r>
      <w:r w:rsidDel="00000000" w:rsidR="00000000" w:rsidRPr="00000000">
        <w:rPr>
          <w:rtl w:val="0"/>
        </w:rPr>
      </w:r>
    </w:p>
    <w:p w:rsidR="00000000" w:rsidDel="00000000" w:rsidP="00000000" w:rsidRDefault="00000000" w:rsidRPr="00000000" w14:paraId="000000F2">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recursos son componentes limitados del sistema que son requeridos por las entidades:</w:t>
      </w:r>
    </w:p>
    <w:p w:rsidR="00000000" w:rsidDel="00000000" w:rsidP="00000000" w:rsidRDefault="00000000" w:rsidRPr="00000000" w14:paraId="000000F3">
      <w:pPr>
        <w:ind w:firstLine="70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Grúas (simpy.Resource): son el recurso principal, limitadas en cantidad (capacity=N_GRUAS) y en rendimiento (rendimiento=rendimiento). Los buques deben esperar a que una grúa esté libre para iniciar el servicio.</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Colas.</w:t>
      </w:r>
      <w:r w:rsidDel="00000000" w:rsidR="00000000" w:rsidRPr="00000000">
        <w:rPr>
          <w:rtl w:val="0"/>
        </w:rPr>
      </w:r>
    </w:p>
    <w:p w:rsidR="00000000" w:rsidDel="00000000" w:rsidP="00000000" w:rsidRDefault="00000000" w:rsidRPr="00000000" w14:paraId="000000F7">
      <w:pPr>
        <w:ind w:left="70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colas emergen cuando varias entidades compiten por un recurso limitado. En este caso:</w:t>
      </w:r>
    </w:p>
    <w:p w:rsidR="00000000" w:rsidDel="00000000" w:rsidP="00000000" w:rsidRDefault="00000000" w:rsidRPr="00000000" w14:paraId="000000F8">
      <w:pPr>
        <w:ind w:left="708"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428"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Cola de espera de grúas: si todos los recursos (grúas) están ocupados, los buques entran en una cola de espera hasta ser asignados a una grúa.</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Eventos.</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 problema posee dos eventos mencionados por la gerencia. El mal clima y las roturas de la grúa. El clima se decidió obviarlo, en tanto se suspenden actividades siguiendo protocolos aceptados por todos los participantes y el puerto no opera.</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Por otro lado las roturas, son eventos especiales que ocurren durante la prestación del servicio a un barco. Se implementó de manera simple, extiendiendo la duración del tiempo del servicio.</w:t>
      </w:r>
    </w:p>
    <w:p w:rsidR="00000000" w:rsidDel="00000000" w:rsidP="00000000" w:rsidRDefault="00000000" w:rsidRPr="00000000" w14:paraId="00000103">
      <w:pPr>
        <w:ind w:left="705" w:firstLine="0"/>
        <w:rPr/>
      </w:pPr>
      <w:r w:rsidDel="00000000" w:rsidR="00000000" w:rsidRPr="00000000">
        <w:rPr>
          <w:rtl w:val="0"/>
        </w:rPr>
        <w:t xml:space="preserve">Sería lógico relacionar la ocurrencia de una rotura con el peso, tipo de contenedor o rendimiento de trabajo. </w:t>
      </w:r>
    </w:p>
    <w:p w:rsidR="00000000" w:rsidDel="00000000" w:rsidP="00000000" w:rsidRDefault="00000000" w:rsidRPr="00000000" w14:paraId="00000104">
      <w:pPr>
        <w:ind w:left="705" w:firstLine="0"/>
        <w:rPr/>
      </w:pPr>
      <w:r w:rsidDel="00000000" w:rsidR="00000000" w:rsidRPr="00000000">
        <w:rPr>
          <w:rtl w:val="0"/>
        </w:rPr>
        <w:t xml:space="preserve">Lo mismo par las tarifas, en tanto permitiría diferenciar claramente la operación de los contenedores.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Bibliografía, referencias y Anexos</w:t>
      </w:r>
    </w:p>
    <w:p w:rsidR="00000000" w:rsidDel="00000000" w:rsidP="00000000" w:rsidRDefault="00000000" w:rsidRPr="00000000" w14:paraId="00000107">
      <w:pPr>
        <w:pStyle w:val="Heading2"/>
        <w:numPr>
          <w:ilvl w:val="1"/>
          <w:numId w:val="1"/>
        </w:numPr>
        <w:ind w:left="576" w:hanging="576"/>
        <w:rPr/>
      </w:pPr>
      <w:r w:rsidDel="00000000" w:rsidR="00000000" w:rsidRPr="00000000">
        <w:rPr>
          <w:rtl w:val="0"/>
        </w:rPr>
        <w:t xml:space="preserve">Bibliografía</w:t>
      </w:r>
    </w:p>
    <w:p w:rsidR="00000000" w:rsidDel="00000000" w:rsidP="00000000" w:rsidRDefault="00000000" w:rsidRPr="00000000" w14:paraId="00000108">
      <w:pPr>
        <w:ind w:left="576" w:firstLine="0"/>
        <w:rPr/>
      </w:pPr>
      <w:r w:rsidDel="00000000" w:rsidR="00000000" w:rsidRPr="00000000">
        <w:rPr>
          <w:rtl w:val="0"/>
        </w:rPr>
      </w:r>
    </w:p>
    <w:p w:rsidR="00000000" w:rsidDel="00000000" w:rsidP="00000000" w:rsidRDefault="00000000" w:rsidRPr="00000000" w14:paraId="00000109">
      <w:pPr>
        <w:ind w:left="576" w:firstLine="0"/>
        <w:rPr/>
      </w:pPr>
      <w:r w:rsidDel="00000000" w:rsidR="00000000" w:rsidRPr="00000000">
        <w:rPr>
          <w:rtl w:val="0"/>
        </w:rPr>
        <w:t xml:space="preserve">Material de </w:t>
      </w:r>
      <w:r w:rsidDel="00000000" w:rsidR="00000000" w:rsidRPr="00000000">
        <w:rPr>
          <w:rtl w:val="0"/>
        </w:rPr>
      </w:r>
    </w:p>
    <w:p w:rsidR="00000000" w:rsidDel="00000000" w:rsidP="00000000" w:rsidRDefault="00000000" w:rsidRPr="00000000" w14:paraId="0000010A">
      <w:pPr>
        <w:pStyle w:val="Heading2"/>
        <w:numPr>
          <w:ilvl w:val="1"/>
          <w:numId w:val="1"/>
        </w:numPr>
        <w:ind w:left="576" w:hanging="576"/>
        <w:rPr/>
      </w:pPr>
      <w:r w:rsidDel="00000000" w:rsidR="00000000" w:rsidRPr="00000000">
        <w:rPr>
          <w:rtl w:val="0"/>
        </w:rPr>
        <w:t xml:space="preserve">Referencias</w:t>
      </w:r>
    </w:p>
    <w:p w:rsidR="00000000" w:rsidDel="00000000" w:rsidP="00000000" w:rsidRDefault="00000000" w:rsidRPr="00000000" w14:paraId="0000010B">
      <w:pPr>
        <w:pStyle w:val="Heading2"/>
        <w:numPr>
          <w:ilvl w:val="1"/>
          <w:numId w:val="1"/>
        </w:numPr>
        <w:ind w:left="576" w:hanging="576"/>
        <w:rPr/>
      </w:pPr>
      <w:r w:rsidDel="00000000" w:rsidR="00000000" w:rsidRPr="00000000">
        <w:rPr>
          <w:rtl w:val="0"/>
        </w:rPr>
        <w:t xml:space="preserve">Descripción teórica de temas desarrollas que exceden los temas tratados en el curso</w:t>
      </w:r>
    </w:p>
    <w:p w:rsidR="00000000" w:rsidDel="00000000" w:rsidP="00000000" w:rsidRDefault="00000000" w:rsidRPr="00000000" w14:paraId="0000010C">
      <w:pPr>
        <w:pStyle w:val="Heading2"/>
        <w:ind w:left="0" w:firstLine="0"/>
        <w:rPr/>
      </w:pPr>
      <w:r w:rsidDel="00000000" w:rsidR="00000000" w:rsidRPr="00000000">
        <w:rPr>
          <w:rtl w:val="0"/>
        </w:rPr>
      </w:r>
    </w:p>
    <w:sectPr>
      <w:headerReference r:id="rId8" w:type="default"/>
      <w:footerReference r:id="rId9" w:type="default"/>
      <w:pgSz w:h="15840" w:w="12240" w:orient="portrait"/>
      <w:pgMar w:bottom="720" w:top="720" w:left="720" w:right="72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versión 1</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Procesos Estocáticos y imulación Grupo xx2025 c1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2"/>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2"/>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2"/>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2"/>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AR"/>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after="60" w:before="240" w:lineRule="auto"/>
      <w:ind w:left="432" w:hanging="432"/>
    </w:pPr>
    <w:rPr>
      <w:rFonts w:ascii="Calibri" w:cs="Calibri" w:eastAsia="Calibri" w:hAnsi="Calibri"/>
      <w:b w:val="1"/>
      <w:sz w:val="32"/>
      <w:szCs w:val="32"/>
    </w:rPr>
  </w:style>
  <w:style w:type="paragraph" w:styleId="Heading2">
    <w:name w:val="heading 2"/>
    <w:basedOn w:val="Normal"/>
    <w:next w:val="Normal"/>
    <w:pPr>
      <w:keepNext w:val="1"/>
      <w:spacing w:after="60" w:before="240" w:lineRule="auto"/>
      <w:ind w:left="576" w:hanging="576"/>
    </w:pPr>
    <w:rPr>
      <w:rFonts w:ascii="Calibri" w:cs="Calibri" w:eastAsia="Calibri" w:hAnsi="Calibri"/>
      <w:b w:val="1"/>
      <w:i w:val="1"/>
      <w:sz w:val="28"/>
      <w:szCs w:val="28"/>
    </w:rPr>
  </w:style>
  <w:style w:type="paragraph" w:styleId="Heading3">
    <w:name w:val="heading 3"/>
    <w:basedOn w:val="Normal"/>
    <w:next w:val="Normal"/>
    <w:pPr>
      <w:keepNext w:val="1"/>
      <w:spacing w:after="60" w:before="240" w:lineRule="auto"/>
      <w:ind w:left="720" w:hanging="720"/>
    </w:pPr>
    <w:rPr>
      <w:rFonts w:ascii="Calibri" w:cs="Calibri" w:eastAsia="Calibri" w:hAnsi="Calibri"/>
      <w:b w:val="1"/>
      <w:sz w:val="26"/>
      <w:szCs w:val="26"/>
    </w:rPr>
  </w:style>
  <w:style w:type="paragraph" w:styleId="Heading4">
    <w:name w:val="heading 4"/>
    <w:basedOn w:val="Normal"/>
    <w:next w:val="Normal"/>
    <w:pPr>
      <w:keepNext w:val="1"/>
      <w:spacing w:after="60" w:before="240" w:lineRule="auto"/>
      <w:ind w:left="864" w:hanging="864"/>
    </w:pPr>
    <w:rPr>
      <w:b w:val="1"/>
      <w:sz w:val="28"/>
      <w:szCs w:val="28"/>
    </w:rPr>
  </w:style>
  <w:style w:type="paragraph" w:styleId="Heading5">
    <w:name w:val="heading 5"/>
    <w:basedOn w:val="Normal"/>
    <w:next w:val="Normal"/>
    <w:pPr>
      <w:spacing w:after="60" w:before="240" w:lineRule="auto"/>
      <w:ind w:left="1008" w:hanging="1008"/>
    </w:pPr>
    <w:rPr>
      <w:b w:val="1"/>
      <w:i w:val="1"/>
      <w:sz w:val="26"/>
      <w:szCs w:val="26"/>
    </w:rPr>
  </w:style>
  <w:style w:type="paragraph" w:styleId="Heading6">
    <w:name w:val="heading 6"/>
    <w:basedOn w:val="Normal"/>
    <w:next w:val="Normal"/>
    <w:pPr>
      <w:spacing w:after="60" w:before="240" w:lineRule="auto"/>
      <w:ind w:left="1152" w:hanging="1152"/>
    </w:pPr>
    <w:rPr>
      <w:b w:val="1"/>
      <w:sz w:val="22"/>
      <w:szCs w:val="22"/>
    </w:rPr>
  </w:style>
  <w:style w:type="paragraph" w:styleId="Title">
    <w:name w:val="Title"/>
    <w:basedOn w:val="Normal"/>
    <w:next w:val="Normal"/>
    <w:pPr>
      <w:spacing w:after="60" w:before="240" w:lineRule="auto"/>
      <w:jc w:val="center"/>
    </w:pPr>
    <w:rPr>
      <w:rFonts w:ascii="Calibri" w:cs="Calibri" w:eastAsia="Calibri" w:hAnsi="Calibri"/>
      <w:b w:val="1"/>
      <w:sz w:val="32"/>
      <w:szCs w:val="32"/>
    </w:rPr>
  </w:style>
  <w:style w:type="paragraph" w:styleId="Heading7">
    <w:name w:val="heading 7"/>
    <w:basedOn w:val="Normal"/>
    <w:next w:val="Normal"/>
    <w:link w:val="Heading7Char"/>
    <w:uiPriority w:val="9"/>
    <w:semiHidden w:val="1"/>
    <w:unhideWhenUsed w:val="1"/>
    <w:qFormat w:val="1"/>
    <w:rsid w:val="00065704"/>
    <w:pPr>
      <w:numPr>
        <w:ilvl w:val="6"/>
        <w:numId w:val="10"/>
      </w:numPr>
      <w:spacing w:after="60" w:before="240"/>
      <w:outlineLvl w:val="6"/>
    </w:pPr>
  </w:style>
  <w:style w:type="paragraph" w:styleId="Heading8">
    <w:name w:val="heading 8"/>
    <w:basedOn w:val="Normal"/>
    <w:next w:val="Normal"/>
    <w:link w:val="Heading8Char"/>
    <w:uiPriority w:val="9"/>
    <w:semiHidden w:val="1"/>
    <w:unhideWhenUsed w:val="1"/>
    <w:qFormat w:val="1"/>
    <w:rsid w:val="00065704"/>
    <w:pPr>
      <w:numPr>
        <w:ilvl w:val="7"/>
        <w:numId w:val="10"/>
      </w:numPr>
      <w:spacing w:after="60" w:before="240"/>
      <w:outlineLvl w:val="7"/>
    </w:pPr>
    <w:rPr>
      <w:i w:val="1"/>
      <w:iCs w:val="1"/>
    </w:rPr>
  </w:style>
  <w:style w:type="paragraph" w:styleId="Heading9">
    <w:name w:val="heading 9"/>
    <w:basedOn w:val="Normal"/>
    <w:next w:val="Normal"/>
    <w:link w:val="Heading9Char"/>
    <w:uiPriority w:val="9"/>
    <w:semiHidden w:val="1"/>
    <w:unhideWhenUsed w:val="1"/>
    <w:qFormat w:val="1"/>
    <w:rsid w:val="00065704"/>
    <w:pPr>
      <w:numPr>
        <w:ilvl w:val="8"/>
        <w:numId w:val="10"/>
      </w:numPr>
      <w:spacing w:after="60" w:before="240"/>
      <w:outlineLvl w:val="8"/>
    </w:pPr>
    <w:rPr>
      <w:rFonts w:asciiTheme="majorHAnsi" w:eastAsiaTheme="majorEastAsia" w:hAnsiTheme="majorHAnsi"/>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link w:val="ListParagraphChar"/>
    <w:uiPriority w:val="34"/>
    <w:qFormat w:val="1"/>
    <w:rsid w:val="00065704"/>
    <w:pPr>
      <w:ind w:left="720"/>
      <w:contextualSpacing w:val="1"/>
    </w:pPr>
  </w:style>
  <w:style w:type="table" w:styleId="TableGrid">
    <w:name w:val="Table Grid"/>
    <w:basedOn w:val="TableNormal"/>
    <w:uiPriority w:val="39"/>
    <w:rsid w:val="00DB37E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1" w:customStyle="1">
    <w:name w:val="Párrafo de lista1"/>
    <w:basedOn w:val="Normal"/>
    <w:rsid w:val="00DB37E9"/>
    <w:pPr>
      <w:spacing w:after="200" w:line="276" w:lineRule="auto"/>
      <w:ind w:left="720"/>
      <w:contextualSpacing w:val="1"/>
    </w:pPr>
    <w:rPr>
      <w:rFonts w:ascii="Calibri" w:eastAsia="Calibri" w:hAnsi="Calibri"/>
    </w:rPr>
  </w:style>
  <w:style w:type="character" w:styleId="Heading2Char" w:customStyle="1">
    <w:name w:val="Heading 2 Char"/>
    <w:basedOn w:val="DefaultParagraphFont"/>
    <w:link w:val="Heading2"/>
    <w:uiPriority w:val="9"/>
    <w:rsid w:val="00065704"/>
    <w:rPr>
      <w:rFonts w:asciiTheme="majorHAnsi" w:cstheme="majorBidi" w:eastAsiaTheme="majorEastAsia" w:hAnsiTheme="majorHAnsi"/>
      <w:b w:val="1"/>
      <w:bCs w:val="1"/>
      <w:i w:val="1"/>
      <w:iCs w:val="1"/>
      <w:sz w:val="28"/>
      <w:szCs w:val="28"/>
    </w:rPr>
  </w:style>
  <w:style w:type="character" w:styleId="Heading3Char" w:customStyle="1">
    <w:name w:val="Heading 3 Char"/>
    <w:basedOn w:val="DefaultParagraphFont"/>
    <w:link w:val="Heading3"/>
    <w:uiPriority w:val="9"/>
    <w:rsid w:val="00065704"/>
    <w:rPr>
      <w:rFonts w:asciiTheme="majorHAnsi" w:cstheme="majorBidi" w:eastAsiaTheme="majorEastAsia" w:hAnsiTheme="majorHAnsi"/>
      <w:b w:val="1"/>
      <w:bCs w:val="1"/>
      <w:sz w:val="26"/>
      <w:szCs w:val="26"/>
    </w:rPr>
  </w:style>
  <w:style w:type="character" w:styleId="Heading1Char" w:customStyle="1">
    <w:name w:val="Heading 1 Char"/>
    <w:basedOn w:val="DefaultParagraphFont"/>
    <w:link w:val="Heading1"/>
    <w:uiPriority w:val="9"/>
    <w:rsid w:val="00065704"/>
    <w:rPr>
      <w:rFonts w:asciiTheme="majorHAnsi" w:cstheme="majorBidi" w:eastAsiaTheme="majorEastAsia" w:hAnsiTheme="majorHAnsi"/>
      <w:b w:val="1"/>
      <w:bCs w:val="1"/>
      <w:kern w:val="32"/>
      <w:sz w:val="32"/>
      <w:szCs w:val="32"/>
    </w:rPr>
  </w:style>
  <w:style w:type="paragraph" w:styleId="NoSpacing">
    <w:name w:val="No Spacing"/>
    <w:basedOn w:val="Normal"/>
    <w:uiPriority w:val="1"/>
    <w:qFormat w:val="1"/>
    <w:rsid w:val="00065704"/>
    <w:rPr>
      <w:szCs w:val="32"/>
    </w:rPr>
  </w:style>
  <w:style w:type="character" w:styleId="ListParagraphChar" w:customStyle="1">
    <w:name w:val="List Paragraph Char"/>
    <w:basedOn w:val="DefaultParagraphFont"/>
    <w:link w:val="ListParagraph"/>
    <w:uiPriority w:val="34"/>
    <w:rsid w:val="002373A2"/>
    <w:rPr>
      <w:sz w:val="24"/>
      <w:szCs w:val="24"/>
    </w:rPr>
  </w:style>
  <w:style w:type="paragraph" w:styleId="BalloonText">
    <w:name w:val="Balloon Text"/>
    <w:basedOn w:val="Normal"/>
    <w:link w:val="BalloonTextChar"/>
    <w:uiPriority w:val="99"/>
    <w:semiHidden w:val="1"/>
    <w:unhideWhenUsed w:val="1"/>
    <w:rsid w:val="00065704"/>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065704"/>
    <w:rPr>
      <w:rFonts w:ascii="Segoe UI" w:cs="Segoe UI" w:hAnsi="Segoe UI"/>
      <w:sz w:val="18"/>
      <w:szCs w:val="18"/>
    </w:rPr>
  </w:style>
  <w:style w:type="paragraph" w:styleId="Header">
    <w:name w:val="header"/>
    <w:basedOn w:val="Normal"/>
    <w:link w:val="HeaderChar"/>
    <w:uiPriority w:val="99"/>
    <w:unhideWhenUsed w:val="1"/>
    <w:rsid w:val="00065704"/>
    <w:pPr>
      <w:tabs>
        <w:tab w:val="center" w:pos="4680"/>
        <w:tab w:val="right" w:pos="9360"/>
      </w:tabs>
    </w:pPr>
  </w:style>
  <w:style w:type="character" w:styleId="HeaderChar" w:customStyle="1">
    <w:name w:val="Header Char"/>
    <w:basedOn w:val="DefaultParagraphFont"/>
    <w:link w:val="Header"/>
    <w:uiPriority w:val="99"/>
    <w:rsid w:val="00065704"/>
  </w:style>
  <w:style w:type="paragraph" w:styleId="Footer">
    <w:name w:val="footer"/>
    <w:basedOn w:val="Normal"/>
    <w:link w:val="FooterChar"/>
    <w:uiPriority w:val="99"/>
    <w:unhideWhenUsed w:val="1"/>
    <w:rsid w:val="00065704"/>
    <w:pPr>
      <w:tabs>
        <w:tab w:val="center" w:pos="4680"/>
        <w:tab w:val="right" w:pos="9360"/>
      </w:tabs>
    </w:pPr>
  </w:style>
  <w:style w:type="character" w:styleId="FooterChar" w:customStyle="1">
    <w:name w:val="Footer Char"/>
    <w:basedOn w:val="DefaultParagraphFont"/>
    <w:link w:val="Footer"/>
    <w:uiPriority w:val="99"/>
    <w:rsid w:val="00065704"/>
  </w:style>
  <w:style w:type="character" w:styleId="Heading4Char" w:customStyle="1">
    <w:name w:val="Heading 4 Char"/>
    <w:basedOn w:val="DefaultParagraphFont"/>
    <w:link w:val="Heading4"/>
    <w:uiPriority w:val="9"/>
    <w:semiHidden w:val="1"/>
    <w:rsid w:val="00065704"/>
    <w:rPr>
      <w:b w:val="1"/>
      <w:bCs w:val="1"/>
      <w:sz w:val="28"/>
      <w:szCs w:val="28"/>
    </w:rPr>
  </w:style>
  <w:style w:type="character" w:styleId="Heading5Char" w:customStyle="1">
    <w:name w:val="Heading 5 Char"/>
    <w:basedOn w:val="DefaultParagraphFont"/>
    <w:link w:val="Heading5"/>
    <w:uiPriority w:val="9"/>
    <w:semiHidden w:val="1"/>
    <w:rsid w:val="00065704"/>
    <w:rPr>
      <w:b w:val="1"/>
      <w:bCs w:val="1"/>
      <w:i w:val="1"/>
      <w:iCs w:val="1"/>
      <w:sz w:val="26"/>
      <w:szCs w:val="26"/>
    </w:rPr>
  </w:style>
  <w:style w:type="character" w:styleId="Heading6Char" w:customStyle="1">
    <w:name w:val="Heading 6 Char"/>
    <w:basedOn w:val="DefaultParagraphFont"/>
    <w:link w:val="Heading6"/>
    <w:uiPriority w:val="9"/>
    <w:semiHidden w:val="1"/>
    <w:rsid w:val="00065704"/>
    <w:rPr>
      <w:b w:val="1"/>
      <w:bCs w:val="1"/>
    </w:rPr>
  </w:style>
  <w:style w:type="character" w:styleId="Heading7Char" w:customStyle="1">
    <w:name w:val="Heading 7 Char"/>
    <w:basedOn w:val="DefaultParagraphFont"/>
    <w:link w:val="Heading7"/>
    <w:uiPriority w:val="9"/>
    <w:semiHidden w:val="1"/>
    <w:rsid w:val="00065704"/>
    <w:rPr>
      <w:sz w:val="24"/>
      <w:szCs w:val="24"/>
    </w:rPr>
  </w:style>
  <w:style w:type="character" w:styleId="Heading8Char" w:customStyle="1">
    <w:name w:val="Heading 8 Char"/>
    <w:basedOn w:val="DefaultParagraphFont"/>
    <w:link w:val="Heading8"/>
    <w:uiPriority w:val="9"/>
    <w:semiHidden w:val="1"/>
    <w:rsid w:val="00065704"/>
    <w:rPr>
      <w:i w:val="1"/>
      <w:iCs w:val="1"/>
      <w:sz w:val="24"/>
      <w:szCs w:val="24"/>
    </w:rPr>
  </w:style>
  <w:style w:type="character" w:styleId="Heading9Char" w:customStyle="1">
    <w:name w:val="Heading 9 Char"/>
    <w:basedOn w:val="DefaultParagraphFont"/>
    <w:link w:val="Heading9"/>
    <w:uiPriority w:val="9"/>
    <w:semiHidden w:val="1"/>
    <w:rsid w:val="00065704"/>
    <w:rPr>
      <w:rFonts w:asciiTheme="majorHAnsi" w:eastAsiaTheme="majorEastAsia" w:hAnsiTheme="majorHAnsi"/>
    </w:rPr>
  </w:style>
  <w:style w:type="character" w:styleId="TitleChar" w:customStyle="1">
    <w:name w:val="Title Char"/>
    <w:basedOn w:val="DefaultParagraphFont"/>
    <w:link w:val="Title"/>
    <w:uiPriority w:val="10"/>
    <w:rsid w:val="00065704"/>
    <w:rPr>
      <w:rFonts w:asciiTheme="majorHAnsi" w:eastAsiaTheme="majorEastAsia" w:hAnsiTheme="majorHAnsi"/>
      <w:b w:val="1"/>
      <w:bCs w:val="1"/>
      <w:kern w:val="28"/>
      <w:sz w:val="32"/>
      <w:szCs w:val="32"/>
    </w:rPr>
  </w:style>
  <w:style w:type="character" w:styleId="SubtitleChar" w:customStyle="1">
    <w:name w:val="Subtitle Char"/>
    <w:basedOn w:val="DefaultParagraphFont"/>
    <w:link w:val="Subtitle"/>
    <w:uiPriority w:val="11"/>
    <w:rsid w:val="00065704"/>
    <w:rPr>
      <w:rFonts w:asciiTheme="majorHAnsi" w:eastAsiaTheme="majorEastAsia" w:hAnsiTheme="majorHAnsi"/>
      <w:sz w:val="24"/>
      <w:szCs w:val="24"/>
    </w:rPr>
  </w:style>
  <w:style w:type="character" w:styleId="Strong">
    <w:name w:val="Strong"/>
    <w:basedOn w:val="DefaultParagraphFont"/>
    <w:uiPriority w:val="22"/>
    <w:qFormat w:val="1"/>
    <w:rsid w:val="00065704"/>
    <w:rPr>
      <w:b w:val="1"/>
      <w:bCs w:val="1"/>
    </w:rPr>
  </w:style>
  <w:style w:type="character" w:styleId="Emphasis">
    <w:name w:val="Emphasis"/>
    <w:basedOn w:val="DefaultParagraphFont"/>
    <w:uiPriority w:val="20"/>
    <w:qFormat w:val="1"/>
    <w:rsid w:val="00065704"/>
    <w:rPr>
      <w:rFonts w:asciiTheme="minorHAnsi" w:hAnsiTheme="minorHAnsi"/>
      <w:b w:val="1"/>
      <w:i w:val="1"/>
      <w:iCs w:val="1"/>
    </w:rPr>
  </w:style>
  <w:style w:type="paragraph" w:styleId="Quote">
    <w:name w:val="Quote"/>
    <w:basedOn w:val="Normal"/>
    <w:next w:val="Normal"/>
    <w:link w:val="QuoteChar"/>
    <w:uiPriority w:val="29"/>
    <w:qFormat w:val="1"/>
    <w:rsid w:val="00065704"/>
    <w:rPr>
      <w:i w:val="1"/>
    </w:rPr>
  </w:style>
  <w:style w:type="character" w:styleId="QuoteChar" w:customStyle="1">
    <w:name w:val="Quote Char"/>
    <w:basedOn w:val="DefaultParagraphFont"/>
    <w:link w:val="Quote"/>
    <w:uiPriority w:val="29"/>
    <w:rsid w:val="00065704"/>
    <w:rPr>
      <w:i w:val="1"/>
      <w:sz w:val="24"/>
      <w:szCs w:val="24"/>
    </w:rPr>
  </w:style>
  <w:style w:type="paragraph" w:styleId="IntenseQuote">
    <w:name w:val="Intense Quote"/>
    <w:basedOn w:val="Normal"/>
    <w:next w:val="Normal"/>
    <w:link w:val="IntenseQuoteChar"/>
    <w:uiPriority w:val="30"/>
    <w:qFormat w:val="1"/>
    <w:rsid w:val="00065704"/>
    <w:pPr>
      <w:ind w:left="720" w:right="720"/>
    </w:pPr>
    <w:rPr>
      <w:b w:val="1"/>
      <w:i w:val="1"/>
      <w:szCs w:val="22"/>
    </w:rPr>
  </w:style>
  <w:style w:type="character" w:styleId="IntenseQuoteChar" w:customStyle="1">
    <w:name w:val="Intense Quote Char"/>
    <w:basedOn w:val="DefaultParagraphFont"/>
    <w:link w:val="IntenseQuote"/>
    <w:uiPriority w:val="30"/>
    <w:rsid w:val="00065704"/>
    <w:rPr>
      <w:b w:val="1"/>
      <w:i w:val="1"/>
      <w:sz w:val="24"/>
    </w:rPr>
  </w:style>
  <w:style w:type="character" w:styleId="SubtleEmphasis">
    <w:name w:val="Subtle Emphasis"/>
    <w:uiPriority w:val="19"/>
    <w:qFormat w:val="1"/>
    <w:rsid w:val="00065704"/>
    <w:rPr>
      <w:i w:val="1"/>
      <w:color w:val="5a5a5a" w:themeColor="text1" w:themeTint="0000A5"/>
    </w:rPr>
  </w:style>
  <w:style w:type="character" w:styleId="IntenseEmphasis">
    <w:name w:val="Intense Emphasis"/>
    <w:basedOn w:val="DefaultParagraphFont"/>
    <w:uiPriority w:val="21"/>
    <w:qFormat w:val="1"/>
    <w:rsid w:val="00065704"/>
    <w:rPr>
      <w:b w:val="1"/>
      <w:i w:val="1"/>
      <w:sz w:val="24"/>
      <w:szCs w:val="24"/>
      <w:u w:val="single"/>
    </w:rPr>
  </w:style>
  <w:style w:type="character" w:styleId="SubtleReference">
    <w:name w:val="Subtle Reference"/>
    <w:basedOn w:val="DefaultParagraphFont"/>
    <w:uiPriority w:val="31"/>
    <w:qFormat w:val="1"/>
    <w:rsid w:val="00065704"/>
    <w:rPr>
      <w:sz w:val="24"/>
      <w:szCs w:val="24"/>
      <w:u w:val="single"/>
    </w:rPr>
  </w:style>
  <w:style w:type="character" w:styleId="IntenseReference">
    <w:name w:val="Intense Reference"/>
    <w:basedOn w:val="DefaultParagraphFont"/>
    <w:uiPriority w:val="32"/>
    <w:qFormat w:val="1"/>
    <w:rsid w:val="00065704"/>
    <w:rPr>
      <w:b w:val="1"/>
      <w:sz w:val="24"/>
      <w:u w:val="single"/>
    </w:rPr>
  </w:style>
  <w:style w:type="character" w:styleId="BookTitle">
    <w:name w:val="Book Title"/>
    <w:basedOn w:val="DefaultParagraphFont"/>
    <w:uiPriority w:val="33"/>
    <w:qFormat w:val="1"/>
    <w:rsid w:val="00065704"/>
    <w:rPr>
      <w:rFonts w:asciiTheme="majorHAnsi" w:eastAsiaTheme="majorEastAsia" w:hAnsiTheme="majorHAnsi"/>
      <w:b w:val="1"/>
      <w:i w:val="1"/>
      <w:sz w:val="24"/>
      <w:szCs w:val="24"/>
    </w:rPr>
  </w:style>
  <w:style w:type="paragraph" w:styleId="TOCHeading">
    <w:name w:val="TOC Heading"/>
    <w:basedOn w:val="Heading1"/>
    <w:next w:val="Normal"/>
    <w:uiPriority w:val="39"/>
    <w:semiHidden w:val="1"/>
    <w:unhideWhenUsed w:val="1"/>
    <w:qFormat w:val="1"/>
    <w:rsid w:val="00065704"/>
    <w:pPr>
      <w:outlineLvl w:val="9"/>
    </w:pPr>
    <w:rPr>
      <w:rFonts w:cs="Times New Roman"/>
    </w:rPr>
  </w:style>
  <w:style w:type="paragraph" w:styleId="NormalWeb">
    <w:name w:val="Normal (Web)"/>
    <w:basedOn w:val="Normal"/>
    <w:uiPriority w:val="99"/>
    <w:semiHidden w:val="1"/>
    <w:unhideWhenUsed w:val="1"/>
    <w:rsid w:val="000E35A9"/>
    <w:pPr>
      <w:spacing w:after="100" w:afterAutospacing="1" w:before="100" w:beforeAutospacing="1"/>
    </w:pPr>
    <w:rPr>
      <w:rFonts w:ascii="Times New Roman" w:eastAsia="Times New Roman" w:hAnsi="Times New Roman"/>
      <w:lang w:val="en-US"/>
    </w:rPr>
  </w:style>
  <w:style w:type="character" w:styleId="HTMLCode">
    <w:name w:val="HTML Code"/>
    <w:basedOn w:val="DefaultParagraphFont"/>
    <w:uiPriority w:val="99"/>
    <w:semiHidden w:val="1"/>
    <w:unhideWhenUsed w:val="1"/>
    <w:rsid w:val="000E35A9"/>
    <w:rPr>
      <w:rFonts w:ascii="Courier New" w:cs="Courier New" w:eastAsia="Times New Roman" w:hAnsi="Courier New"/>
      <w:sz w:val="20"/>
      <w:szCs w:val="20"/>
    </w:rPr>
  </w:style>
  <w:style w:type="paragraph" w:styleId="Subtitle">
    <w:name w:val="Subtitle"/>
    <w:basedOn w:val="Normal"/>
    <w:next w:val="Normal"/>
    <w:pPr>
      <w:spacing w:after="60" w:lineRule="auto"/>
      <w:jc w:val="center"/>
    </w:pPr>
    <w:rPr>
      <w:rFonts w:ascii="Calibri" w:cs="Calibri" w:eastAsia="Calibri" w:hAnsi="Calibri"/>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BNZw6O6mLiuoCtL4NtvszdVXg==">CgMxLjA4AHIhMXFzWWViV1dsWUtMTE1oYlNEZTlZY1piYmxzWXl6TEE5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2021-09-09T04:13:00Z</dcterms:created>
  <dc:creator>Iván Vilaboa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IQPDocumentId">
    <vt:lpwstr>763f1924-767f-4d33-9667-19ad748028f8</vt:lpwstr>
  </property>
  <property fmtid="{D5CDD505-2E9C-101B-9397-08002B2CF9AE}" pid="3" name="Classification">
    <vt:lpwstr>None|Public</vt:lpwstr>
  </property>
  <property fmtid="{D5CDD505-2E9C-101B-9397-08002B2CF9AE}" pid="4" name="_SIProp12DataClass+0e79dc17-d442-4caf-8049-d1b311d1bcb2">
    <vt:lpwstr>v=1.2&gt;I=0e79dc17-d442-4caf-8049-d1b311d1bcb2&amp;N=None&amp;V=1.3&amp;U=S-1-5-21-73153925-784800294-903097961-10925926&amp;D=Paione%2c+Giuliana&amp;A=Associated&amp;H=False</vt:lpwstr>
  </property>
  <property fmtid="{D5CDD505-2E9C-101B-9397-08002B2CF9AE}" pid="5" name="_SIProp12DataClass+d0f83994-0ff6-437e-8641-14a692c6c102">
    <vt:lpwstr>v=1.2&gt;I=d0f83994-0ff6-437e-8641-14a692c6c102&amp;N=Public&amp;V=1.3&amp;U=S-1-5-21-73153925-784800294-903097961-10925926&amp;D=Paione%2c+Giuliana&amp;A=Associated&amp;H=False</vt:lpwstr>
  </property>
  <property fmtid="{D5CDD505-2E9C-101B-9397-08002B2CF9AE}" pid="6" name="ContentTypeId">
    <vt:lpwstr>0x010100D25E3DBCDD449742824C2D23103DC0B4</vt:lpwstr>
  </property>
  <property fmtid="{D5CDD505-2E9C-101B-9397-08002B2CF9AE}" pid="7" name="MediaServiceImageTags">
    <vt:lpwstr/>
  </property>
</Properties>
</file>