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A QUIEN PUEDA INTERESAR</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Villanueva</w:t>
      </w:r>
    </w:p>
    <w:p w14:paraId="71AF6BE6"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28E6AE7F" w:rsidR="00764AE1" w:rsidRPr="00764AE1" w:rsidRDefault="00764AE1" w:rsidP="00764AE1">
      <w:pPr>
        <w:jc w:val="both"/>
        <w:rPr>
          <w:rFonts w:ascii="Arial" w:hAnsi="Arial" w:cs="Arial"/>
          <w:bCs/>
          <w:lang w:val="es-CO"/>
        </w:rPr>
      </w:pPr>
      <w:r w:rsidRPr="00764AE1">
        <w:rPr>
          <w:rFonts w:ascii="Arial" w:hAnsi="Arial" w:cs="Arial"/>
          <w:bCs/>
          <w:lang w:val="es-CO"/>
        </w:rPr>
        <w:t>Conforme al Acuerdo Municipal N°025 del 2000 “Por el Cual se adopta el Plan Básico de Ordenamiento Territorial para el Municipio de Copacabana” (P.B.O.T), el predio identificado con cedula catastral N°</w:t>
      </w:r>
      <w:r>
        <w:rPr>
          <w:rFonts w:ascii="Arial" w:hAnsi="Arial" w:cs="Arial"/>
          <w:lang w:val="es-CO"/>
        </w:rPr>
        <w:t>212-1-001-024-0023-00009-00000-00000</w:t>
      </w:r>
      <w:r>
        <w:rPr>
          <w:rFonts w:ascii="Arial" w:hAnsi="Arial" w:cs="Arial"/>
          <w:bCs/>
          <w:lang w:val="es-CO"/>
        </w:rPr>
        <w:t xml:space="preserve"> </w:t>
      </w:r>
      <w:r w:rsidRPr="00764AE1">
        <w:rPr>
          <w:rFonts w:ascii="Arial" w:hAnsi="Arial" w:cs="Arial"/>
          <w:bCs/>
          <w:lang w:val="es-CO"/>
        </w:rPr>
        <w:t>y matricula inmobiliaria N°</w:t>
      </w:r>
      <w:r w:rsidR="00B46A52">
        <w:rPr>
          <w:rFonts w:ascii="Arial" w:hAnsi="Arial" w:cs="Arial"/>
          <w:bCs/>
          <w:lang w:val="es-CO"/>
        </w:rPr>
        <w:t>012-0027069</w:t>
      </w:r>
      <w:r w:rsidRPr="00764AE1">
        <w:rPr>
          <w:rFonts w:ascii="Arial" w:hAnsi="Arial" w:cs="Arial"/>
          <w:bCs/>
          <w:lang w:val="es-CO"/>
        </w:rPr>
        <w:t xml:space="preserve"> ubicado en </w:t>
      </w:r>
      <w:r>
        <w:rPr>
          <w:rFonts w:ascii="Arial" w:hAnsi="Arial" w:cs="Arial"/>
          <w:lang w:val="es-CO"/>
        </w:rPr>
        <w:t>Villanueva</w:t>
      </w:r>
      <w:r w:rsidR="00BD370F">
        <w:rPr>
          <w:rFonts w:ascii="Arial" w:hAnsi="Arial" w:cs="Arial"/>
          <w:lang w:val="es-CO"/>
        </w:rPr>
        <w:t xml:space="preserve"> con dirección</w:t>
      </w:r>
      <w:r w:rsidR="00A61F58">
        <w:rPr>
          <w:rFonts w:ascii="Arial" w:hAnsi="Arial" w:cs="Arial"/>
          <w:lang w:val="es-CO"/>
        </w:rPr>
        <w:t xml:space="preserve"> CL 59 N 48-35</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Residencial.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Institucional, Comercial, Industria, Múltiple.</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Industria pesada</w:t>
      </w:r>
    </w:p>
    <w:p w14:paraId="1361987D" w14:textId="1A6AB1A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 </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Urbano.</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17465D79" w14:textId="09C5C0D4" w:rsidR="00DF0B98" w:rsidRPr="00D26DD4" w:rsidRDefault="00DF0B98" w:rsidP="00B46A52">
      <w:pPr>
        <w:jc w:val="both"/>
        <w:rPr>
          <w:rFonts w:ascii="Arial" w:eastAsia="Calibri" w:hAnsi="Arial" w:cs="Arial"/>
          <w:sz w:val="24"/>
          <w:szCs w:val="24"/>
          <w:lang w:val="es-ES"/>
        </w:rPr>
      </w:pPr>
      <w:r>
        <w:rPr>
          <w:rFonts w:ascii="Arial" w:hAnsi="Arial" w:cs="Arial"/>
          <w:bCs/>
          <w:snapToGrid w:val="0"/>
          <w:lang w:val="es-CO" w:eastAsia="es-ES"/>
        </w:rPr>
        <w:t>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w:t>
      </w:r>
      <w:r>
        <w:rPr>
          <w:rFonts w:ascii="Arial" w:hAnsi="Arial" w:cs="Arial"/>
          <w:bCs/>
          <w:snapToGrid w:val="0"/>
          <w:lang w:val="es-CO" w:eastAsia="es-ES"/>
        </w:rPr>
        <w:lastRenderedPageBreak/>
        <w:t xml:space="preserve">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naturales del Arví, el Umbí, y la Popa</w:t>
      </w:r>
      <w:r>
        <w:rPr>
          <w:rFonts w:ascii="Arial" w:hAnsi="Arial" w:cs="Arial"/>
          <w:bCs/>
          <w:snapToGrid w:val="0"/>
          <w:lang w:val="es-CO" w:eastAsia="es-ES"/>
        </w:rPr>
        <w:br/>
        <w:t>3. Retiros a las quebradas con caudales mayores a 200 litros por segundo, como en la Chuscala,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r>
    </w:p>
    <w:p w14:paraId="017C9A9E" w14:textId="77777777" w:rsidR="00DF0B98" w:rsidRDefault="00DF0B98" w:rsidP="00B46A52">
      <w:pPr>
        <w:jc w:val="center"/>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 xml:space="preserve">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w:t>
      </w:r>
      <w:r w:rsidRPr="005E595D">
        <w:rPr>
          <w:rFonts w:ascii="Arial" w:hAnsi="Arial" w:cs="Arial"/>
          <w:sz w:val="24"/>
          <w:szCs w:val="24"/>
        </w:rPr>
        <w:lastRenderedPageBreak/>
        <w:t>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9FF477A" w14:textId="06CAE6B3" w:rsidR="008C7012" w:rsidRDefault="00DF0B98" w:rsidP="00571BA4">
      <w:pPr>
        <w:jc w:val="both"/>
        <w:rPr>
          <w:rFonts w:ascii="Arial" w:hAnsi="Arial" w:cs="Arial"/>
          <w:sz w:val="24"/>
          <w:szCs w:val="24"/>
          <w:lang w:val="es-MX"/>
        </w:rPr>
      </w:pPr>
      <w:r>
        <w:rPr>
          <w:rFonts w:ascii="Arial" w:hAnsi="Arial" w:cs="Arial"/>
          <w:szCs w:val="24"/>
          <w:lang w:val="es-CO"/>
        </w:rPr>
        <w:t>Director - Departamento Administrativo de Planeación Municipal.</w:t>
      </w: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736906">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7E0B" w14:textId="77777777" w:rsidR="00736906" w:rsidRPr="00906E83" w:rsidRDefault="00736906" w:rsidP="00906E83">
      <w:r>
        <w:separator/>
      </w:r>
    </w:p>
  </w:endnote>
  <w:endnote w:type="continuationSeparator" w:id="0">
    <w:p w14:paraId="02469E6F" w14:textId="77777777" w:rsidR="00736906" w:rsidRPr="00906E83" w:rsidRDefault="00736906"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B4A3" w14:textId="77777777" w:rsidR="00736906" w:rsidRPr="00906E83" w:rsidRDefault="00736906" w:rsidP="00906E83">
      <w:r>
        <w:separator/>
      </w:r>
    </w:p>
  </w:footnote>
  <w:footnote w:type="continuationSeparator" w:id="0">
    <w:p w14:paraId="2763386E" w14:textId="77777777" w:rsidR="00736906" w:rsidRPr="00906E83" w:rsidRDefault="00736906"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03237"/>
    <w:rsid w:val="001A0C52"/>
    <w:rsid w:val="00210FC3"/>
    <w:rsid w:val="00271EB4"/>
    <w:rsid w:val="002746FD"/>
    <w:rsid w:val="002915AA"/>
    <w:rsid w:val="002C22D1"/>
    <w:rsid w:val="002C715B"/>
    <w:rsid w:val="00316D24"/>
    <w:rsid w:val="003F6B71"/>
    <w:rsid w:val="00411736"/>
    <w:rsid w:val="00485D29"/>
    <w:rsid w:val="00491E75"/>
    <w:rsid w:val="004E24EC"/>
    <w:rsid w:val="004F01BF"/>
    <w:rsid w:val="005322C5"/>
    <w:rsid w:val="00537735"/>
    <w:rsid w:val="00571BA4"/>
    <w:rsid w:val="005B44DE"/>
    <w:rsid w:val="00682C22"/>
    <w:rsid w:val="006B25C3"/>
    <w:rsid w:val="00727235"/>
    <w:rsid w:val="00736906"/>
    <w:rsid w:val="0073768D"/>
    <w:rsid w:val="00764AE1"/>
    <w:rsid w:val="007C7961"/>
    <w:rsid w:val="00877C48"/>
    <w:rsid w:val="008A5A1A"/>
    <w:rsid w:val="008B18CC"/>
    <w:rsid w:val="008C7012"/>
    <w:rsid w:val="00906E83"/>
    <w:rsid w:val="00912396"/>
    <w:rsid w:val="009648FD"/>
    <w:rsid w:val="00971E6E"/>
    <w:rsid w:val="009E0965"/>
    <w:rsid w:val="00A61F58"/>
    <w:rsid w:val="00A8272A"/>
    <w:rsid w:val="00AC2001"/>
    <w:rsid w:val="00B46A52"/>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3</Pages>
  <Words>1305</Words>
  <Characters>7179</Characters>
  <Application>Microsoft Office Word</Application>
  <DocSecurity>8</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29</cp:revision>
  <dcterms:created xsi:type="dcterms:W3CDTF">2024-01-04T23:27:00Z</dcterms:created>
  <dcterms:modified xsi:type="dcterms:W3CDTF">2024-02-07T20:22:00Z</dcterms:modified>
  <dc:identifier/>
  <dc:language/>
</cp:coreProperties>
</file>