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22CC" w:rsidRDefault="00FE4759" w:rsidP="00FE4759">
      <w:pPr>
        <w:jc w:val="center"/>
        <w:rPr>
          <w:sz w:val="48"/>
          <w:szCs w:val="48"/>
          <w:lang w:val="es-AR"/>
        </w:rPr>
      </w:pPr>
      <w:r w:rsidRPr="00FE4759">
        <w:rPr>
          <w:sz w:val="48"/>
          <w:szCs w:val="48"/>
          <w:lang w:val="es-AR"/>
        </w:rPr>
        <w:t>Gráficos y Descripciones TP 2</w:t>
      </w:r>
    </w:p>
    <w:p w:rsidR="00FE4759" w:rsidRDefault="00FE4759" w:rsidP="00FE4759">
      <w:pPr>
        <w:rPr>
          <w:sz w:val="32"/>
          <w:szCs w:val="32"/>
          <w:lang w:val="es-AR"/>
        </w:rPr>
      </w:pPr>
    </w:p>
    <w:p w:rsidR="00FE4759" w:rsidRPr="00CF5BAE" w:rsidRDefault="00CF5BAE" w:rsidP="00FE4759">
      <w:pPr>
        <w:rPr>
          <w:sz w:val="32"/>
          <w:szCs w:val="32"/>
          <w:u w:val="single"/>
          <w:lang w:val="es-AR"/>
        </w:rPr>
      </w:pPr>
      <w:r w:rsidRPr="00CF5BAE">
        <w:rPr>
          <w:i/>
          <w:iCs/>
          <w:sz w:val="32"/>
          <w:szCs w:val="32"/>
          <w:u w:val="single"/>
          <w:lang w:val="es-AR"/>
        </w:rPr>
        <w:t xml:space="preserve">Gráfico </w:t>
      </w:r>
      <w:r w:rsidR="00FE4759" w:rsidRPr="00CF5BAE">
        <w:rPr>
          <w:i/>
          <w:iCs/>
          <w:sz w:val="32"/>
          <w:szCs w:val="32"/>
          <w:u w:val="single"/>
          <w:lang w:val="es-AR"/>
        </w:rPr>
        <w:t>Punto 7</w:t>
      </w:r>
    </w:p>
    <w:p w:rsidR="00FE4759" w:rsidRDefault="00FE4759" w:rsidP="00FE4759">
      <w:pPr>
        <w:rPr>
          <w:sz w:val="32"/>
          <w:szCs w:val="32"/>
          <w:lang w:val="es-AR"/>
        </w:rPr>
      </w:pPr>
      <w:r w:rsidRPr="00FE4759">
        <w:rPr>
          <w:sz w:val="32"/>
          <w:szCs w:val="32"/>
          <w:lang w:val="es-AR"/>
        </w:rPr>
        <w:drawing>
          <wp:inline distT="0" distB="0" distL="0" distR="0" wp14:anchorId="6134A9C6" wp14:editId="5B2C398F">
            <wp:extent cx="5943600" cy="3615690"/>
            <wp:effectExtent l="0" t="0" r="0" b="3810"/>
            <wp:docPr id="12674556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5652" name=""/>
                    <pic:cNvPicPr/>
                  </pic:nvPicPr>
                  <pic:blipFill>
                    <a:blip r:embed="rId5"/>
                    <a:stretch>
                      <a:fillRect/>
                    </a:stretch>
                  </pic:blipFill>
                  <pic:spPr>
                    <a:xfrm>
                      <a:off x="0" y="0"/>
                      <a:ext cx="5943600" cy="3615690"/>
                    </a:xfrm>
                    <a:prstGeom prst="rect">
                      <a:avLst/>
                    </a:prstGeom>
                  </pic:spPr>
                </pic:pic>
              </a:graphicData>
            </a:graphic>
          </wp:inline>
        </w:drawing>
      </w:r>
    </w:p>
    <w:p w:rsidR="00FE4759" w:rsidRDefault="00FE4759" w:rsidP="00FE4759">
      <w:pPr>
        <w:rPr>
          <w:b/>
          <w:bCs/>
          <w:sz w:val="28"/>
          <w:szCs w:val="28"/>
          <w:lang w:val="es-AR"/>
        </w:rPr>
      </w:pPr>
      <w:r w:rsidRPr="00FE4759">
        <w:rPr>
          <w:b/>
          <w:bCs/>
          <w:sz w:val="28"/>
          <w:szCs w:val="28"/>
          <w:lang w:val="es-AR"/>
        </w:rPr>
        <w:t>Comentarios</w:t>
      </w:r>
      <w:r>
        <w:rPr>
          <w:b/>
          <w:bCs/>
          <w:sz w:val="28"/>
          <w:szCs w:val="28"/>
          <w:lang w:val="es-AR"/>
        </w:rPr>
        <w:t>:</w:t>
      </w:r>
    </w:p>
    <w:p w:rsidR="00FE4759" w:rsidRPr="00FE4759" w:rsidRDefault="00FE4759" w:rsidP="00FE4759">
      <w:pPr>
        <w:rPr>
          <w:lang w:val="es-AR"/>
        </w:rPr>
      </w:pPr>
      <w:r w:rsidRPr="00FE4759">
        <w:rPr>
          <w:lang w:val="es-AR"/>
        </w:rPr>
        <w:t>El gráfico muestra la composición de la Población Económicamente Activa (PEA) en la región NOA para los años 2004 y 2024, utilizando los datos de la muestra de la Encuesta Permanente de Hogares (EPH).</w:t>
      </w:r>
    </w:p>
    <w:p w:rsidR="00FE4759" w:rsidRPr="00FE4759" w:rsidRDefault="00FE4759" w:rsidP="00FE4759">
      <w:pPr>
        <w:rPr>
          <w:lang w:val="es-AR"/>
        </w:rPr>
      </w:pPr>
      <w:r w:rsidRPr="00FE4759">
        <w:rPr>
          <w:lang w:val="es-AR"/>
        </w:rPr>
        <w:t>En 2004, aproximadamente 4000 personas del total de 9400 casos en la muestra estaban económicamente activas, mientras que en 2024 ese número ronda las 4600 sobre un total cercano a los 9800 casos.</w:t>
      </w:r>
    </w:p>
    <w:p w:rsidR="00FE4759" w:rsidRPr="00FE4759" w:rsidRDefault="00FE4759" w:rsidP="00FE4759">
      <w:pPr>
        <w:rPr>
          <w:lang w:val="es-AR"/>
        </w:rPr>
      </w:pPr>
      <w:r w:rsidRPr="00FE4759">
        <w:rPr>
          <w:lang w:val="es-AR"/>
        </w:rPr>
        <w:t xml:space="preserve"> </w:t>
      </w:r>
      <w:r w:rsidRPr="00FE4759">
        <w:rPr>
          <w:b/>
          <w:bCs/>
          <w:lang w:val="es-AR"/>
        </w:rPr>
        <w:t>Se observa una leve suba en la proporción de personas activas en 2024 respecto de 2004</w:t>
      </w:r>
      <w:r w:rsidRPr="00FE4759">
        <w:rPr>
          <w:lang w:val="es-AR"/>
        </w:rPr>
        <w:t>.</w:t>
      </w:r>
    </w:p>
    <w:p w:rsidR="00FE4759" w:rsidRDefault="00FE4759" w:rsidP="00FE4759">
      <w:pPr>
        <w:rPr>
          <w:i/>
          <w:iCs/>
          <w:lang w:val="es-AR"/>
        </w:rPr>
      </w:pPr>
      <w:r w:rsidRPr="00FE4759">
        <w:rPr>
          <w:i/>
          <w:iCs/>
          <w:u w:val="single"/>
          <w:lang w:val="es-AR"/>
        </w:rPr>
        <w:t>Nota</w:t>
      </w:r>
      <w:r w:rsidRPr="00FE4759">
        <w:rPr>
          <w:i/>
          <w:iCs/>
          <w:lang w:val="es-AR"/>
        </w:rPr>
        <w:t>: estas cifras corresponden únicamente a la muestra relevada por la EPH. No representan el total de la población del NOA,</w:t>
      </w:r>
      <w:r>
        <w:rPr>
          <w:i/>
          <w:iCs/>
          <w:lang w:val="es-AR"/>
        </w:rPr>
        <w:t xml:space="preserve"> </w:t>
      </w:r>
      <w:r w:rsidRPr="00FE4759">
        <w:rPr>
          <w:i/>
          <w:iCs/>
          <w:lang w:val="es-AR"/>
        </w:rPr>
        <w:t>sino un subconjunto que puede ser expandido mediante el uso del factor de expansión 'PONDERA' si se desea una estimación poblacional.</w:t>
      </w:r>
    </w:p>
    <w:p w:rsidR="00FE4759" w:rsidRPr="00CF5BAE" w:rsidRDefault="00CF5BAE" w:rsidP="00FE4759">
      <w:pPr>
        <w:rPr>
          <w:i/>
          <w:iCs/>
          <w:sz w:val="32"/>
          <w:szCs w:val="32"/>
          <w:u w:val="single"/>
          <w:lang w:val="es-AR"/>
        </w:rPr>
      </w:pPr>
      <w:r w:rsidRPr="00CF5BAE">
        <w:rPr>
          <w:i/>
          <w:iCs/>
          <w:sz w:val="32"/>
          <w:szCs w:val="32"/>
          <w:u w:val="single"/>
          <w:lang w:val="es-AR"/>
        </w:rPr>
        <w:lastRenderedPageBreak/>
        <w:t xml:space="preserve">Gráfico </w:t>
      </w:r>
      <w:r w:rsidR="00FE4759" w:rsidRPr="00CF5BAE">
        <w:rPr>
          <w:i/>
          <w:iCs/>
          <w:sz w:val="32"/>
          <w:szCs w:val="32"/>
          <w:u w:val="single"/>
          <w:lang w:val="es-AR"/>
        </w:rPr>
        <w:t xml:space="preserve">Punto </w:t>
      </w:r>
      <w:r w:rsidRPr="00CF5BAE">
        <w:rPr>
          <w:i/>
          <w:iCs/>
          <w:sz w:val="32"/>
          <w:szCs w:val="32"/>
          <w:u w:val="single"/>
          <w:lang w:val="es-AR"/>
        </w:rPr>
        <w:t>8</w:t>
      </w:r>
    </w:p>
    <w:p w:rsidR="00FE4759" w:rsidRDefault="00CF5BAE" w:rsidP="00FE4759">
      <w:pPr>
        <w:rPr>
          <w:i/>
          <w:iCs/>
          <w:sz w:val="32"/>
          <w:szCs w:val="32"/>
          <w:lang w:val="es-AR"/>
        </w:rPr>
      </w:pPr>
      <w:r w:rsidRPr="00CF5BAE">
        <w:rPr>
          <w:i/>
          <w:iCs/>
          <w:sz w:val="32"/>
          <w:szCs w:val="32"/>
          <w:lang w:val="es-AR"/>
        </w:rPr>
        <w:drawing>
          <wp:inline distT="0" distB="0" distL="0" distR="0" wp14:anchorId="602D0E9F" wp14:editId="04185A5E">
            <wp:extent cx="5943600" cy="3542030"/>
            <wp:effectExtent l="0" t="0" r="0" b="1270"/>
            <wp:docPr id="24108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81308" name=""/>
                    <pic:cNvPicPr/>
                  </pic:nvPicPr>
                  <pic:blipFill>
                    <a:blip r:embed="rId6"/>
                    <a:stretch>
                      <a:fillRect/>
                    </a:stretch>
                  </pic:blipFill>
                  <pic:spPr>
                    <a:xfrm>
                      <a:off x="0" y="0"/>
                      <a:ext cx="5943600" cy="3542030"/>
                    </a:xfrm>
                    <a:prstGeom prst="rect">
                      <a:avLst/>
                    </a:prstGeom>
                  </pic:spPr>
                </pic:pic>
              </a:graphicData>
            </a:graphic>
          </wp:inline>
        </w:drawing>
      </w:r>
    </w:p>
    <w:p w:rsidR="00CF5BAE" w:rsidRDefault="00CF5BAE" w:rsidP="00CF5BAE">
      <w:pPr>
        <w:rPr>
          <w:b/>
          <w:bCs/>
          <w:sz w:val="28"/>
          <w:szCs w:val="28"/>
          <w:lang w:val="es-AR"/>
        </w:rPr>
      </w:pPr>
      <w:r w:rsidRPr="00FE4759">
        <w:rPr>
          <w:b/>
          <w:bCs/>
          <w:sz w:val="28"/>
          <w:szCs w:val="28"/>
          <w:lang w:val="es-AR"/>
        </w:rPr>
        <w:t>Comentarios</w:t>
      </w:r>
      <w:r>
        <w:rPr>
          <w:b/>
          <w:bCs/>
          <w:sz w:val="28"/>
          <w:szCs w:val="28"/>
          <w:lang w:val="es-AR"/>
        </w:rPr>
        <w:t>:</w:t>
      </w:r>
    </w:p>
    <w:p w:rsidR="00CF5BAE" w:rsidRDefault="00CF5BAE" w:rsidP="00CF5BAE">
      <w:pPr>
        <w:rPr>
          <w:lang w:val="es-AR"/>
        </w:rPr>
      </w:pPr>
      <w:r w:rsidRPr="00CF5BAE">
        <w:rPr>
          <w:lang w:val="es-AR"/>
        </w:rPr>
        <w:t>El gráfico muestra la distribución de la Población en Edad de Trabajar (PET), es decir, aquellas personas que tienen entre 15 y 65 años inclusive, según la muestra de la EPH en la región NOA.</w:t>
      </w:r>
      <w:r>
        <w:rPr>
          <w:lang w:val="es-AR"/>
        </w:rPr>
        <w:t xml:space="preserve"> </w:t>
      </w:r>
    </w:p>
    <w:p w:rsidR="00CF5BAE" w:rsidRDefault="00CF5BAE" w:rsidP="00CF5BAE">
      <w:pPr>
        <w:rPr>
          <w:lang w:val="es-AR"/>
        </w:rPr>
      </w:pPr>
      <w:r w:rsidRPr="00CF5BAE">
        <w:rPr>
          <w:lang w:val="es-AR"/>
        </w:rPr>
        <w:t>En 2004, aproximadamente 5900 personas se encontraban dentro de la PET sobre un total cercano a 9400, mientras que en 2024 ese número crece a cerca de 6600 sobre un total de 9800 casos.</w:t>
      </w:r>
    </w:p>
    <w:p w:rsidR="00FE4759" w:rsidRDefault="00CF5BAE" w:rsidP="00FE4759">
      <w:pPr>
        <w:rPr>
          <w:b/>
          <w:bCs/>
          <w:lang w:val="es-AR"/>
        </w:rPr>
      </w:pPr>
      <w:r w:rsidRPr="00CF5BAE">
        <w:rPr>
          <w:b/>
          <w:bCs/>
          <w:lang w:val="es-AR"/>
        </w:rPr>
        <w:t>Se evidencia un leve aumento en la proporción de personas en edad laboral en 2024.</w:t>
      </w: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Default="00CF5BAE" w:rsidP="00FE4759">
      <w:pPr>
        <w:rPr>
          <w:b/>
          <w:bCs/>
          <w:lang w:val="es-AR"/>
        </w:rPr>
      </w:pPr>
    </w:p>
    <w:p w:rsidR="00CF5BAE" w:rsidRPr="00CF5BAE" w:rsidRDefault="00CF5BAE" w:rsidP="00FE4759">
      <w:pPr>
        <w:rPr>
          <w:i/>
          <w:iCs/>
          <w:sz w:val="32"/>
          <w:szCs w:val="32"/>
          <w:u w:val="single"/>
          <w:lang w:val="es-AR"/>
        </w:rPr>
      </w:pPr>
      <w:r w:rsidRPr="00CF5BAE">
        <w:rPr>
          <w:i/>
          <w:iCs/>
          <w:sz w:val="32"/>
          <w:szCs w:val="32"/>
          <w:u w:val="single"/>
          <w:lang w:val="es-AR"/>
        </w:rPr>
        <w:lastRenderedPageBreak/>
        <w:t>Comparamos visualmente la composición de la PET y la PEA por año</w:t>
      </w:r>
    </w:p>
    <w:p w:rsidR="00CF5BAE" w:rsidRDefault="00CF5BAE" w:rsidP="00FE4759">
      <w:pPr>
        <w:rPr>
          <w:b/>
          <w:bCs/>
          <w:lang w:val="es-AR"/>
        </w:rPr>
      </w:pPr>
      <w:r w:rsidRPr="00CF5BAE">
        <w:rPr>
          <w:b/>
          <w:bCs/>
          <w:lang w:val="es-AR"/>
        </w:rPr>
        <w:drawing>
          <wp:inline distT="0" distB="0" distL="0" distR="0" wp14:anchorId="1A98E41E" wp14:editId="7AA601DA">
            <wp:extent cx="5943600" cy="2355850"/>
            <wp:effectExtent l="0" t="0" r="0" b="6350"/>
            <wp:docPr id="1560396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6764" name=""/>
                    <pic:cNvPicPr/>
                  </pic:nvPicPr>
                  <pic:blipFill>
                    <a:blip r:embed="rId7"/>
                    <a:stretch>
                      <a:fillRect/>
                    </a:stretch>
                  </pic:blipFill>
                  <pic:spPr>
                    <a:xfrm>
                      <a:off x="0" y="0"/>
                      <a:ext cx="5943600" cy="2355850"/>
                    </a:xfrm>
                    <a:prstGeom prst="rect">
                      <a:avLst/>
                    </a:prstGeom>
                  </pic:spPr>
                </pic:pic>
              </a:graphicData>
            </a:graphic>
          </wp:inline>
        </w:drawing>
      </w:r>
    </w:p>
    <w:p w:rsidR="00CF5BAE" w:rsidRDefault="00CF5BAE" w:rsidP="00CF5BAE">
      <w:pPr>
        <w:rPr>
          <w:b/>
          <w:bCs/>
          <w:sz w:val="28"/>
          <w:szCs w:val="28"/>
          <w:lang w:val="es-AR"/>
        </w:rPr>
      </w:pPr>
      <w:r w:rsidRPr="00FE4759">
        <w:rPr>
          <w:b/>
          <w:bCs/>
          <w:sz w:val="28"/>
          <w:szCs w:val="28"/>
          <w:lang w:val="es-AR"/>
        </w:rPr>
        <w:t>Comentarios</w:t>
      </w:r>
      <w:r>
        <w:rPr>
          <w:b/>
          <w:bCs/>
          <w:sz w:val="28"/>
          <w:szCs w:val="28"/>
          <w:lang w:val="es-AR"/>
        </w:rPr>
        <w:t>:</w:t>
      </w:r>
    </w:p>
    <w:p w:rsidR="00CF5BAE" w:rsidRDefault="00CF5BAE" w:rsidP="00CF5BAE">
      <w:pPr>
        <w:rPr>
          <w:lang w:val="es-AR"/>
        </w:rPr>
      </w:pPr>
      <w:r w:rsidRPr="00CF5BAE">
        <w:rPr>
          <w:b/>
          <w:bCs/>
          <w:lang w:val="es-AR"/>
        </w:rPr>
        <w:t>Del cruce entre los gráficos de la Población en Edad de Trabajar (PET) y la Población Económicamente Activa (PEA) se desprende que no todas las personas en edad de trabajar forman parte de la PEA</w:t>
      </w:r>
      <w:r w:rsidRPr="00CF5BAE">
        <w:rPr>
          <w:lang w:val="es-AR"/>
        </w:rPr>
        <w:t>.</w:t>
      </w:r>
    </w:p>
    <w:p w:rsidR="00CF5BAE" w:rsidRDefault="00CF5BAE" w:rsidP="00CF5BAE">
      <w:pPr>
        <w:rPr>
          <w:lang w:val="es-AR"/>
        </w:rPr>
      </w:pPr>
      <w:r w:rsidRPr="00CF5BAE">
        <w:rPr>
          <w:lang w:val="es-AR"/>
        </w:rPr>
        <w:t>En ambos años analizados (2004 y 2024), la cantidad de personas dentro de la PET es mayor que la cantidad de personas en la PEA, lo que indica que existe una porción de la población en edad laboral que no participa activamente del mercado de trabajo.</w:t>
      </w:r>
    </w:p>
    <w:p w:rsidR="001B7379" w:rsidRDefault="00CF5BAE" w:rsidP="00CF5BAE">
      <w:pPr>
        <w:rPr>
          <w:lang w:val="es-AR"/>
        </w:rPr>
      </w:pPr>
      <w:r w:rsidRPr="00CF5BAE">
        <w:rPr>
          <w:lang w:val="es-AR"/>
        </w:rPr>
        <w:t>Este grupo puede incluir a personas que estudian, se dedican a tareas domésticas, están jubiladas anticipadamente, tienen problemas de salud, o no están buscando empleo al momento de la encuesta.</w:t>
      </w:r>
    </w:p>
    <w:p w:rsidR="001B7379" w:rsidRDefault="001B7379" w:rsidP="00CF5BAE">
      <w:pPr>
        <w:rPr>
          <w:lang w:val="es-AR"/>
        </w:rPr>
      </w:pPr>
    </w:p>
    <w:p w:rsidR="001B7379" w:rsidRDefault="001B7379" w:rsidP="001B7379">
      <w:pPr>
        <w:jc w:val="center"/>
        <w:rPr>
          <w:b/>
          <w:bCs/>
          <w:i/>
          <w:iCs/>
          <w:sz w:val="36"/>
          <w:szCs w:val="36"/>
          <w:u w:val="single"/>
          <w:lang w:val="es-AR"/>
        </w:rPr>
      </w:pPr>
      <w:r>
        <w:rPr>
          <w:b/>
          <w:bCs/>
          <w:i/>
          <w:iCs/>
          <w:sz w:val="36"/>
          <w:szCs w:val="36"/>
          <w:u w:val="single"/>
          <w:lang w:val="es-AR"/>
        </w:rPr>
        <w:t>Conclusión Final</w:t>
      </w:r>
    </w:p>
    <w:p w:rsidR="001B7379" w:rsidRPr="001B7379" w:rsidRDefault="001B7379" w:rsidP="001B7379">
      <w:pPr>
        <w:rPr>
          <w:sz w:val="26"/>
          <w:szCs w:val="26"/>
          <w:lang w:val="es-AR"/>
        </w:rPr>
      </w:pPr>
      <w:r w:rsidRPr="001B7379">
        <w:rPr>
          <w:sz w:val="26"/>
          <w:szCs w:val="26"/>
          <w:lang w:val="es-AR"/>
        </w:rPr>
        <w:t>El análisis realizado sobre la EPH para la región NOA comparando los años 2004 y 2024 permitió observar</w:t>
      </w:r>
      <w:r>
        <w:rPr>
          <w:sz w:val="26"/>
          <w:szCs w:val="26"/>
          <w:lang w:val="es-AR"/>
        </w:rPr>
        <w:t xml:space="preserve"> </w:t>
      </w:r>
      <w:r w:rsidRPr="001B7379">
        <w:rPr>
          <w:sz w:val="26"/>
          <w:szCs w:val="26"/>
          <w:lang w:val="es-AR"/>
        </w:rPr>
        <w:t>distintos aspectos de la situación laboral de la población desde una perspectiva multidimensional.</w:t>
      </w:r>
      <w:r>
        <w:rPr>
          <w:sz w:val="26"/>
          <w:szCs w:val="26"/>
          <w:lang w:val="es-AR"/>
        </w:rPr>
        <w:t xml:space="preserve"> </w:t>
      </w:r>
      <w:r w:rsidRPr="001B7379">
        <w:rPr>
          <w:sz w:val="26"/>
          <w:szCs w:val="26"/>
          <w:lang w:val="es-AR"/>
        </w:rPr>
        <w:t>Se trabajó con las variables `PET` (Población en Edad de Trabajar), `PEA` (Población Económicamente Activa)</w:t>
      </w:r>
      <w:r>
        <w:rPr>
          <w:sz w:val="26"/>
          <w:szCs w:val="26"/>
          <w:lang w:val="es-AR"/>
        </w:rPr>
        <w:t xml:space="preserve"> </w:t>
      </w:r>
      <w:r w:rsidRPr="001B7379">
        <w:rPr>
          <w:sz w:val="26"/>
          <w:szCs w:val="26"/>
          <w:lang w:val="es-AR"/>
        </w:rPr>
        <w:t xml:space="preserve">y `desocupado`, y </w:t>
      </w:r>
      <w:r w:rsidRPr="001B7379">
        <w:rPr>
          <w:sz w:val="26"/>
          <w:szCs w:val="26"/>
          <w:u w:val="single"/>
          <w:lang w:val="es-AR"/>
        </w:rPr>
        <w:t>se observaron los siguientes puntos clave</w:t>
      </w:r>
      <w:r w:rsidRPr="001B7379">
        <w:rPr>
          <w:sz w:val="26"/>
          <w:szCs w:val="26"/>
          <w:lang w:val="es-AR"/>
        </w:rPr>
        <w:t>:</w:t>
      </w:r>
    </w:p>
    <w:p w:rsidR="001B7379" w:rsidRDefault="001B7379" w:rsidP="001B7379">
      <w:pPr>
        <w:pStyle w:val="Prrafodelista"/>
        <w:numPr>
          <w:ilvl w:val="0"/>
          <w:numId w:val="1"/>
        </w:numPr>
        <w:rPr>
          <w:sz w:val="26"/>
          <w:szCs w:val="26"/>
          <w:lang w:val="es-AR"/>
        </w:rPr>
      </w:pPr>
      <w:r w:rsidRPr="001B7379">
        <w:rPr>
          <w:sz w:val="26"/>
          <w:szCs w:val="26"/>
          <w:lang w:val="es-AR"/>
        </w:rPr>
        <w:t>La proporción de personas en edad de trabajar (PET) aumentó en 2024 respecto a 2004.</w:t>
      </w:r>
    </w:p>
    <w:p w:rsidR="001B7379" w:rsidRDefault="001B7379" w:rsidP="001B7379">
      <w:pPr>
        <w:pStyle w:val="Prrafodelista"/>
        <w:numPr>
          <w:ilvl w:val="0"/>
          <w:numId w:val="1"/>
        </w:numPr>
        <w:rPr>
          <w:sz w:val="26"/>
          <w:szCs w:val="26"/>
          <w:lang w:val="es-AR"/>
        </w:rPr>
      </w:pPr>
      <w:r w:rsidRPr="001B7379">
        <w:rPr>
          <w:sz w:val="26"/>
          <w:szCs w:val="26"/>
          <w:lang w:val="es-AR"/>
        </w:rPr>
        <w:lastRenderedPageBreak/>
        <w:t>L</w:t>
      </w:r>
      <w:r w:rsidRPr="001B7379">
        <w:rPr>
          <w:sz w:val="26"/>
          <w:szCs w:val="26"/>
          <w:lang w:val="es-AR"/>
        </w:rPr>
        <w:t>a cantidad de personas desocupadas se redujo, pasando</w:t>
      </w:r>
      <w:r w:rsidRPr="001B7379">
        <w:rPr>
          <w:sz w:val="26"/>
          <w:szCs w:val="26"/>
          <w:lang w:val="es-AR"/>
        </w:rPr>
        <w:t xml:space="preserve"> </w:t>
      </w:r>
      <w:r w:rsidRPr="001B7379">
        <w:rPr>
          <w:sz w:val="26"/>
          <w:szCs w:val="26"/>
          <w:lang w:val="es-AR"/>
        </w:rPr>
        <w:t>de 597 en 2004 a 256 en 2024.</w:t>
      </w:r>
    </w:p>
    <w:p w:rsidR="001B7379" w:rsidRDefault="001B7379" w:rsidP="001B7379">
      <w:pPr>
        <w:pStyle w:val="Prrafodelista"/>
        <w:numPr>
          <w:ilvl w:val="0"/>
          <w:numId w:val="1"/>
        </w:numPr>
        <w:rPr>
          <w:sz w:val="26"/>
          <w:szCs w:val="26"/>
          <w:lang w:val="es-AR"/>
        </w:rPr>
      </w:pPr>
      <w:r w:rsidRPr="001B7379">
        <w:rPr>
          <w:sz w:val="26"/>
          <w:szCs w:val="26"/>
          <w:lang w:val="es-AR"/>
        </w:rPr>
        <w:t>La tasa de ocupación dentro de la PEA también mejoró: en 2004 era del 84.82%, mientras que en 2024 alcanzó el 94.34%.</w:t>
      </w:r>
    </w:p>
    <w:p w:rsidR="001B7379" w:rsidRDefault="001B7379" w:rsidP="001B7379">
      <w:pPr>
        <w:rPr>
          <w:sz w:val="26"/>
          <w:szCs w:val="26"/>
          <w:lang w:val="es-AR"/>
        </w:rPr>
      </w:pPr>
      <w:r w:rsidRPr="001B7379">
        <w:rPr>
          <w:sz w:val="26"/>
          <w:szCs w:val="26"/>
          <w:lang w:val="es-AR"/>
        </w:rPr>
        <w:t>Además, se observaron diferencias relevantes al desagregar los datos por otras variables:</w:t>
      </w:r>
    </w:p>
    <w:p w:rsidR="001B7379" w:rsidRDefault="001B7379" w:rsidP="001B7379">
      <w:pPr>
        <w:pStyle w:val="Prrafodelista"/>
        <w:numPr>
          <w:ilvl w:val="0"/>
          <w:numId w:val="2"/>
        </w:numPr>
        <w:rPr>
          <w:sz w:val="26"/>
          <w:szCs w:val="26"/>
          <w:lang w:val="es-AR"/>
        </w:rPr>
      </w:pPr>
      <w:r w:rsidRPr="001B7379">
        <w:rPr>
          <w:sz w:val="26"/>
          <w:szCs w:val="26"/>
          <w:lang w:val="es-AR"/>
        </w:rPr>
        <w:t>Por nivel educativo: en 2024 disminuyeron los porcentajes de desocupación en casi todos los niveles educativos,</w:t>
      </w:r>
      <w:r w:rsidRPr="001B7379">
        <w:rPr>
          <w:sz w:val="26"/>
          <w:szCs w:val="26"/>
          <w:lang w:val="es-AR"/>
        </w:rPr>
        <w:t xml:space="preserve"> </w:t>
      </w:r>
      <w:r w:rsidRPr="001B7379">
        <w:rPr>
          <w:sz w:val="26"/>
          <w:szCs w:val="26"/>
          <w:lang w:val="es-AR"/>
        </w:rPr>
        <w:t>especialmente en los intermedios (niveles 3 a 5)</w:t>
      </w:r>
      <w:r>
        <w:rPr>
          <w:sz w:val="26"/>
          <w:szCs w:val="26"/>
          <w:lang w:val="es-AR"/>
        </w:rPr>
        <w:t>.</w:t>
      </w:r>
    </w:p>
    <w:p w:rsidR="001B7379" w:rsidRDefault="001B7379" w:rsidP="001B7379">
      <w:pPr>
        <w:pStyle w:val="Prrafodelista"/>
        <w:numPr>
          <w:ilvl w:val="0"/>
          <w:numId w:val="2"/>
        </w:numPr>
        <w:rPr>
          <w:sz w:val="26"/>
          <w:szCs w:val="26"/>
          <w:lang w:val="es-AR"/>
        </w:rPr>
      </w:pPr>
      <w:r w:rsidRPr="001B7379">
        <w:rPr>
          <w:sz w:val="26"/>
          <w:szCs w:val="26"/>
          <w:lang w:val="es-AR"/>
        </w:rPr>
        <w:t>Por edad (agrupada de a 10 años): en 2004, los grupos de 20 a 39 años concentraban los mayores niveles de desocupación.</w:t>
      </w:r>
    </w:p>
    <w:p w:rsidR="001B7379" w:rsidRDefault="001B7379" w:rsidP="001B7379">
      <w:pPr>
        <w:rPr>
          <w:sz w:val="26"/>
          <w:szCs w:val="26"/>
          <w:lang w:val="es-AR"/>
        </w:rPr>
      </w:pPr>
      <w:r w:rsidRPr="001B7379">
        <w:rPr>
          <w:sz w:val="26"/>
          <w:szCs w:val="26"/>
          <w:lang w:val="es-AR"/>
        </w:rPr>
        <w:t>En 2024, los porcentajes bajaron considerablemente en todos los rangos, sobre todo en edades intermedias.</w:t>
      </w:r>
    </w:p>
    <w:p w:rsidR="001B7379" w:rsidRPr="001B7379" w:rsidRDefault="001B7379" w:rsidP="001B7379">
      <w:pPr>
        <w:pStyle w:val="Prrafodelista"/>
        <w:numPr>
          <w:ilvl w:val="0"/>
          <w:numId w:val="3"/>
        </w:numPr>
        <w:rPr>
          <w:sz w:val="26"/>
          <w:szCs w:val="26"/>
          <w:lang w:val="es-AR"/>
        </w:rPr>
      </w:pPr>
      <w:r w:rsidRPr="001B7379">
        <w:rPr>
          <w:sz w:val="26"/>
          <w:szCs w:val="26"/>
          <w:lang w:val="es-AR"/>
        </w:rPr>
        <w:t>Por sexo (CH04): tanto varones como mujeres presentaron una disminución de la desocupación en 2024 respecto de 2004.</w:t>
      </w:r>
    </w:p>
    <w:p w:rsidR="001B7379" w:rsidRDefault="001B7379" w:rsidP="001B7379">
      <w:pPr>
        <w:pStyle w:val="Prrafodelista"/>
        <w:numPr>
          <w:ilvl w:val="0"/>
          <w:numId w:val="4"/>
        </w:numPr>
        <w:rPr>
          <w:sz w:val="26"/>
          <w:szCs w:val="26"/>
          <w:lang w:val="es-AR"/>
        </w:rPr>
      </w:pPr>
      <w:r w:rsidRPr="001B7379">
        <w:rPr>
          <w:sz w:val="26"/>
          <w:szCs w:val="26"/>
          <w:lang w:val="es-AR"/>
        </w:rPr>
        <w:t>En 2004, el porcentaje de desocupación fue de 6.59% en varones y 6.15% en mujeres.</w:t>
      </w:r>
    </w:p>
    <w:p w:rsidR="001B7379" w:rsidRPr="001B7379" w:rsidRDefault="001B7379" w:rsidP="001B7379">
      <w:pPr>
        <w:pStyle w:val="Prrafodelista"/>
        <w:numPr>
          <w:ilvl w:val="0"/>
          <w:numId w:val="4"/>
        </w:numPr>
        <w:rPr>
          <w:sz w:val="26"/>
          <w:szCs w:val="26"/>
          <w:lang w:val="es-AR"/>
        </w:rPr>
      </w:pPr>
      <w:r w:rsidRPr="001B7379">
        <w:rPr>
          <w:sz w:val="26"/>
          <w:szCs w:val="26"/>
          <w:lang w:val="es-AR"/>
        </w:rPr>
        <w:t>En 2024, bajaron a 3.14% y 2.19%, respectivamente.</w:t>
      </w:r>
    </w:p>
    <w:p w:rsidR="00BE17EE" w:rsidRDefault="00BE17EE" w:rsidP="001B7379">
      <w:pPr>
        <w:rPr>
          <w:i/>
          <w:iCs/>
          <w:sz w:val="26"/>
          <w:szCs w:val="26"/>
          <w:u w:val="single"/>
          <w:lang w:val="es-AR"/>
        </w:rPr>
      </w:pPr>
    </w:p>
    <w:p w:rsidR="00BE17EE" w:rsidRDefault="00BE17EE" w:rsidP="001B7379">
      <w:pPr>
        <w:rPr>
          <w:i/>
          <w:iCs/>
          <w:sz w:val="26"/>
          <w:szCs w:val="26"/>
          <w:u w:val="single"/>
          <w:lang w:val="es-AR"/>
        </w:rPr>
      </w:pPr>
    </w:p>
    <w:p w:rsidR="001B7379" w:rsidRPr="00BE17EE" w:rsidRDefault="001B7379" w:rsidP="00CF5BAE">
      <w:pPr>
        <w:rPr>
          <w:i/>
          <w:iCs/>
          <w:sz w:val="22"/>
          <w:szCs w:val="22"/>
          <w:lang w:val="es-AR"/>
        </w:rPr>
      </w:pPr>
      <w:r w:rsidRPr="00BE17EE">
        <w:rPr>
          <w:i/>
          <w:iCs/>
          <w:sz w:val="22"/>
          <w:szCs w:val="22"/>
          <w:u w:val="single"/>
          <w:lang w:val="es-AR"/>
        </w:rPr>
        <w:t>Nota</w:t>
      </w:r>
      <w:r w:rsidRPr="00BE17EE">
        <w:rPr>
          <w:sz w:val="22"/>
          <w:szCs w:val="22"/>
          <w:lang w:val="es-AR"/>
        </w:rPr>
        <w:t xml:space="preserve">: </w:t>
      </w:r>
      <w:r w:rsidRPr="00BE17EE">
        <w:rPr>
          <w:i/>
          <w:iCs/>
          <w:sz w:val="22"/>
          <w:szCs w:val="22"/>
          <w:lang w:val="es-AR"/>
        </w:rPr>
        <w:t>Nunca hay que dejar de tener en cuenta que e</w:t>
      </w:r>
      <w:r w:rsidRPr="00BE17EE">
        <w:rPr>
          <w:i/>
          <w:iCs/>
          <w:sz w:val="22"/>
          <w:szCs w:val="22"/>
          <w:lang w:val="es-AR"/>
        </w:rPr>
        <w:t>ste conjunto de resultados muestra una mejora relativa en los indicadores laborales observados, al menos dentro del universo</w:t>
      </w:r>
      <w:r w:rsidR="00BE17EE" w:rsidRPr="00BE17EE">
        <w:rPr>
          <w:i/>
          <w:iCs/>
          <w:sz w:val="22"/>
          <w:szCs w:val="22"/>
          <w:lang w:val="es-AR"/>
        </w:rPr>
        <w:t xml:space="preserve"> </w:t>
      </w:r>
      <w:r w:rsidRPr="00BE17EE">
        <w:rPr>
          <w:i/>
          <w:iCs/>
          <w:sz w:val="22"/>
          <w:szCs w:val="22"/>
          <w:lang w:val="es-AR"/>
        </w:rPr>
        <w:t>muestral de la EPH. Las observaciones realizadas se basan en microdatos sin expansión, por lo que no pueden ser</w:t>
      </w:r>
      <w:r w:rsidR="00BE17EE" w:rsidRPr="00BE17EE">
        <w:rPr>
          <w:i/>
          <w:iCs/>
          <w:sz w:val="22"/>
          <w:szCs w:val="22"/>
          <w:lang w:val="es-AR"/>
        </w:rPr>
        <w:t xml:space="preserve"> </w:t>
      </w:r>
      <w:r w:rsidRPr="00BE17EE">
        <w:rPr>
          <w:i/>
          <w:iCs/>
          <w:sz w:val="22"/>
          <w:szCs w:val="22"/>
          <w:lang w:val="es-AR"/>
        </w:rPr>
        <w:t>extrapoladas a la totalidad de la población sin utilizar el factor `PONDERA`.</w:t>
      </w:r>
    </w:p>
    <w:sectPr w:rsidR="001B7379" w:rsidRPr="00BE1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6D6"/>
    <w:multiLevelType w:val="hybridMultilevel"/>
    <w:tmpl w:val="8302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20F75"/>
    <w:multiLevelType w:val="hybridMultilevel"/>
    <w:tmpl w:val="5516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419FB"/>
    <w:multiLevelType w:val="hybridMultilevel"/>
    <w:tmpl w:val="ABF6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03F41"/>
    <w:multiLevelType w:val="hybridMultilevel"/>
    <w:tmpl w:val="AF886008"/>
    <w:lvl w:ilvl="0" w:tplc="B3F8A5BC">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747045337">
    <w:abstractNumId w:val="1"/>
  </w:num>
  <w:num w:numId="2" w16cid:durableId="941033822">
    <w:abstractNumId w:val="0"/>
  </w:num>
  <w:num w:numId="3" w16cid:durableId="1063942359">
    <w:abstractNumId w:val="2"/>
  </w:num>
  <w:num w:numId="4" w16cid:durableId="1094932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3E"/>
    <w:rsid w:val="000E3665"/>
    <w:rsid w:val="001B7379"/>
    <w:rsid w:val="003D2F3E"/>
    <w:rsid w:val="00724943"/>
    <w:rsid w:val="007E4E45"/>
    <w:rsid w:val="009522CC"/>
    <w:rsid w:val="00BE17EE"/>
    <w:rsid w:val="00CF119B"/>
    <w:rsid w:val="00CF5BAE"/>
    <w:rsid w:val="00D8368D"/>
    <w:rsid w:val="00FE4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807D"/>
  <w15:chartTrackingRefBased/>
  <w15:docId w15:val="{BE05544F-0AE8-420A-A1CD-F461A9F8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D2F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D2F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D2F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D2F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D2F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D2F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2F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2F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2F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2F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D2F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D2F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D2F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D2F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D2F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2F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2F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2F3E"/>
    <w:rPr>
      <w:rFonts w:eastAsiaTheme="majorEastAsia" w:cstheme="majorBidi"/>
      <w:color w:val="272727" w:themeColor="text1" w:themeTint="D8"/>
    </w:rPr>
  </w:style>
  <w:style w:type="paragraph" w:styleId="Ttulo">
    <w:name w:val="Title"/>
    <w:basedOn w:val="Normal"/>
    <w:next w:val="Normal"/>
    <w:link w:val="TtuloCar"/>
    <w:uiPriority w:val="10"/>
    <w:qFormat/>
    <w:rsid w:val="003D2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2F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D2F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2F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D2F3E"/>
    <w:pPr>
      <w:spacing w:before="160"/>
      <w:jc w:val="center"/>
    </w:pPr>
    <w:rPr>
      <w:i/>
      <w:iCs/>
      <w:color w:val="404040" w:themeColor="text1" w:themeTint="BF"/>
    </w:rPr>
  </w:style>
  <w:style w:type="character" w:customStyle="1" w:styleId="CitaCar">
    <w:name w:val="Cita Car"/>
    <w:basedOn w:val="Fuentedeprrafopredeter"/>
    <w:link w:val="Cita"/>
    <w:uiPriority w:val="29"/>
    <w:rsid w:val="003D2F3E"/>
    <w:rPr>
      <w:i/>
      <w:iCs/>
      <w:color w:val="404040" w:themeColor="text1" w:themeTint="BF"/>
    </w:rPr>
  </w:style>
  <w:style w:type="paragraph" w:styleId="Prrafodelista">
    <w:name w:val="List Paragraph"/>
    <w:basedOn w:val="Normal"/>
    <w:uiPriority w:val="34"/>
    <w:qFormat/>
    <w:rsid w:val="003D2F3E"/>
    <w:pPr>
      <w:ind w:left="720"/>
      <w:contextualSpacing/>
    </w:pPr>
  </w:style>
  <w:style w:type="character" w:styleId="nfasisintenso">
    <w:name w:val="Intense Emphasis"/>
    <w:basedOn w:val="Fuentedeprrafopredeter"/>
    <w:uiPriority w:val="21"/>
    <w:qFormat/>
    <w:rsid w:val="003D2F3E"/>
    <w:rPr>
      <w:i/>
      <w:iCs/>
      <w:color w:val="2F5496" w:themeColor="accent1" w:themeShade="BF"/>
    </w:rPr>
  </w:style>
  <w:style w:type="paragraph" w:styleId="Citadestacada">
    <w:name w:val="Intense Quote"/>
    <w:basedOn w:val="Normal"/>
    <w:next w:val="Normal"/>
    <w:link w:val="CitadestacadaCar"/>
    <w:uiPriority w:val="30"/>
    <w:qFormat/>
    <w:rsid w:val="003D2F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D2F3E"/>
    <w:rPr>
      <w:i/>
      <w:iCs/>
      <w:color w:val="2F5496" w:themeColor="accent1" w:themeShade="BF"/>
    </w:rPr>
  </w:style>
  <w:style w:type="character" w:styleId="Referenciaintensa">
    <w:name w:val="Intense Reference"/>
    <w:basedOn w:val="Fuentedeprrafopredeter"/>
    <w:uiPriority w:val="32"/>
    <w:qFormat/>
    <w:rsid w:val="003D2F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568</Words>
  <Characters>3239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bustingorry</dc:creator>
  <cp:keywords/>
  <dc:description/>
  <cp:lastModifiedBy>lautaro bustingorry</cp:lastModifiedBy>
  <cp:revision>4</cp:revision>
  <dcterms:created xsi:type="dcterms:W3CDTF">2025-04-22T13:19:00Z</dcterms:created>
  <dcterms:modified xsi:type="dcterms:W3CDTF">2025-04-22T14:28:00Z</dcterms:modified>
</cp:coreProperties>
</file>