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94723" w14:textId="77777777" w:rsidR="00860252" w:rsidRPr="00AA153D" w:rsidRDefault="00860252" w:rsidP="00860252">
      <w:pPr>
        <w:jc w:val="center"/>
        <w:rPr>
          <w:sz w:val="40"/>
          <w:szCs w:val="40"/>
          <w:lang w:val="es-AR"/>
        </w:rPr>
      </w:pPr>
      <w:r w:rsidRPr="00AA153D">
        <w:rPr>
          <w:sz w:val="40"/>
          <w:szCs w:val="40"/>
          <w:lang w:val="es-AR"/>
        </w:rPr>
        <w:t>Gráficos y Descripciones</w:t>
      </w:r>
    </w:p>
    <w:p w14:paraId="539ACB6D" w14:textId="77777777" w:rsidR="00860252" w:rsidRPr="00C002E3" w:rsidRDefault="00860252" w:rsidP="00860252">
      <w:pPr>
        <w:jc w:val="center"/>
        <w:rPr>
          <w:rFonts w:ascii="Romano" w:hAnsi="Romano"/>
          <w:b/>
          <w:bCs/>
          <w:lang w:val="es-AR"/>
        </w:rPr>
      </w:pPr>
      <w:r>
        <w:rPr>
          <w:b/>
          <w:bCs/>
          <w:lang w:val="es-AR"/>
        </w:rPr>
        <w:t xml:space="preserve">PARTE </w:t>
      </w:r>
      <w:r>
        <w:rPr>
          <w:rFonts w:ascii="Romano" w:hAnsi="Romano"/>
          <w:b/>
          <w:bCs/>
          <w:lang w:val="es-AR"/>
        </w:rPr>
        <w:t>1</w:t>
      </w:r>
    </w:p>
    <w:p w14:paraId="747B0566" w14:textId="77777777" w:rsidR="00860252" w:rsidRPr="00AA153D" w:rsidRDefault="00860252" w:rsidP="00860252">
      <w:pPr>
        <w:rPr>
          <w:b/>
          <w:bCs/>
          <w:lang w:val="es-AR"/>
        </w:rPr>
      </w:pPr>
      <w:r w:rsidRPr="00AA153D">
        <w:rPr>
          <w:b/>
          <w:bCs/>
          <w:lang w:val="es-AR"/>
        </w:rPr>
        <w:t>Punto 1: Distribución de las edades</w:t>
      </w:r>
    </w:p>
    <w:p w14:paraId="2E8B18AF" w14:textId="77777777" w:rsidR="00860252" w:rsidRPr="00AA153D" w:rsidRDefault="00860252" w:rsidP="00860252">
      <w:pPr>
        <w:rPr>
          <w:lang w:val="es-AR"/>
        </w:rPr>
      </w:pPr>
      <w:r w:rsidRPr="00AA153D">
        <w:rPr>
          <w:noProof/>
          <w:lang w:val="es-AR"/>
        </w:rPr>
        <w:drawing>
          <wp:inline distT="0" distB="0" distL="0" distR="0" wp14:anchorId="70ED5564" wp14:editId="5BF1E16D">
            <wp:extent cx="5233551" cy="3257550"/>
            <wp:effectExtent l="0" t="0" r="5715" b="0"/>
            <wp:docPr id="1130044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44109" name=""/>
                    <pic:cNvPicPr/>
                  </pic:nvPicPr>
                  <pic:blipFill>
                    <a:blip r:embed="rId5"/>
                    <a:stretch>
                      <a:fillRect/>
                    </a:stretch>
                  </pic:blipFill>
                  <pic:spPr>
                    <a:xfrm>
                      <a:off x="0" y="0"/>
                      <a:ext cx="5249635" cy="3267561"/>
                    </a:xfrm>
                    <a:prstGeom prst="rect">
                      <a:avLst/>
                    </a:prstGeom>
                  </pic:spPr>
                </pic:pic>
              </a:graphicData>
            </a:graphic>
          </wp:inline>
        </w:drawing>
      </w:r>
    </w:p>
    <w:p w14:paraId="293ECA84" w14:textId="77777777" w:rsidR="00860252" w:rsidRDefault="00860252" w:rsidP="00860252">
      <w:pPr>
        <w:rPr>
          <w:lang w:val="es-AR"/>
        </w:rPr>
      </w:pPr>
      <w:r w:rsidRPr="00AA153D">
        <w:rPr>
          <w:noProof/>
          <w:lang w:val="es-AR"/>
        </w:rPr>
        <w:drawing>
          <wp:inline distT="0" distB="0" distL="0" distR="0" wp14:anchorId="6961F56D" wp14:editId="6E1146D6">
            <wp:extent cx="5227272" cy="3257550"/>
            <wp:effectExtent l="0" t="0" r="0" b="0"/>
            <wp:docPr id="1523994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94386" name=""/>
                    <pic:cNvPicPr/>
                  </pic:nvPicPr>
                  <pic:blipFill>
                    <a:blip r:embed="rId6"/>
                    <a:stretch>
                      <a:fillRect/>
                    </a:stretch>
                  </pic:blipFill>
                  <pic:spPr>
                    <a:xfrm>
                      <a:off x="0" y="0"/>
                      <a:ext cx="5241131" cy="3266186"/>
                    </a:xfrm>
                    <a:prstGeom prst="rect">
                      <a:avLst/>
                    </a:prstGeom>
                  </pic:spPr>
                </pic:pic>
              </a:graphicData>
            </a:graphic>
          </wp:inline>
        </w:drawing>
      </w:r>
    </w:p>
    <w:p w14:paraId="68EBF4BB" w14:textId="77777777" w:rsidR="00860252" w:rsidRDefault="00860252" w:rsidP="00860252">
      <w:pPr>
        <w:rPr>
          <w:lang w:val="es-AR"/>
        </w:rPr>
      </w:pPr>
      <w:r w:rsidRPr="00EA2B18">
        <w:rPr>
          <w:lang w:val="es-AR"/>
        </w:rPr>
        <w:lastRenderedPageBreak/>
        <w:t>El histograma (</w:t>
      </w:r>
      <w:r w:rsidRPr="00EA2B18">
        <w:rPr>
          <w:b/>
          <w:bCs/>
          <w:lang w:val="es-AR"/>
        </w:rPr>
        <w:t>Panel A</w:t>
      </w:r>
      <w:r w:rsidRPr="00EA2B18">
        <w:rPr>
          <w:lang w:val="es-AR"/>
        </w:rPr>
        <w:t xml:space="preserve">) muestra una alta concentración de personas entre los 15 y 25 años, lo que refleja una base poblacional joven. En </w:t>
      </w:r>
      <w:r>
        <w:rPr>
          <w:lang w:val="es-AR"/>
        </w:rPr>
        <w:t xml:space="preserve">la distribución de </w:t>
      </w:r>
      <w:proofErr w:type="spellStart"/>
      <w:r>
        <w:rPr>
          <w:lang w:val="es-AR"/>
        </w:rPr>
        <w:t>Kernel</w:t>
      </w:r>
      <w:proofErr w:type="spellEnd"/>
      <w:r>
        <w:rPr>
          <w:lang w:val="es-AR"/>
        </w:rPr>
        <w:t>, (</w:t>
      </w:r>
      <w:r>
        <w:rPr>
          <w:b/>
          <w:bCs/>
          <w:lang w:val="es-AR"/>
        </w:rPr>
        <w:t>Panel B</w:t>
      </w:r>
      <w:r>
        <w:rPr>
          <w:lang w:val="es-AR"/>
        </w:rPr>
        <w:t xml:space="preserve">) </w:t>
      </w:r>
      <w:r w:rsidRPr="00EA2B18">
        <w:rPr>
          <w:lang w:val="es-AR"/>
        </w:rPr>
        <w:t>los ocupados se agrupan en edades intermedias, mientras que los desocupados presentan un pico más marcado entre los 20 y 40 años. Esto indica una mayor incidencia del desempleo en jóvenes adultos. Las curvas muestran perfiles laborales diferenciados según edad.</w:t>
      </w:r>
    </w:p>
    <w:p w14:paraId="3F188E6A" w14:textId="77777777" w:rsidR="00860252" w:rsidRDefault="00860252" w:rsidP="00860252">
      <w:pPr>
        <w:rPr>
          <w:b/>
          <w:bCs/>
          <w:lang w:val="es-AR"/>
        </w:rPr>
      </w:pPr>
    </w:p>
    <w:p w14:paraId="2C1C423D" w14:textId="77777777" w:rsidR="00860252" w:rsidRPr="001133D0" w:rsidRDefault="00860252" w:rsidP="00860252">
      <w:pPr>
        <w:rPr>
          <w:b/>
          <w:bCs/>
          <w:lang w:val="es-AR"/>
        </w:rPr>
      </w:pPr>
      <w:r>
        <w:rPr>
          <w:b/>
          <w:bCs/>
          <w:lang w:val="es-AR"/>
        </w:rPr>
        <w:t xml:space="preserve">Punto 2: </w:t>
      </w:r>
      <w:r w:rsidRPr="001133D0">
        <w:rPr>
          <w:b/>
          <w:bCs/>
          <w:lang w:val="es-AR"/>
        </w:rPr>
        <w:t xml:space="preserve">Estadística descriptiva variable </w:t>
      </w:r>
      <w:r w:rsidRPr="001133D0">
        <w:rPr>
          <w:b/>
          <w:bCs/>
          <w:i/>
          <w:iCs/>
          <w:lang w:val="es-AR"/>
        </w:rPr>
        <w:t>“</w:t>
      </w:r>
      <w:proofErr w:type="spellStart"/>
      <w:r w:rsidRPr="001133D0">
        <w:rPr>
          <w:b/>
          <w:bCs/>
          <w:i/>
          <w:iCs/>
          <w:lang w:val="es-AR"/>
        </w:rPr>
        <w:t>educ</w:t>
      </w:r>
      <w:proofErr w:type="spellEnd"/>
      <w:r w:rsidRPr="001133D0">
        <w:rPr>
          <w:b/>
          <w:bCs/>
          <w:i/>
          <w:iCs/>
          <w:lang w:val="es-AR"/>
        </w:rPr>
        <w:t>”</w:t>
      </w:r>
    </w:p>
    <w:p w14:paraId="5325EDCF" w14:textId="77777777" w:rsidR="00860252" w:rsidRDefault="00860252" w:rsidP="00860252">
      <w:pPr>
        <w:rPr>
          <w:lang w:val="es-AR"/>
        </w:rPr>
      </w:pPr>
      <w:r w:rsidRPr="001133D0">
        <w:rPr>
          <w:noProof/>
          <w:lang w:val="es-AR"/>
        </w:rPr>
        <w:drawing>
          <wp:inline distT="0" distB="0" distL="0" distR="0" wp14:anchorId="27D783B1" wp14:editId="11E3F233">
            <wp:extent cx="2038635" cy="1086002"/>
            <wp:effectExtent l="0" t="0" r="0" b="0"/>
            <wp:docPr id="1150594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94426" name=""/>
                    <pic:cNvPicPr/>
                  </pic:nvPicPr>
                  <pic:blipFill>
                    <a:blip r:embed="rId7"/>
                    <a:stretch>
                      <a:fillRect/>
                    </a:stretch>
                  </pic:blipFill>
                  <pic:spPr>
                    <a:xfrm>
                      <a:off x="0" y="0"/>
                      <a:ext cx="2038635" cy="1086002"/>
                    </a:xfrm>
                    <a:prstGeom prst="rect">
                      <a:avLst/>
                    </a:prstGeom>
                  </pic:spPr>
                </pic:pic>
              </a:graphicData>
            </a:graphic>
          </wp:inline>
        </w:drawing>
      </w:r>
    </w:p>
    <w:p w14:paraId="7120FB42" w14:textId="77777777" w:rsidR="00860252" w:rsidRDefault="00860252" w:rsidP="00860252">
      <w:pPr>
        <w:rPr>
          <w:lang w:val="es-AR"/>
        </w:rPr>
      </w:pPr>
      <w:r w:rsidRPr="001133D0">
        <w:rPr>
          <w:lang w:val="es-AR"/>
        </w:rPr>
        <w:t xml:space="preserve">La variable </w:t>
      </w:r>
      <w:proofErr w:type="spellStart"/>
      <w:r w:rsidRPr="001133D0">
        <w:rPr>
          <w:lang w:val="es-AR"/>
        </w:rPr>
        <w:t>educ</w:t>
      </w:r>
      <w:proofErr w:type="spellEnd"/>
      <w:r w:rsidRPr="001133D0">
        <w:rPr>
          <w:lang w:val="es-AR"/>
        </w:rPr>
        <w:t xml:space="preserve"> fue construida combinando CH12, CH13 y CH14, para estimar los años de educación formal completados. El promedio es de 7,47 años y la mediana es 8, lo que indica una leve concentración en niveles educativos bajos o incompletos. El valor máximo es 23 años, reflejando casos de estudios universitarios o posgrados. La distribución es amplia, con alta dispersión entre niveles educativos.</w:t>
      </w:r>
    </w:p>
    <w:p w14:paraId="195403BF" w14:textId="77777777" w:rsidR="00860252" w:rsidRDefault="00860252" w:rsidP="00860252">
      <w:pPr>
        <w:rPr>
          <w:lang w:val="es-AR"/>
        </w:rPr>
      </w:pPr>
    </w:p>
    <w:p w14:paraId="47207819" w14:textId="77777777" w:rsidR="00860252" w:rsidRDefault="00860252" w:rsidP="00860252">
      <w:pPr>
        <w:rPr>
          <w:b/>
          <w:bCs/>
          <w:lang w:val="es-AR"/>
        </w:rPr>
      </w:pPr>
      <w:r>
        <w:rPr>
          <w:b/>
          <w:bCs/>
          <w:lang w:val="es-AR"/>
        </w:rPr>
        <w:t>Punto 3: Distribución del salario semanal</w:t>
      </w:r>
    </w:p>
    <w:p w14:paraId="43AC3C63" w14:textId="77777777" w:rsidR="00860252" w:rsidRDefault="00860252" w:rsidP="00860252">
      <w:pPr>
        <w:rPr>
          <w:b/>
          <w:bCs/>
          <w:lang w:val="es-AR"/>
        </w:rPr>
      </w:pPr>
      <w:r w:rsidRPr="00691868">
        <w:rPr>
          <w:b/>
          <w:bCs/>
          <w:noProof/>
          <w:lang w:val="es-AR"/>
        </w:rPr>
        <w:drawing>
          <wp:inline distT="0" distB="0" distL="0" distR="0" wp14:anchorId="70CF3A48" wp14:editId="58FBDF5B">
            <wp:extent cx="5391150" cy="3310143"/>
            <wp:effectExtent l="0" t="0" r="0" b="5080"/>
            <wp:docPr id="1327003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03671" name=""/>
                    <pic:cNvPicPr/>
                  </pic:nvPicPr>
                  <pic:blipFill>
                    <a:blip r:embed="rId8"/>
                    <a:stretch>
                      <a:fillRect/>
                    </a:stretch>
                  </pic:blipFill>
                  <pic:spPr>
                    <a:xfrm>
                      <a:off x="0" y="0"/>
                      <a:ext cx="5400438" cy="3315846"/>
                    </a:xfrm>
                    <a:prstGeom prst="rect">
                      <a:avLst/>
                    </a:prstGeom>
                  </pic:spPr>
                </pic:pic>
              </a:graphicData>
            </a:graphic>
          </wp:inline>
        </w:drawing>
      </w:r>
    </w:p>
    <w:p w14:paraId="41956B9F" w14:textId="77777777" w:rsidR="00860252" w:rsidRDefault="00860252" w:rsidP="00860252">
      <w:pPr>
        <w:rPr>
          <w:b/>
          <w:bCs/>
          <w:lang w:val="es-AR"/>
        </w:rPr>
      </w:pPr>
      <w:r w:rsidRPr="00691868">
        <w:rPr>
          <w:b/>
          <w:bCs/>
          <w:noProof/>
          <w:lang w:val="es-AR"/>
        </w:rPr>
        <w:lastRenderedPageBreak/>
        <w:drawing>
          <wp:inline distT="0" distB="0" distL="0" distR="0" wp14:anchorId="51B481FF" wp14:editId="14EBE89C">
            <wp:extent cx="5038725" cy="3118519"/>
            <wp:effectExtent l="0" t="0" r="0" b="5715"/>
            <wp:docPr id="985223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23312" name=""/>
                    <pic:cNvPicPr/>
                  </pic:nvPicPr>
                  <pic:blipFill>
                    <a:blip r:embed="rId9"/>
                    <a:stretch>
                      <a:fillRect/>
                    </a:stretch>
                  </pic:blipFill>
                  <pic:spPr>
                    <a:xfrm>
                      <a:off x="0" y="0"/>
                      <a:ext cx="5053588" cy="3127718"/>
                    </a:xfrm>
                    <a:prstGeom prst="rect">
                      <a:avLst/>
                    </a:prstGeom>
                  </pic:spPr>
                </pic:pic>
              </a:graphicData>
            </a:graphic>
          </wp:inline>
        </w:drawing>
      </w:r>
    </w:p>
    <w:p w14:paraId="1C4E7B72" w14:textId="77777777" w:rsidR="00860252" w:rsidRDefault="00860252" w:rsidP="00860252">
      <w:pPr>
        <w:rPr>
          <w:lang w:val="es-AR"/>
        </w:rPr>
      </w:pPr>
      <w:r w:rsidRPr="00691868">
        <w:rPr>
          <w:lang w:val="es-AR"/>
        </w:rPr>
        <w:t>Para facilitar el análisis de la parte “más rica en datos” del gráfico, se aplicó un recorte entre los percentiles 1 y 99 del salario semanal ajustado, excluyendo además los valores nulos o iguales a cero. Un total de 12</w:t>
      </w:r>
      <w:r>
        <w:rPr>
          <w:lang w:val="es-AR"/>
        </w:rPr>
        <w:t>.</w:t>
      </w:r>
      <w:r w:rsidRPr="00691868">
        <w:rPr>
          <w:lang w:val="es-AR"/>
        </w:rPr>
        <w:t xml:space="preserve">105 personas presentaron un ingreso semanal igual a 0, lo que justificó su exclusión para mejorar la legibilidad. En el </w:t>
      </w:r>
      <w:r w:rsidRPr="00691868">
        <w:rPr>
          <w:b/>
          <w:bCs/>
          <w:lang w:val="es-AR"/>
        </w:rPr>
        <w:t>Panel A</w:t>
      </w:r>
      <w:r w:rsidRPr="00691868">
        <w:rPr>
          <w:lang w:val="es-AR"/>
        </w:rPr>
        <w:t xml:space="preserve"> se observa una fuerte concentración de ingresos bajos, con presencia decreciente de salarios más altos. El </w:t>
      </w:r>
      <w:r w:rsidRPr="00691868">
        <w:rPr>
          <w:b/>
          <w:bCs/>
          <w:lang w:val="es-AR"/>
        </w:rPr>
        <w:t>Panel B</w:t>
      </w:r>
      <w:r w:rsidRPr="00691868">
        <w:rPr>
          <w:lang w:val="es-AR"/>
        </w:rPr>
        <w:t xml:space="preserve"> muestra una distribución asimétrica de los ocupados, con mayoría en rangos bajos y una larga cola hacia valores elevados. La curva de desocupados no se incluye por falta de varianza, ya que sus ingresos son nulos o residuales en casi todos los casos.</w:t>
      </w:r>
    </w:p>
    <w:p w14:paraId="09E27F3D" w14:textId="77777777" w:rsidR="00860252" w:rsidRDefault="00860252" w:rsidP="00860252">
      <w:pPr>
        <w:rPr>
          <w:lang w:val="es-AR"/>
        </w:rPr>
      </w:pPr>
    </w:p>
    <w:p w14:paraId="5137EAD3" w14:textId="77777777" w:rsidR="00860252" w:rsidRDefault="00860252" w:rsidP="00860252">
      <w:pPr>
        <w:rPr>
          <w:b/>
          <w:bCs/>
          <w:i/>
          <w:iCs/>
          <w:lang w:val="es-AR"/>
        </w:rPr>
      </w:pPr>
      <w:r>
        <w:rPr>
          <w:b/>
          <w:bCs/>
          <w:lang w:val="es-AR"/>
        </w:rPr>
        <w:t xml:space="preserve">Punto 4: Variable de horas trabajadas </w:t>
      </w:r>
      <w:r>
        <w:rPr>
          <w:b/>
          <w:bCs/>
          <w:i/>
          <w:iCs/>
          <w:lang w:val="es-AR"/>
        </w:rPr>
        <w:t>“</w:t>
      </w:r>
      <w:proofErr w:type="spellStart"/>
      <w:r>
        <w:rPr>
          <w:b/>
          <w:bCs/>
          <w:i/>
          <w:iCs/>
          <w:lang w:val="es-AR"/>
        </w:rPr>
        <w:t>horastrab</w:t>
      </w:r>
      <w:proofErr w:type="spellEnd"/>
      <w:r>
        <w:rPr>
          <w:b/>
          <w:bCs/>
          <w:i/>
          <w:iCs/>
          <w:lang w:val="es-AR"/>
        </w:rPr>
        <w:t>”</w:t>
      </w:r>
    </w:p>
    <w:p w14:paraId="69388C2C" w14:textId="77777777" w:rsidR="00860252" w:rsidRDefault="00860252" w:rsidP="00860252">
      <w:pPr>
        <w:rPr>
          <w:b/>
          <w:bCs/>
          <w:lang w:val="es-AR"/>
        </w:rPr>
      </w:pPr>
      <w:r w:rsidRPr="00084C5A">
        <w:rPr>
          <w:b/>
          <w:bCs/>
          <w:noProof/>
          <w:lang w:val="es-AR"/>
        </w:rPr>
        <w:drawing>
          <wp:inline distT="0" distB="0" distL="0" distR="0" wp14:anchorId="39475B66" wp14:editId="018A30C6">
            <wp:extent cx="2629267" cy="1114581"/>
            <wp:effectExtent l="0" t="0" r="0" b="9525"/>
            <wp:docPr id="1736485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85849" name=""/>
                    <pic:cNvPicPr/>
                  </pic:nvPicPr>
                  <pic:blipFill>
                    <a:blip r:embed="rId10"/>
                    <a:stretch>
                      <a:fillRect/>
                    </a:stretch>
                  </pic:blipFill>
                  <pic:spPr>
                    <a:xfrm>
                      <a:off x="0" y="0"/>
                      <a:ext cx="2629267" cy="1114581"/>
                    </a:xfrm>
                    <a:prstGeom prst="rect">
                      <a:avLst/>
                    </a:prstGeom>
                  </pic:spPr>
                </pic:pic>
              </a:graphicData>
            </a:graphic>
          </wp:inline>
        </w:drawing>
      </w:r>
    </w:p>
    <w:p w14:paraId="396666ED" w14:textId="77777777" w:rsidR="00860252" w:rsidRDefault="00860252" w:rsidP="00860252">
      <w:pPr>
        <w:rPr>
          <w:lang w:val="es-AR"/>
        </w:rPr>
      </w:pPr>
      <w:r w:rsidRPr="00084C5A">
        <w:rPr>
          <w:lang w:val="es-AR"/>
        </w:rPr>
        <w:t xml:space="preserve">La variable </w:t>
      </w:r>
      <w:r>
        <w:rPr>
          <w:lang w:val="es-AR"/>
        </w:rPr>
        <w:t>“</w:t>
      </w:r>
      <w:proofErr w:type="spellStart"/>
      <w:r w:rsidRPr="00084C5A">
        <w:rPr>
          <w:b/>
          <w:bCs/>
          <w:i/>
          <w:iCs/>
          <w:lang w:val="es-AR"/>
        </w:rPr>
        <w:t>horastrab</w:t>
      </w:r>
      <w:proofErr w:type="spellEnd"/>
      <w:r>
        <w:rPr>
          <w:b/>
          <w:bCs/>
          <w:i/>
          <w:iCs/>
          <w:lang w:val="es-AR"/>
        </w:rPr>
        <w:t>”</w:t>
      </w:r>
      <w:r w:rsidRPr="00084C5A">
        <w:rPr>
          <w:lang w:val="es-AR"/>
        </w:rPr>
        <w:t xml:space="preserve"> fue construida como la suma de las horas trabajadas en la ocupación principal y en otras ocupaciones, considerando solo a personas ocupadas. El promedio semanal es de 35 horas y la mediana es de 36, lo que indica una distribución bastante centrada. Sin embargo, se observaron valores extremos de hasta 126 horas, posiblemente vinculados a </w:t>
      </w:r>
      <w:r w:rsidRPr="00084C5A">
        <w:rPr>
          <w:lang w:val="es-AR"/>
        </w:rPr>
        <w:lastRenderedPageBreak/>
        <w:t>pluriempleo o errores de carga. Esta heterogeneidad se refleja también en una desviación estándar elevada, cercana a 21 horas.</w:t>
      </w:r>
    </w:p>
    <w:p w14:paraId="28875E00" w14:textId="77777777" w:rsidR="00860252" w:rsidRDefault="00860252" w:rsidP="00860252">
      <w:pPr>
        <w:rPr>
          <w:lang w:val="es-AR"/>
        </w:rPr>
      </w:pPr>
    </w:p>
    <w:p w14:paraId="6C2DFFE9" w14:textId="77777777" w:rsidR="00860252" w:rsidRDefault="00860252" w:rsidP="00860252">
      <w:pPr>
        <w:rPr>
          <w:b/>
          <w:bCs/>
          <w:lang w:val="es-AR"/>
        </w:rPr>
      </w:pPr>
      <w:r>
        <w:rPr>
          <w:b/>
          <w:bCs/>
          <w:lang w:val="es-AR"/>
        </w:rPr>
        <w:t>Punto 5: Resumen de la base final para la región YYY</w:t>
      </w:r>
    </w:p>
    <w:tbl>
      <w:tblPr>
        <w:tblStyle w:val="Tablaconcuadrcula"/>
        <w:tblW w:w="9351" w:type="dxa"/>
        <w:tblLook w:val="04A0" w:firstRow="1" w:lastRow="0" w:firstColumn="1" w:lastColumn="0" w:noHBand="0" w:noVBand="1"/>
      </w:tblPr>
      <w:tblGrid>
        <w:gridCol w:w="3681"/>
        <w:gridCol w:w="1984"/>
        <w:gridCol w:w="1843"/>
        <w:gridCol w:w="1843"/>
      </w:tblGrid>
      <w:tr w:rsidR="00860252" w14:paraId="12A84629" w14:textId="77777777" w:rsidTr="0079190C">
        <w:trPr>
          <w:trHeight w:val="302"/>
        </w:trPr>
        <w:tc>
          <w:tcPr>
            <w:tcW w:w="3681" w:type="dxa"/>
          </w:tcPr>
          <w:p w14:paraId="3BBF8CA6" w14:textId="77777777" w:rsidR="00860252" w:rsidRDefault="00860252" w:rsidP="0079190C">
            <w:pPr>
              <w:jc w:val="center"/>
              <w:rPr>
                <w:b/>
                <w:bCs/>
                <w:lang w:val="es-AR"/>
              </w:rPr>
            </w:pPr>
          </w:p>
        </w:tc>
        <w:tc>
          <w:tcPr>
            <w:tcW w:w="1984" w:type="dxa"/>
          </w:tcPr>
          <w:p w14:paraId="3E8391A6" w14:textId="77777777" w:rsidR="00860252" w:rsidRDefault="00860252" w:rsidP="0079190C">
            <w:pPr>
              <w:jc w:val="center"/>
              <w:rPr>
                <w:b/>
                <w:bCs/>
                <w:lang w:val="es-AR"/>
              </w:rPr>
            </w:pPr>
            <w:r>
              <w:rPr>
                <w:b/>
                <w:bCs/>
                <w:lang w:val="es-AR"/>
              </w:rPr>
              <w:t>2004</w:t>
            </w:r>
          </w:p>
        </w:tc>
        <w:tc>
          <w:tcPr>
            <w:tcW w:w="1843" w:type="dxa"/>
          </w:tcPr>
          <w:p w14:paraId="587762DF" w14:textId="77777777" w:rsidR="00860252" w:rsidRDefault="00860252" w:rsidP="0079190C">
            <w:pPr>
              <w:jc w:val="center"/>
              <w:rPr>
                <w:b/>
                <w:bCs/>
                <w:lang w:val="es-AR"/>
              </w:rPr>
            </w:pPr>
            <w:r>
              <w:rPr>
                <w:b/>
                <w:bCs/>
                <w:lang w:val="es-AR"/>
              </w:rPr>
              <w:t>2024</w:t>
            </w:r>
          </w:p>
        </w:tc>
        <w:tc>
          <w:tcPr>
            <w:tcW w:w="1843" w:type="dxa"/>
          </w:tcPr>
          <w:p w14:paraId="7718EF7B" w14:textId="77777777" w:rsidR="00860252" w:rsidRDefault="00860252" w:rsidP="0079190C">
            <w:pPr>
              <w:jc w:val="center"/>
              <w:rPr>
                <w:b/>
                <w:bCs/>
                <w:lang w:val="es-AR"/>
              </w:rPr>
            </w:pPr>
            <w:r>
              <w:rPr>
                <w:b/>
                <w:bCs/>
                <w:lang w:val="es-AR"/>
              </w:rPr>
              <w:t>Total</w:t>
            </w:r>
          </w:p>
        </w:tc>
      </w:tr>
      <w:tr w:rsidR="00860252" w14:paraId="3D928DD3" w14:textId="77777777" w:rsidTr="0079190C">
        <w:trPr>
          <w:trHeight w:val="621"/>
        </w:trPr>
        <w:tc>
          <w:tcPr>
            <w:tcW w:w="3681" w:type="dxa"/>
          </w:tcPr>
          <w:p w14:paraId="5C984BC4" w14:textId="77777777" w:rsidR="00860252" w:rsidRDefault="00860252" w:rsidP="0079190C">
            <w:pPr>
              <w:jc w:val="center"/>
              <w:rPr>
                <w:b/>
                <w:bCs/>
                <w:lang w:val="es-AR"/>
              </w:rPr>
            </w:pPr>
            <w:r>
              <w:rPr>
                <w:b/>
                <w:bCs/>
                <w:lang w:val="es-AR"/>
              </w:rPr>
              <w:t>Cantidad de observaciones</w:t>
            </w:r>
          </w:p>
        </w:tc>
        <w:tc>
          <w:tcPr>
            <w:tcW w:w="1984" w:type="dxa"/>
          </w:tcPr>
          <w:p w14:paraId="599F72DF" w14:textId="77777777" w:rsidR="00860252" w:rsidRPr="00ED1A6D" w:rsidRDefault="00860252" w:rsidP="0079190C">
            <w:pPr>
              <w:jc w:val="center"/>
              <w:rPr>
                <w:lang w:val="es-AR"/>
              </w:rPr>
            </w:pPr>
            <w:r>
              <w:rPr>
                <w:lang w:val="es-AR"/>
              </w:rPr>
              <w:t>9393</w:t>
            </w:r>
          </w:p>
        </w:tc>
        <w:tc>
          <w:tcPr>
            <w:tcW w:w="1843" w:type="dxa"/>
          </w:tcPr>
          <w:p w14:paraId="5506B897" w14:textId="77777777" w:rsidR="00860252" w:rsidRPr="00ED1A6D" w:rsidRDefault="00860252" w:rsidP="0079190C">
            <w:pPr>
              <w:jc w:val="center"/>
              <w:rPr>
                <w:lang w:val="es-AR"/>
              </w:rPr>
            </w:pPr>
            <w:r>
              <w:rPr>
                <w:lang w:val="es-AR"/>
              </w:rPr>
              <w:t>9699</w:t>
            </w:r>
          </w:p>
        </w:tc>
        <w:tc>
          <w:tcPr>
            <w:tcW w:w="1843" w:type="dxa"/>
          </w:tcPr>
          <w:p w14:paraId="7DE4620D" w14:textId="77777777" w:rsidR="00860252" w:rsidRPr="00ED1A6D" w:rsidRDefault="00860252" w:rsidP="0079190C">
            <w:pPr>
              <w:jc w:val="center"/>
              <w:rPr>
                <w:lang w:val="es-AR"/>
              </w:rPr>
            </w:pPr>
            <w:r>
              <w:rPr>
                <w:lang w:val="es-AR"/>
              </w:rPr>
              <w:t>19092</w:t>
            </w:r>
          </w:p>
        </w:tc>
      </w:tr>
      <w:tr w:rsidR="00860252" w14:paraId="5F0872A9" w14:textId="77777777" w:rsidTr="0079190C">
        <w:trPr>
          <w:trHeight w:val="1244"/>
        </w:trPr>
        <w:tc>
          <w:tcPr>
            <w:tcW w:w="3681" w:type="dxa"/>
          </w:tcPr>
          <w:p w14:paraId="3A57B04B" w14:textId="77777777" w:rsidR="00860252" w:rsidRDefault="00860252" w:rsidP="0079190C">
            <w:pPr>
              <w:jc w:val="center"/>
              <w:rPr>
                <w:b/>
                <w:bCs/>
                <w:lang w:val="es-AR"/>
              </w:rPr>
            </w:pPr>
            <w:r>
              <w:rPr>
                <w:b/>
                <w:bCs/>
                <w:lang w:val="es-AR"/>
              </w:rPr>
              <w:t xml:space="preserve">Cantidad de observaciones con </w:t>
            </w:r>
            <w:proofErr w:type="spellStart"/>
            <w:r>
              <w:rPr>
                <w:b/>
                <w:bCs/>
                <w:lang w:val="es-AR"/>
              </w:rPr>
              <w:t>Nas</w:t>
            </w:r>
            <w:proofErr w:type="spellEnd"/>
            <w:r>
              <w:rPr>
                <w:b/>
                <w:bCs/>
                <w:lang w:val="es-AR"/>
              </w:rPr>
              <w:t xml:space="preserve"> en la variable “Estado”</w:t>
            </w:r>
          </w:p>
        </w:tc>
        <w:tc>
          <w:tcPr>
            <w:tcW w:w="1984" w:type="dxa"/>
          </w:tcPr>
          <w:p w14:paraId="51130284" w14:textId="77777777" w:rsidR="00860252" w:rsidRPr="00ED1A6D" w:rsidRDefault="00860252" w:rsidP="0079190C">
            <w:pPr>
              <w:jc w:val="center"/>
              <w:rPr>
                <w:lang w:val="es-AR"/>
              </w:rPr>
            </w:pPr>
            <w:r>
              <w:rPr>
                <w:lang w:val="es-AR"/>
              </w:rPr>
              <w:t>8</w:t>
            </w:r>
          </w:p>
        </w:tc>
        <w:tc>
          <w:tcPr>
            <w:tcW w:w="1843" w:type="dxa"/>
          </w:tcPr>
          <w:p w14:paraId="6154508D" w14:textId="77777777" w:rsidR="00860252" w:rsidRPr="00ED1A6D" w:rsidRDefault="00860252" w:rsidP="0079190C">
            <w:pPr>
              <w:jc w:val="center"/>
              <w:rPr>
                <w:lang w:val="es-AR"/>
              </w:rPr>
            </w:pPr>
            <w:r>
              <w:rPr>
                <w:lang w:val="es-AR"/>
              </w:rPr>
              <w:t>9</w:t>
            </w:r>
          </w:p>
        </w:tc>
        <w:tc>
          <w:tcPr>
            <w:tcW w:w="1843" w:type="dxa"/>
          </w:tcPr>
          <w:p w14:paraId="7AA31FD0" w14:textId="77777777" w:rsidR="00860252" w:rsidRPr="00ED1A6D" w:rsidRDefault="00860252" w:rsidP="0079190C">
            <w:pPr>
              <w:jc w:val="center"/>
              <w:rPr>
                <w:lang w:val="es-AR"/>
              </w:rPr>
            </w:pPr>
            <w:r w:rsidRPr="00ED1A6D">
              <w:rPr>
                <w:lang w:val="es-AR"/>
              </w:rPr>
              <w:t>17</w:t>
            </w:r>
          </w:p>
        </w:tc>
      </w:tr>
      <w:tr w:rsidR="00860252" w14:paraId="5220DEF6" w14:textId="77777777" w:rsidTr="0079190C">
        <w:trPr>
          <w:trHeight w:val="605"/>
        </w:trPr>
        <w:tc>
          <w:tcPr>
            <w:tcW w:w="3681" w:type="dxa"/>
          </w:tcPr>
          <w:p w14:paraId="6223A039" w14:textId="77777777" w:rsidR="00860252" w:rsidRDefault="00860252" w:rsidP="0079190C">
            <w:pPr>
              <w:jc w:val="center"/>
              <w:rPr>
                <w:b/>
                <w:bCs/>
                <w:lang w:val="es-AR"/>
              </w:rPr>
            </w:pPr>
            <w:r>
              <w:rPr>
                <w:b/>
                <w:bCs/>
                <w:lang w:val="es-AR"/>
              </w:rPr>
              <w:t>Cantidad de Ocupados</w:t>
            </w:r>
          </w:p>
        </w:tc>
        <w:tc>
          <w:tcPr>
            <w:tcW w:w="1984" w:type="dxa"/>
          </w:tcPr>
          <w:p w14:paraId="0BC69AF4" w14:textId="77777777" w:rsidR="00860252" w:rsidRPr="00ED1A6D" w:rsidRDefault="00860252" w:rsidP="0079190C">
            <w:pPr>
              <w:jc w:val="center"/>
              <w:rPr>
                <w:lang w:val="es-AR"/>
              </w:rPr>
            </w:pPr>
            <w:r>
              <w:rPr>
                <w:lang w:val="es-AR"/>
              </w:rPr>
              <w:t>3337</w:t>
            </w:r>
          </w:p>
        </w:tc>
        <w:tc>
          <w:tcPr>
            <w:tcW w:w="1843" w:type="dxa"/>
          </w:tcPr>
          <w:p w14:paraId="5D3339DC" w14:textId="77777777" w:rsidR="00860252" w:rsidRPr="00ED1A6D" w:rsidRDefault="00860252" w:rsidP="0079190C">
            <w:pPr>
              <w:jc w:val="center"/>
              <w:rPr>
                <w:lang w:val="es-AR"/>
              </w:rPr>
            </w:pPr>
            <w:r>
              <w:rPr>
                <w:lang w:val="es-AR"/>
              </w:rPr>
              <w:t>4263</w:t>
            </w:r>
          </w:p>
        </w:tc>
        <w:tc>
          <w:tcPr>
            <w:tcW w:w="1843" w:type="dxa"/>
          </w:tcPr>
          <w:p w14:paraId="113FA81B" w14:textId="77777777" w:rsidR="00860252" w:rsidRPr="00ED1A6D" w:rsidRDefault="00860252" w:rsidP="0079190C">
            <w:pPr>
              <w:jc w:val="center"/>
              <w:rPr>
                <w:lang w:val="es-AR"/>
              </w:rPr>
            </w:pPr>
            <w:r>
              <w:rPr>
                <w:lang w:val="es-AR"/>
              </w:rPr>
              <w:t>7600</w:t>
            </w:r>
          </w:p>
        </w:tc>
      </w:tr>
      <w:tr w:rsidR="00860252" w14:paraId="52E6A605" w14:textId="77777777" w:rsidTr="0079190C">
        <w:trPr>
          <w:trHeight w:val="621"/>
        </w:trPr>
        <w:tc>
          <w:tcPr>
            <w:tcW w:w="3681" w:type="dxa"/>
          </w:tcPr>
          <w:p w14:paraId="52166453" w14:textId="77777777" w:rsidR="00860252" w:rsidRDefault="00860252" w:rsidP="0079190C">
            <w:pPr>
              <w:jc w:val="center"/>
              <w:rPr>
                <w:b/>
                <w:bCs/>
                <w:lang w:val="es-AR"/>
              </w:rPr>
            </w:pPr>
            <w:r>
              <w:rPr>
                <w:b/>
                <w:bCs/>
                <w:lang w:val="es-AR"/>
              </w:rPr>
              <w:t>Cantidad de Desocupados</w:t>
            </w:r>
          </w:p>
        </w:tc>
        <w:tc>
          <w:tcPr>
            <w:tcW w:w="1984" w:type="dxa"/>
          </w:tcPr>
          <w:p w14:paraId="40139FA4" w14:textId="77777777" w:rsidR="00860252" w:rsidRPr="00ED1A6D" w:rsidRDefault="00860252" w:rsidP="0079190C">
            <w:pPr>
              <w:jc w:val="center"/>
              <w:rPr>
                <w:lang w:val="es-AR"/>
              </w:rPr>
            </w:pPr>
            <w:r>
              <w:rPr>
                <w:lang w:val="es-AR"/>
              </w:rPr>
              <w:t>597</w:t>
            </w:r>
          </w:p>
        </w:tc>
        <w:tc>
          <w:tcPr>
            <w:tcW w:w="1843" w:type="dxa"/>
          </w:tcPr>
          <w:p w14:paraId="4BE0281A" w14:textId="77777777" w:rsidR="00860252" w:rsidRPr="00ED1A6D" w:rsidRDefault="00860252" w:rsidP="0079190C">
            <w:pPr>
              <w:jc w:val="center"/>
              <w:rPr>
                <w:lang w:val="es-AR"/>
              </w:rPr>
            </w:pPr>
            <w:r>
              <w:rPr>
                <w:lang w:val="es-AR"/>
              </w:rPr>
              <w:t>256</w:t>
            </w:r>
          </w:p>
        </w:tc>
        <w:tc>
          <w:tcPr>
            <w:tcW w:w="1843" w:type="dxa"/>
          </w:tcPr>
          <w:p w14:paraId="716F38E5" w14:textId="77777777" w:rsidR="00860252" w:rsidRPr="00ED1A6D" w:rsidRDefault="00860252" w:rsidP="0079190C">
            <w:pPr>
              <w:jc w:val="center"/>
              <w:rPr>
                <w:lang w:val="es-AR"/>
              </w:rPr>
            </w:pPr>
            <w:r>
              <w:rPr>
                <w:lang w:val="es-AR"/>
              </w:rPr>
              <w:t>853</w:t>
            </w:r>
          </w:p>
        </w:tc>
      </w:tr>
      <w:tr w:rsidR="00860252" w14:paraId="78C7B33C" w14:textId="77777777" w:rsidTr="0079190C">
        <w:trPr>
          <w:trHeight w:val="924"/>
        </w:trPr>
        <w:tc>
          <w:tcPr>
            <w:tcW w:w="3681" w:type="dxa"/>
          </w:tcPr>
          <w:p w14:paraId="757BFF54" w14:textId="77777777" w:rsidR="00860252" w:rsidRDefault="00860252" w:rsidP="0079190C">
            <w:pPr>
              <w:jc w:val="center"/>
              <w:rPr>
                <w:b/>
                <w:bCs/>
                <w:lang w:val="es-AR"/>
              </w:rPr>
            </w:pPr>
            <w:r>
              <w:rPr>
                <w:b/>
                <w:bCs/>
                <w:lang w:val="es-AR"/>
              </w:rPr>
              <w:t>Cantidad de variables limpias y homogeneizadas</w:t>
            </w:r>
          </w:p>
        </w:tc>
        <w:tc>
          <w:tcPr>
            <w:tcW w:w="1984" w:type="dxa"/>
          </w:tcPr>
          <w:p w14:paraId="30FF40D6" w14:textId="77777777" w:rsidR="00860252" w:rsidRPr="00ED1A6D" w:rsidRDefault="00860252" w:rsidP="0079190C">
            <w:pPr>
              <w:jc w:val="center"/>
              <w:rPr>
                <w:lang w:val="es-AR"/>
              </w:rPr>
            </w:pPr>
            <w:r>
              <w:rPr>
                <w:lang w:val="es-AR"/>
              </w:rPr>
              <w:t>185</w:t>
            </w:r>
          </w:p>
        </w:tc>
        <w:tc>
          <w:tcPr>
            <w:tcW w:w="1843" w:type="dxa"/>
          </w:tcPr>
          <w:p w14:paraId="4B672D61" w14:textId="77777777" w:rsidR="00860252" w:rsidRPr="00ED1A6D" w:rsidRDefault="00860252" w:rsidP="0079190C">
            <w:pPr>
              <w:jc w:val="center"/>
              <w:rPr>
                <w:lang w:val="es-AR"/>
              </w:rPr>
            </w:pPr>
            <w:r>
              <w:rPr>
                <w:lang w:val="es-AR"/>
              </w:rPr>
              <w:t>185</w:t>
            </w:r>
          </w:p>
        </w:tc>
        <w:tc>
          <w:tcPr>
            <w:tcW w:w="1843" w:type="dxa"/>
          </w:tcPr>
          <w:p w14:paraId="5044C1B2" w14:textId="77777777" w:rsidR="00860252" w:rsidRPr="00ED1A6D" w:rsidRDefault="00860252" w:rsidP="0079190C">
            <w:pPr>
              <w:jc w:val="center"/>
              <w:rPr>
                <w:lang w:val="es-AR"/>
              </w:rPr>
            </w:pPr>
            <w:r>
              <w:rPr>
                <w:lang w:val="es-AR"/>
              </w:rPr>
              <w:t>185</w:t>
            </w:r>
          </w:p>
        </w:tc>
      </w:tr>
    </w:tbl>
    <w:p w14:paraId="20340261" w14:textId="77777777" w:rsidR="00860252" w:rsidRDefault="00860252" w:rsidP="00860252">
      <w:pPr>
        <w:rPr>
          <w:b/>
          <w:bCs/>
          <w:lang w:val="es-AR"/>
        </w:rPr>
      </w:pPr>
    </w:p>
    <w:p w14:paraId="064C0734" w14:textId="77777777" w:rsidR="00860252" w:rsidRPr="00F069C4" w:rsidRDefault="00860252" w:rsidP="00860252">
      <w:pPr>
        <w:rPr>
          <w:lang w:val="es-AR"/>
        </w:rPr>
      </w:pPr>
      <w:r w:rsidRPr="00F069C4">
        <w:rPr>
          <w:lang w:val="es-AR"/>
        </w:rPr>
        <w:t>La tabla resume las principales características de la base final. Se observa un total de 19.092 observaciones, distribuidas de forma equilibrada entre ambos años. La cantidad de personas ocupadas es considerablemente mayor que la de desocupadas, y la base contiene 185 variables limpias y unificadas, lo que garantiza consistencia para los análisis realizados.</w:t>
      </w:r>
    </w:p>
    <w:p w14:paraId="2DBCFFB4" w14:textId="77777777" w:rsidR="00860252" w:rsidRDefault="00860252" w:rsidP="00860252">
      <w:pPr>
        <w:rPr>
          <w:b/>
          <w:bCs/>
          <w:lang w:val="es-AR"/>
        </w:rPr>
      </w:pPr>
    </w:p>
    <w:p w14:paraId="46AA5D81" w14:textId="77777777" w:rsidR="00860252" w:rsidRDefault="00860252" w:rsidP="00860252">
      <w:pPr>
        <w:rPr>
          <w:b/>
          <w:bCs/>
          <w:lang w:val="es-AR"/>
        </w:rPr>
      </w:pPr>
    </w:p>
    <w:p w14:paraId="10D1F1C9" w14:textId="77777777" w:rsidR="00860252" w:rsidRDefault="00860252" w:rsidP="00860252">
      <w:pPr>
        <w:rPr>
          <w:b/>
          <w:bCs/>
          <w:lang w:val="es-AR"/>
        </w:rPr>
      </w:pPr>
    </w:p>
    <w:p w14:paraId="61357047" w14:textId="77777777" w:rsidR="00860252" w:rsidRDefault="00860252" w:rsidP="00860252">
      <w:pPr>
        <w:rPr>
          <w:b/>
          <w:bCs/>
          <w:lang w:val="es-AR"/>
        </w:rPr>
      </w:pPr>
    </w:p>
    <w:p w14:paraId="5A213FD7" w14:textId="77777777" w:rsidR="00860252" w:rsidRDefault="00860252" w:rsidP="00860252">
      <w:pPr>
        <w:rPr>
          <w:b/>
          <w:bCs/>
          <w:lang w:val="es-AR"/>
        </w:rPr>
      </w:pPr>
    </w:p>
    <w:p w14:paraId="489AF219" w14:textId="77777777" w:rsidR="00860252" w:rsidRDefault="00860252" w:rsidP="00860252">
      <w:pPr>
        <w:rPr>
          <w:b/>
          <w:bCs/>
          <w:lang w:val="es-AR"/>
        </w:rPr>
      </w:pPr>
    </w:p>
    <w:p w14:paraId="7B467E7F" w14:textId="77777777" w:rsidR="00860252" w:rsidRDefault="00860252" w:rsidP="00860252">
      <w:pPr>
        <w:rPr>
          <w:b/>
          <w:bCs/>
          <w:lang w:val="es-AR"/>
        </w:rPr>
      </w:pPr>
    </w:p>
    <w:p w14:paraId="5A6FD109" w14:textId="77777777" w:rsidR="00860252" w:rsidRDefault="00860252" w:rsidP="00860252">
      <w:pPr>
        <w:rPr>
          <w:b/>
          <w:bCs/>
          <w:lang w:val="es-AR"/>
        </w:rPr>
      </w:pPr>
    </w:p>
    <w:p w14:paraId="0EB32CB3" w14:textId="77777777" w:rsidR="00860252" w:rsidRDefault="00860252" w:rsidP="00860252">
      <w:pPr>
        <w:rPr>
          <w:b/>
          <w:bCs/>
          <w:lang w:val="es-AR"/>
        </w:rPr>
      </w:pPr>
    </w:p>
    <w:p w14:paraId="0AC68E1F" w14:textId="77777777" w:rsidR="00860252" w:rsidRDefault="00860252" w:rsidP="00860252">
      <w:pPr>
        <w:jc w:val="center"/>
        <w:rPr>
          <w:b/>
          <w:bCs/>
          <w:lang w:val="es-AR"/>
        </w:rPr>
      </w:pPr>
      <w:r>
        <w:rPr>
          <w:b/>
          <w:bCs/>
          <w:lang w:val="es-AR"/>
        </w:rPr>
        <w:lastRenderedPageBreak/>
        <w:t>PARTE 2</w:t>
      </w:r>
    </w:p>
    <w:p w14:paraId="7E46EC7C" w14:textId="77777777" w:rsidR="00860252" w:rsidRDefault="00860252" w:rsidP="00860252">
      <w:pPr>
        <w:rPr>
          <w:b/>
          <w:bCs/>
          <w:lang w:val="es-AR"/>
        </w:rPr>
      </w:pPr>
      <w:r>
        <w:rPr>
          <w:b/>
          <w:bCs/>
          <w:lang w:val="es-AR"/>
        </w:rPr>
        <w:t xml:space="preserve">Punto 1: Matriz de correlaciones </w:t>
      </w:r>
    </w:p>
    <w:p w14:paraId="01EB5E37" w14:textId="77777777" w:rsidR="00860252" w:rsidRDefault="00860252" w:rsidP="00860252">
      <w:pPr>
        <w:rPr>
          <w:lang w:val="es-AR"/>
        </w:rPr>
      </w:pPr>
      <w:r w:rsidRPr="00DA5359">
        <w:rPr>
          <w:lang w:val="es-AR"/>
        </w:rPr>
        <w:drawing>
          <wp:inline distT="0" distB="0" distL="0" distR="0" wp14:anchorId="2D7DD1CE" wp14:editId="4EE69651">
            <wp:extent cx="4653366" cy="3952875"/>
            <wp:effectExtent l="0" t="0" r="0" b="0"/>
            <wp:docPr id="672163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63518" name=""/>
                    <pic:cNvPicPr/>
                  </pic:nvPicPr>
                  <pic:blipFill>
                    <a:blip r:embed="rId11"/>
                    <a:stretch>
                      <a:fillRect/>
                    </a:stretch>
                  </pic:blipFill>
                  <pic:spPr>
                    <a:xfrm>
                      <a:off x="0" y="0"/>
                      <a:ext cx="4665274" cy="3962991"/>
                    </a:xfrm>
                    <a:prstGeom prst="rect">
                      <a:avLst/>
                    </a:prstGeom>
                  </pic:spPr>
                </pic:pic>
              </a:graphicData>
            </a:graphic>
          </wp:inline>
        </w:drawing>
      </w:r>
    </w:p>
    <w:p w14:paraId="3D8A1F8D" w14:textId="77777777" w:rsidR="00860252" w:rsidRDefault="00860252" w:rsidP="00860252">
      <w:pPr>
        <w:rPr>
          <w:lang w:val="es-AR"/>
        </w:rPr>
      </w:pPr>
      <w:r w:rsidRPr="00DA5359">
        <w:rPr>
          <w:lang w:val="es-AR"/>
        </w:rPr>
        <w:t xml:space="preserve">Se destaca la alta correlación entre </w:t>
      </w:r>
      <w:r w:rsidRPr="00DA5359">
        <w:rPr>
          <w:b/>
          <w:bCs/>
          <w:i/>
          <w:iCs/>
          <w:lang w:val="es-AR"/>
        </w:rPr>
        <w:t>“CH06</w:t>
      </w:r>
      <w:r>
        <w:rPr>
          <w:b/>
          <w:bCs/>
          <w:i/>
          <w:iCs/>
          <w:lang w:val="es-AR"/>
        </w:rPr>
        <w:t>”</w:t>
      </w:r>
      <w:r w:rsidRPr="00DA5359">
        <w:rPr>
          <w:lang w:val="es-AR"/>
        </w:rPr>
        <w:t xml:space="preserve"> (edad) y</w:t>
      </w:r>
      <w:r>
        <w:rPr>
          <w:lang w:val="es-AR"/>
        </w:rPr>
        <w:t xml:space="preserve"> </w:t>
      </w:r>
      <w:r w:rsidRPr="00DA5359">
        <w:rPr>
          <w:b/>
          <w:bCs/>
          <w:i/>
          <w:iCs/>
          <w:lang w:val="es-AR"/>
        </w:rPr>
        <w:t>“</w:t>
      </w:r>
      <w:r>
        <w:rPr>
          <w:b/>
          <w:bCs/>
          <w:i/>
          <w:iCs/>
          <w:lang w:val="es-AR"/>
        </w:rPr>
        <w:t>edad2”</w:t>
      </w:r>
      <w:r w:rsidRPr="00DA5359">
        <w:rPr>
          <w:lang w:val="es-AR"/>
        </w:rPr>
        <w:t xml:space="preserve">, lo cual es esperable ya que una es el cuadrado de la otra. También se observa una correlación moderada entre </w:t>
      </w:r>
      <w:r w:rsidRPr="00DA5359">
        <w:rPr>
          <w:b/>
          <w:bCs/>
          <w:i/>
          <w:iCs/>
          <w:lang w:val="es-AR"/>
        </w:rPr>
        <w:t>“</w:t>
      </w:r>
      <w:r>
        <w:rPr>
          <w:b/>
          <w:bCs/>
          <w:i/>
          <w:iCs/>
          <w:lang w:val="es-AR"/>
        </w:rPr>
        <w:t>salario semanal”</w:t>
      </w:r>
      <w:r w:rsidRPr="00DA5359">
        <w:rPr>
          <w:lang w:val="es-AR"/>
        </w:rPr>
        <w:t xml:space="preserve"> y </w:t>
      </w:r>
      <w:r w:rsidRPr="00DA5359">
        <w:rPr>
          <w:b/>
          <w:bCs/>
          <w:i/>
          <w:iCs/>
          <w:lang w:val="es-AR"/>
        </w:rPr>
        <w:t>“</w:t>
      </w:r>
      <w:proofErr w:type="spellStart"/>
      <w:r>
        <w:rPr>
          <w:b/>
          <w:bCs/>
          <w:i/>
          <w:iCs/>
          <w:lang w:val="es-AR"/>
        </w:rPr>
        <w:t>horastrab</w:t>
      </w:r>
      <w:proofErr w:type="spellEnd"/>
      <w:r>
        <w:rPr>
          <w:b/>
          <w:bCs/>
          <w:i/>
          <w:iCs/>
          <w:lang w:val="es-AR"/>
        </w:rPr>
        <w:t>”</w:t>
      </w:r>
      <w:r w:rsidRPr="00DA5359">
        <w:rPr>
          <w:lang w:val="es-AR"/>
        </w:rPr>
        <w:t xml:space="preserve"> (0.50), lo que indica que quienes trabajan más horas tienden a percibir mayores ingresos. En cambio, la variable </w:t>
      </w:r>
      <w:r w:rsidRPr="00DA5359">
        <w:rPr>
          <w:b/>
          <w:bCs/>
          <w:i/>
          <w:iCs/>
          <w:lang w:val="es-AR"/>
        </w:rPr>
        <w:t>“</w:t>
      </w:r>
      <w:proofErr w:type="spellStart"/>
      <w:r>
        <w:rPr>
          <w:b/>
          <w:bCs/>
          <w:i/>
          <w:iCs/>
          <w:lang w:val="es-AR"/>
        </w:rPr>
        <w:t>educ</w:t>
      </w:r>
      <w:proofErr w:type="spellEnd"/>
      <w:r>
        <w:rPr>
          <w:b/>
          <w:bCs/>
          <w:i/>
          <w:iCs/>
          <w:lang w:val="es-AR"/>
        </w:rPr>
        <w:t>”</w:t>
      </w:r>
      <w:r w:rsidRPr="00DA5359">
        <w:rPr>
          <w:lang w:val="es-AR"/>
        </w:rPr>
        <w:t xml:space="preserve"> presenta correlaciones débiles con las demás, lo que sugiere que su comportamiento</w:t>
      </w:r>
      <w:r>
        <w:rPr>
          <w:lang w:val="es-AR"/>
        </w:rPr>
        <w:t xml:space="preserve"> es independiente, </w:t>
      </w:r>
      <w:r w:rsidRPr="00DA5359">
        <w:rPr>
          <w:lang w:val="es-AR"/>
        </w:rPr>
        <w:t>podría aportar información diferenciada en los análisis posteriores.</w:t>
      </w:r>
    </w:p>
    <w:p w14:paraId="76E92735" w14:textId="77777777" w:rsidR="00860252" w:rsidRDefault="00860252" w:rsidP="00860252">
      <w:pPr>
        <w:rPr>
          <w:lang w:val="es-AR"/>
        </w:rPr>
      </w:pPr>
    </w:p>
    <w:p w14:paraId="69921BEE" w14:textId="77777777" w:rsidR="00860252" w:rsidRDefault="00860252" w:rsidP="00860252">
      <w:pPr>
        <w:rPr>
          <w:b/>
          <w:bCs/>
          <w:i/>
          <w:iCs/>
          <w:u w:val="single"/>
          <w:lang w:val="es-AR"/>
        </w:rPr>
      </w:pPr>
    </w:p>
    <w:p w14:paraId="25466715" w14:textId="77777777" w:rsidR="00860252" w:rsidRDefault="00860252" w:rsidP="00860252">
      <w:pPr>
        <w:rPr>
          <w:b/>
          <w:bCs/>
          <w:i/>
          <w:iCs/>
          <w:u w:val="single"/>
          <w:lang w:val="es-AR"/>
        </w:rPr>
      </w:pPr>
    </w:p>
    <w:p w14:paraId="18ED6081" w14:textId="77777777" w:rsidR="00860252" w:rsidRDefault="00860252" w:rsidP="00860252">
      <w:pPr>
        <w:rPr>
          <w:b/>
          <w:bCs/>
          <w:i/>
          <w:iCs/>
          <w:u w:val="single"/>
          <w:lang w:val="es-AR"/>
        </w:rPr>
      </w:pPr>
    </w:p>
    <w:p w14:paraId="659C0077" w14:textId="77777777" w:rsidR="00860252" w:rsidRDefault="00860252" w:rsidP="00860252">
      <w:pPr>
        <w:rPr>
          <w:b/>
          <w:bCs/>
          <w:i/>
          <w:iCs/>
          <w:u w:val="single"/>
          <w:lang w:val="es-AR"/>
        </w:rPr>
      </w:pPr>
    </w:p>
    <w:p w14:paraId="2CCAB9A3" w14:textId="77777777" w:rsidR="00860252" w:rsidRDefault="00860252" w:rsidP="00860252">
      <w:pPr>
        <w:rPr>
          <w:b/>
          <w:bCs/>
          <w:i/>
          <w:iCs/>
          <w:u w:val="single"/>
          <w:lang w:val="es-AR"/>
        </w:rPr>
      </w:pPr>
    </w:p>
    <w:p w14:paraId="784064F9" w14:textId="77777777" w:rsidR="00860252" w:rsidRDefault="00860252" w:rsidP="00860252">
      <w:pPr>
        <w:rPr>
          <w:b/>
          <w:bCs/>
          <w:i/>
          <w:iCs/>
          <w:u w:val="single"/>
          <w:lang w:val="es-AR"/>
        </w:rPr>
      </w:pPr>
    </w:p>
    <w:p w14:paraId="596E9E97" w14:textId="77777777" w:rsidR="00860252" w:rsidRPr="00D33E54" w:rsidRDefault="00860252" w:rsidP="00860252">
      <w:pPr>
        <w:pStyle w:val="Prrafodelista"/>
        <w:numPr>
          <w:ilvl w:val="0"/>
          <w:numId w:val="1"/>
        </w:numPr>
        <w:rPr>
          <w:b/>
          <w:bCs/>
          <w:i/>
          <w:iCs/>
          <w:u w:val="single"/>
          <w:lang w:val="es-AR"/>
        </w:rPr>
      </w:pPr>
      <w:r w:rsidRPr="00D33E54">
        <w:rPr>
          <w:b/>
          <w:bCs/>
          <w:i/>
          <w:iCs/>
          <w:u w:val="single"/>
          <w:lang w:val="es-AR"/>
        </w:rPr>
        <w:lastRenderedPageBreak/>
        <w:t>PCA</w:t>
      </w:r>
    </w:p>
    <w:p w14:paraId="03C6E3B2" w14:textId="77777777" w:rsidR="00860252" w:rsidRDefault="00860252" w:rsidP="00860252">
      <w:pPr>
        <w:rPr>
          <w:b/>
          <w:bCs/>
          <w:lang w:val="es-AR"/>
        </w:rPr>
      </w:pPr>
      <w:r>
        <w:rPr>
          <w:b/>
          <w:bCs/>
          <w:lang w:val="es-AR"/>
        </w:rPr>
        <w:t xml:space="preserve">Punto 2: </w:t>
      </w:r>
      <w:proofErr w:type="spellStart"/>
      <w:r>
        <w:rPr>
          <w:b/>
          <w:bCs/>
          <w:lang w:val="es-AR"/>
        </w:rPr>
        <w:t>Indices</w:t>
      </w:r>
      <w:proofErr w:type="spellEnd"/>
      <w:r>
        <w:rPr>
          <w:b/>
          <w:bCs/>
          <w:lang w:val="es-AR"/>
        </w:rPr>
        <w:t xml:space="preserve"> (scores)</w:t>
      </w:r>
      <w:r w:rsidRPr="00443704">
        <w:rPr>
          <w:b/>
          <w:bCs/>
          <w:lang w:val="es-AR"/>
        </w:rPr>
        <w:drawing>
          <wp:inline distT="0" distB="0" distL="0" distR="0" wp14:anchorId="7F217587" wp14:editId="41A6CB4E">
            <wp:extent cx="5943600" cy="3541395"/>
            <wp:effectExtent l="0" t="0" r="0" b="1905"/>
            <wp:docPr id="512133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33239" name=""/>
                    <pic:cNvPicPr/>
                  </pic:nvPicPr>
                  <pic:blipFill>
                    <a:blip r:embed="rId12"/>
                    <a:stretch>
                      <a:fillRect/>
                    </a:stretch>
                  </pic:blipFill>
                  <pic:spPr>
                    <a:xfrm>
                      <a:off x="0" y="0"/>
                      <a:ext cx="5943600" cy="3541395"/>
                    </a:xfrm>
                    <a:prstGeom prst="rect">
                      <a:avLst/>
                    </a:prstGeom>
                  </pic:spPr>
                </pic:pic>
              </a:graphicData>
            </a:graphic>
          </wp:inline>
        </w:drawing>
      </w:r>
    </w:p>
    <w:p w14:paraId="0019D92B" w14:textId="77777777" w:rsidR="00860252" w:rsidRDefault="00860252" w:rsidP="00860252">
      <w:pPr>
        <w:rPr>
          <w:lang w:val="es-AR"/>
        </w:rPr>
      </w:pPr>
      <w:r w:rsidRPr="00443704">
        <w:rPr>
          <w:lang w:val="es-AR"/>
        </w:rPr>
        <w:t>El gráfico muestra la distribución de los datos en el espacio de los dos primeros componentes principales. Se observa una alta concentración en valores bajos de ambos ejes, con algunos casos dispersos. Esto sugiere cierta estructura en los datos que podría ser aprovechada por técnicas de agrupamiento.</w:t>
      </w:r>
    </w:p>
    <w:p w14:paraId="7AACEE41" w14:textId="77777777" w:rsidR="00860252" w:rsidRDefault="00860252" w:rsidP="00860252">
      <w:pPr>
        <w:rPr>
          <w:lang w:val="es-AR"/>
        </w:rPr>
      </w:pPr>
    </w:p>
    <w:p w14:paraId="573D3730" w14:textId="77777777" w:rsidR="00860252" w:rsidRDefault="00860252" w:rsidP="00860252">
      <w:pPr>
        <w:rPr>
          <w:b/>
          <w:bCs/>
          <w:lang w:val="es-AR"/>
        </w:rPr>
      </w:pPr>
    </w:p>
    <w:p w14:paraId="627B1290" w14:textId="77777777" w:rsidR="00860252" w:rsidRDefault="00860252" w:rsidP="00860252">
      <w:pPr>
        <w:rPr>
          <w:b/>
          <w:bCs/>
          <w:lang w:val="es-AR"/>
        </w:rPr>
      </w:pPr>
    </w:p>
    <w:p w14:paraId="26840E42" w14:textId="77777777" w:rsidR="00860252" w:rsidRDefault="00860252" w:rsidP="00860252">
      <w:pPr>
        <w:rPr>
          <w:b/>
          <w:bCs/>
          <w:lang w:val="es-AR"/>
        </w:rPr>
      </w:pPr>
    </w:p>
    <w:p w14:paraId="3323BBB1" w14:textId="77777777" w:rsidR="00860252" w:rsidRDefault="00860252" w:rsidP="00860252">
      <w:pPr>
        <w:rPr>
          <w:b/>
          <w:bCs/>
          <w:lang w:val="es-AR"/>
        </w:rPr>
      </w:pPr>
    </w:p>
    <w:p w14:paraId="7CE4343D" w14:textId="77777777" w:rsidR="00860252" w:rsidRDefault="00860252" w:rsidP="00860252">
      <w:pPr>
        <w:rPr>
          <w:b/>
          <w:bCs/>
          <w:lang w:val="es-AR"/>
        </w:rPr>
      </w:pPr>
    </w:p>
    <w:p w14:paraId="59B4F82D" w14:textId="77777777" w:rsidR="00860252" w:rsidRDefault="00860252" w:rsidP="00860252">
      <w:pPr>
        <w:rPr>
          <w:b/>
          <w:bCs/>
          <w:lang w:val="es-AR"/>
        </w:rPr>
      </w:pPr>
    </w:p>
    <w:p w14:paraId="0EA1C578" w14:textId="77777777" w:rsidR="00860252" w:rsidRDefault="00860252" w:rsidP="00860252">
      <w:pPr>
        <w:rPr>
          <w:b/>
          <w:bCs/>
          <w:lang w:val="es-AR"/>
        </w:rPr>
      </w:pPr>
    </w:p>
    <w:p w14:paraId="6F214E61" w14:textId="77777777" w:rsidR="00860252" w:rsidRDefault="00860252" w:rsidP="00860252">
      <w:pPr>
        <w:rPr>
          <w:b/>
          <w:bCs/>
          <w:lang w:val="es-AR"/>
        </w:rPr>
      </w:pPr>
    </w:p>
    <w:p w14:paraId="6BC8CB82" w14:textId="77777777" w:rsidR="00860252" w:rsidRDefault="00860252" w:rsidP="00860252">
      <w:pPr>
        <w:rPr>
          <w:b/>
          <w:bCs/>
          <w:lang w:val="es-AR"/>
        </w:rPr>
      </w:pPr>
    </w:p>
    <w:p w14:paraId="11342634" w14:textId="77777777" w:rsidR="00860252" w:rsidRDefault="00860252" w:rsidP="00860252">
      <w:pPr>
        <w:rPr>
          <w:b/>
          <w:bCs/>
          <w:lang w:val="es-AR"/>
        </w:rPr>
      </w:pPr>
      <w:r>
        <w:rPr>
          <w:b/>
          <w:bCs/>
          <w:lang w:val="es-AR"/>
        </w:rPr>
        <w:lastRenderedPageBreak/>
        <w:t xml:space="preserve">Punto 3: </w:t>
      </w:r>
    </w:p>
    <w:p w14:paraId="18AA42A1" w14:textId="77777777" w:rsidR="00860252" w:rsidRDefault="00860252" w:rsidP="00860252">
      <w:pPr>
        <w:rPr>
          <w:b/>
          <w:bCs/>
          <w:lang w:val="es-AR"/>
        </w:rPr>
      </w:pPr>
      <w:r w:rsidRPr="001A1FC9">
        <w:rPr>
          <w:b/>
          <w:bCs/>
          <w:lang w:val="es-AR"/>
        </w:rPr>
        <w:drawing>
          <wp:inline distT="0" distB="0" distL="0" distR="0" wp14:anchorId="36D25491" wp14:editId="3E03015D">
            <wp:extent cx="5943600" cy="4388485"/>
            <wp:effectExtent l="0" t="0" r="0" b="0"/>
            <wp:docPr id="1463577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77641" name=""/>
                    <pic:cNvPicPr/>
                  </pic:nvPicPr>
                  <pic:blipFill>
                    <a:blip r:embed="rId13"/>
                    <a:stretch>
                      <a:fillRect/>
                    </a:stretch>
                  </pic:blipFill>
                  <pic:spPr>
                    <a:xfrm>
                      <a:off x="0" y="0"/>
                      <a:ext cx="5943600" cy="4388485"/>
                    </a:xfrm>
                    <a:prstGeom prst="rect">
                      <a:avLst/>
                    </a:prstGeom>
                  </pic:spPr>
                </pic:pic>
              </a:graphicData>
            </a:graphic>
          </wp:inline>
        </w:drawing>
      </w:r>
    </w:p>
    <w:p w14:paraId="56CAD4A2" w14:textId="77777777" w:rsidR="00860252" w:rsidRDefault="00860252" w:rsidP="00860252">
      <w:pPr>
        <w:rPr>
          <w:lang w:val="es-AR"/>
        </w:rPr>
      </w:pPr>
      <w:r w:rsidRPr="001A1FC9">
        <w:rPr>
          <w:lang w:val="es-AR"/>
        </w:rPr>
        <w:t xml:space="preserve">El gráfico muestra la contribución de cada variable a los dos primeros componentes principales. </w:t>
      </w:r>
      <w:r>
        <w:rPr>
          <w:b/>
          <w:bCs/>
          <w:i/>
          <w:iCs/>
          <w:lang w:val="es-AR"/>
        </w:rPr>
        <w:t>“</w:t>
      </w:r>
      <w:proofErr w:type="spellStart"/>
      <w:r>
        <w:rPr>
          <w:b/>
          <w:bCs/>
          <w:i/>
          <w:iCs/>
          <w:lang w:val="es-AR"/>
        </w:rPr>
        <w:t>horastrab</w:t>
      </w:r>
      <w:proofErr w:type="spellEnd"/>
      <w:r>
        <w:rPr>
          <w:b/>
          <w:bCs/>
          <w:i/>
          <w:iCs/>
          <w:lang w:val="es-AR"/>
        </w:rPr>
        <w:t>”</w:t>
      </w:r>
      <w:r w:rsidRPr="001A1FC9">
        <w:rPr>
          <w:lang w:val="es-AR"/>
        </w:rPr>
        <w:t xml:space="preserve"> y </w:t>
      </w:r>
      <w:r>
        <w:rPr>
          <w:b/>
          <w:bCs/>
          <w:i/>
          <w:iCs/>
          <w:lang w:val="es-AR"/>
        </w:rPr>
        <w:t>“</w:t>
      </w:r>
      <w:proofErr w:type="spellStart"/>
      <w:r>
        <w:rPr>
          <w:b/>
          <w:bCs/>
          <w:i/>
          <w:iCs/>
          <w:lang w:val="es-AR"/>
        </w:rPr>
        <w:t>salario_semanal</w:t>
      </w:r>
      <w:proofErr w:type="spellEnd"/>
      <w:r>
        <w:rPr>
          <w:b/>
          <w:bCs/>
          <w:i/>
          <w:iCs/>
          <w:lang w:val="es-AR"/>
        </w:rPr>
        <w:t xml:space="preserve">” </w:t>
      </w:r>
      <w:r w:rsidRPr="001A1FC9">
        <w:rPr>
          <w:lang w:val="es-AR"/>
        </w:rPr>
        <w:t xml:space="preserve">tienen mayor peso en el componente 1, mientras que </w:t>
      </w:r>
      <w:r>
        <w:rPr>
          <w:b/>
          <w:bCs/>
          <w:i/>
          <w:iCs/>
          <w:lang w:val="es-AR"/>
        </w:rPr>
        <w:t>“edad”</w:t>
      </w:r>
      <w:r w:rsidRPr="001A1FC9">
        <w:rPr>
          <w:lang w:val="es-AR"/>
        </w:rPr>
        <w:t xml:space="preserve"> y </w:t>
      </w:r>
      <w:r>
        <w:rPr>
          <w:b/>
          <w:bCs/>
          <w:i/>
          <w:iCs/>
          <w:lang w:val="es-AR"/>
        </w:rPr>
        <w:t>“edad2”</w:t>
      </w:r>
      <w:r w:rsidRPr="001A1FC9">
        <w:rPr>
          <w:lang w:val="es-AR"/>
        </w:rPr>
        <w:t xml:space="preserve"> se alinean más con el componente 2. La variable </w:t>
      </w:r>
      <w:r>
        <w:rPr>
          <w:b/>
          <w:bCs/>
          <w:i/>
          <w:iCs/>
          <w:lang w:val="es-AR"/>
        </w:rPr>
        <w:t>“</w:t>
      </w:r>
      <w:proofErr w:type="spellStart"/>
      <w:r>
        <w:rPr>
          <w:b/>
          <w:bCs/>
          <w:i/>
          <w:iCs/>
          <w:lang w:val="es-AR"/>
        </w:rPr>
        <w:t>educ</w:t>
      </w:r>
      <w:proofErr w:type="spellEnd"/>
      <w:r>
        <w:rPr>
          <w:b/>
          <w:bCs/>
          <w:i/>
          <w:iCs/>
          <w:lang w:val="es-AR"/>
        </w:rPr>
        <w:t>”</w:t>
      </w:r>
      <w:r w:rsidRPr="001A1FC9">
        <w:rPr>
          <w:lang w:val="es-AR"/>
        </w:rPr>
        <w:t xml:space="preserve"> aporta en menor medida a ambos componentes, reforzando su comportamiento independiente observado en la matriz de correlación.</w:t>
      </w:r>
    </w:p>
    <w:p w14:paraId="3E4C22E5" w14:textId="77777777" w:rsidR="00860252" w:rsidRDefault="00860252" w:rsidP="00860252">
      <w:pPr>
        <w:rPr>
          <w:lang w:val="es-AR"/>
        </w:rPr>
      </w:pPr>
    </w:p>
    <w:p w14:paraId="09E36F14" w14:textId="77777777" w:rsidR="00860252" w:rsidRDefault="00860252" w:rsidP="00860252">
      <w:pPr>
        <w:rPr>
          <w:b/>
          <w:bCs/>
          <w:lang w:val="es-AR"/>
        </w:rPr>
      </w:pPr>
    </w:p>
    <w:p w14:paraId="75291B78" w14:textId="77777777" w:rsidR="00860252" w:rsidRDefault="00860252" w:rsidP="00860252">
      <w:pPr>
        <w:rPr>
          <w:b/>
          <w:bCs/>
          <w:lang w:val="es-AR"/>
        </w:rPr>
      </w:pPr>
    </w:p>
    <w:p w14:paraId="450FB631" w14:textId="77777777" w:rsidR="00860252" w:rsidRDefault="00860252" w:rsidP="00860252">
      <w:pPr>
        <w:rPr>
          <w:b/>
          <w:bCs/>
          <w:lang w:val="es-AR"/>
        </w:rPr>
      </w:pPr>
    </w:p>
    <w:p w14:paraId="06CD495A" w14:textId="77777777" w:rsidR="00860252" w:rsidRDefault="00860252" w:rsidP="00860252">
      <w:pPr>
        <w:rPr>
          <w:b/>
          <w:bCs/>
          <w:lang w:val="es-AR"/>
        </w:rPr>
      </w:pPr>
    </w:p>
    <w:p w14:paraId="0C83A31E" w14:textId="77777777" w:rsidR="00860252" w:rsidRDefault="00860252" w:rsidP="00860252">
      <w:pPr>
        <w:rPr>
          <w:b/>
          <w:bCs/>
          <w:lang w:val="es-AR"/>
        </w:rPr>
      </w:pPr>
    </w:p>
    <w:p w14:paraId="311569D3" w14:textId="77777777" w:rsidR="00860252" w:rsidRDefault="00860252" w:rsidP="00860252">
      <w:pPr>
        <w:rPr>
          <w:b/>
          <w:bCs/>
          <w:lang w:val="es-AR"/>
        </w:rPr>
      </w:pPr>
    </w:p>
    <w:p w14:paraId="1D8998C6" w14:textId="77777777" w:rsidR="00860252" w:rsidRDefault="00860252" w:rsidP="00860252">
      <w:pPr>
        <w:rPr>
          <w:b/>
          <w:bCs/>
          <w:lang w:val="es-AR"/>
        </w:rPr>
      </w:pPr>
      <w:r>
        <w:rPr>
          <w:b/>
          <w:bCs/>
          <w:lang w:val="es-AR"/>
        </w:rPr>
        <w:lastRenderedPageBreak/>
        <w:t>Punto 4:</w:t>
      </w:r>
    </w:p>
    <w:p w14:paraId="42B6A498" w14:textId="77777777" w:rsidR="00860252" w:rsidRDefault="00860252" w:rsidP="00860252">
      <w:pPr>
        <w:rPr>
          <w:b/>
          <w:bCs/>
          <w:lang w:val="es-AR"/>
        </w:rPr>
      </w:pPr>
      <w:r w:rsidRPr="001A1FC9">
        <w:rPr>
          <w:b/>
          <w:bCs/>
          <w:lang w:val="es-AR"/>
        </w:rPr>
        <w:drawing>
          <wp:inline distT="0" distB="0" distL="0" distR="0" wp14:anchorId="14581997" wp14:editId="12DA704D">
            <wp:extent cx="5943600" cy="3676015"/>
            <wp:effectExtent l="0" t="0" r="0" b="635"/>
            <wp:docPr id="826518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18351" name=""/>
                    <pic:cNvPicPr/>
                  </pic:nvPicPr>
                  <pic:blipFill>
                    <a:blip r:embed="rId14"/>
                    <a:stretch>
                      <a:fillRect/>
                    </a:stretch>
                  </pic:blipFill>
                  <pic:spPr>
                    <a:xfrm>
                      <a:off x="0" y="0"/>
                      <a:ext cx="5943600" cy="3676015"/>
                    </a:xfrm>
                    <a:prstGeom prst="rect">
                      <a:avLst/>
                    </a:prstGeom>
                  </pic:spPr>
                </pic:pic>
              </a:graphicData>
            </a:graphic>
          </wp:inline>
        </w:drawing>
      </w:r>
    </w:p>
    <w:p w14:paraId="73D52BB0" w14:textId="77777777" w:rsidR="00860252" w:rsidRDefault="00860252" w:rsidP="00860252">
      <w:pPr>
        <w:rPr>
          <w:lang w:val="es-AR"/>
        </w:rPr>
      </w:pPr>
      <w:r w:rsidRPr="001A1FC9">
        <w:rPr>
          <w:lang w:val="es-AR"/>
        </w:rPr>
        <w:t>El gráfico muestra que los dos primeros componentes explican aproximadamente el 73% de la varianza total, mientras que con tres componentes se alcanza el 90%. A partir del cuarto componente, el aporte marginal disminuye notablemente. Esto sugiere que los primeros dos o tres componentes concentran la mayor parte de la información relevante.</w:t>
      </w:r>
    </w:p>
    <w:p w14:paraId="53FA0249" w14:textId="77777777" w:rsidR="009522CC" w:rsidRPr="00860252" w:rsidRDefault="009522CC">
      <w:pPr>
        <w:rPr>
          <w:lang w:val="es-AR"/>
        </w:rPr>
      </w:pPr>
    </w:p>
    <w:sectPr w:rsidR="009522CC" w:rsidRPr="008602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ma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D74916"/>
    <w:multiLevelType w:val="hybridMultilevel"/>
    <w:tmpl w:val="B81CABEA"/>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40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52"/>
    <w:rsid w:val="000E3665"/>
    <w:rsid w:val="00297C79"/>
    <w:rsid w:val="007E4E45"/>
    <w:rsid w:val="00860252"/>
    <w:rsid w:val="009522CC"/>
    <w:rsid w:val="00CF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2FEA"/>
  <w15:chartTrackingRefBased/>
  <w15:docId w15:val="{74E5B486-67AB-4367-AF08-57EB3F8F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252"/>
  </w:style>
  <w:style w:type="paragraph" w:styleId="Ttulo1">
    <w:name w:val="heading 1"/>
    <w:basedOn w:val="Normal"/>
    <w:next w:val="Normal"/>
    <w:link w:val="Ttulo1Car"/>
    <w:uiPriority w:val="9"/>
    <w:qFormat/>
    <w:rsid w:val="008602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602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6025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6025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6025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602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602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602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602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025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6025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6025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6025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6025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602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602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602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60252"/>
    <w:rPr>
      <w:rFonts w:eastAsiaTheme="majorEastAsia" w:cstheme="majorBidi"/>
      <w:color w:val="272727" w:themeColor="text1" w:themeTint="D8"/>
    </w:rPr>
  </w:style>
  <w:style w:type="paragraph" w:styleId="Ttulo">
    <w:name w:val="Title"/>
    <w:basedOn w:val="Normal"/>
    <w:next w:val="Normal"/>
    <w:link w:val="TtuloCar"/>
    <w:uiPriority w:val="10"/>
    <w:qFormat/>
    <w:rsid w:val="00860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02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602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602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60252"/>
    <w:pPr>
      <w:spacing w:before="160"/>
      <w:jc w:val="center"/>
    </w:pPr>
    <w:rPr>
      <w:i/>
      <w:iCs/>
      <w:color w:val="404040" w:themeColor="text1" w:themeTint="BF"/>
    </w:rPr>
  </w:style>
  <w:style w:type="character" w:customStyle="1" w:styleId="CitaCar">
    <w:name w:val="Cita Car"/>
    <w:basedOn w:val="Fuentedeprrafopredeter"/>
    <w:link w:val="Cita"/>
    <w:uiPriority w:val="29"/>
    <w:rsid w:val="00860252"/>
    <w:rPr>
      <w:i/>
      <w:iCs/>
      <w:color w:val="404040" w:themeColor="text1" w:themeTint="BF"/>
    </w:rPr>
  </w:style>
  <w:style w:type="paragraph" w:styleId="Prrafodelista">
    <w:name w:val="List Paragraph"/>
    <w:basedOn w:val="Normal"/>
    <w:uiPriority w:val="34"/>
    <w:qFormat/>
    <w:rsid w:val="00860252"/>
    <w:pPr>
      <w:ind w:left="720"/>
      <w:contextualSpacing/>
    </w:pPr>
  </w:style>
  <w:style w:type="character" w:styleId="nfasisintenso">
    <w:name w:val="Intense Emphasis"/>
    <w:basedOn w:val="Fuentedeprrafopredeter"/>
    <w:uiPriority w:val="21"/>
    <w:qFormat/>
    <w:rsid w:val="00860252"/>
    <w:rPr>
      <w:i/>
      <w:iCs/>
      <w:color w:val="2F5496" w:themeColor="accent1" w:themeShade="BF"/>
    </w:rPr>
  </w:style>
  <w:style w:type="paragraph" w:styleId="Citadestacada">
    <w:name w:val="Intense Quote"/>
    <w:basedOn w:val="Normal"/>
    <w:next w:val="Normal"/>
    <w:link w:val="CitadestacadaCar"/>
    <w:uiPriority w:val="30"/>
    <w:qFormat/>
    <w:rsid w:val="008602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60252"/>
    <w:rPr>
      <w:i/>
      <w:iCs/>
      <w:color w:val="2F5496" w:themeColor="accent1" w:themeShade="BF"/>
    </w:rPr>
  </w:style>
  <w:style w:type="character" w:styleId="Referenciaintensa">
    <w:name w:val="Intense Reference"/>
    <w:basedOn w:val="Fuentedeprrafopredeter"/>
    <w:uiPriority w:val="32"/>
    <w:qFormat/>
    <w:rsid w:val="00860252"/>
    <w:rPr>
      <w:b/>
      <w:bCs/>
      <w:smallCaps/>
      <w:color w:val="2F5496" w:themeColor="accent1" w:themeShade="BF"/>
      <w:spacing w:val="5"/>
    </w:rPr>
  </w:style>
  <w:style w:type="table" w:styleId="Tablaconcuadrcula">
    <w:name w:val="Table Grid"/>
    <w:basedOn w:val="Tablanormal"/>
    <w:uiPriority w:val="39"/>
    <w:rsid w:val="00860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bustingorry</dc:creator>
  <cp:keywords/>
  <dc:description/>
  <cp:lastModifiedBy>lautaro bustingorry</cp:lastModifiedBy>
  <cp:revision>2</cp:revision>
  <dcterms:created xsi:type="dcterms:W3CDTF">2025-05-13T16:05:00Z</dcterms:created>
  <dcterms:modified xsi:type="dcterms:W3CDTF">2025-05-13T16:05:00Z</dcterms:modified>
</cp:coreProperties>
</file>