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51164" w14:textId="77777777" w:rsidR="006A5AA1" w:rsidRPr="006A5AA1" w:rsidRDefault="006A5AA1" w:rsidP="006A5AA1">
      <w:pPr>
        <w:rPr>
          <w:b/>
          <w:bCs/>
        </w:rPr>
      </w:pPr>
      <w:r w:rsidRPr="006A5AA1">
        <w:rPr>
          <w:b/>
          <w:bCs/>
        </w:rPr>
        <w:t>8. Inteligencia artificial en educación en América Latina</w:t>
      </w:r>
    </w:p>
    <w:p w14:paraId="6B090E2E" w14:textId="77777777" w:rsidR="006A5AA1" w:rsidRPr="006A5AA1" w:rsidRDefault="006A5AA1" w:rsidP="006A5AA1">
      <w:r w:rsidRPr="006A5AA1">
        <w:t>La incorporación de inteligencia artificial en los sistemas educativos ha comenzado a expandirse también en América Latina, aunque de forma desigual y aún incipiente en comparación con otras regiones del mundo. Diversos informes internacionales señalan que la región enfrenta importantes desafíos relacionados con infraestructura digital, conectividad, formación docente y desarrollo de capacidades tecnológicas. Sin embargo, al mismo tiempo, se observa un creciente interés por explorar el potencial de la inteligencia artificial para mejorar procesos educativos, ampliar el acceso al conocimiento y fortalecer la innovación pedagógica.</w:t>
      </w:r>
    </w:p>
    <w:p w14:paraId="5571E748" w14:textId="77777777" w:rsidR="006A5AA1" w:rsidRPr="006A5AA1" w:rsidRDefault="006A5AA1" w:rsidP="006A5AA1">
      <w:r w:rsidRPr="006A5AA1">
        <w:t>Organismos internacionales como la UNESCO han destacado que la inteligencia artificial tiene el potencial de contribuir a la personalización del aprendizaje, al análisis de datos educativos y al desarrollo de recursos didácticos adaptativos. No obstante, estas mismas organizaciones advierten que la adopción de tecnologías de inteligencia artificial en educación debe abordarse con cautela, ya que puede ampliar desigualdades existentes si no se implementa dentro de marcos éticos y políticas públicas orientadas a la inclusión y la equidad.</w:t>
      </w:r>
    </w:p>
    <w:p w14:paraId="0DC296A4" w14:textId="77777777" w:rsidR="006A5AA1" w:rsidRPr="006A5AA1" w:rsidRDefault="006A5AA1" w:rsidP="006A5AA1">
      <w:r w:rsidRPr="006A5AA1">
        <w:t>En el caso latinoamericano, esta advertencia resulta especialmente relevante. La región se caracteriza por una marcada heterogeneidad cultural, lingüística y socioeconómica. Numerosos países cuentan con poblaciones indígenas que hablan múltiples lenguas originarias y poseen sistemas de conocimiento propios que históricamente han sido marginalizados en las estructuras educativas formales. En este contexto, la introducción de herramientas de inteligencia artificial generativa puede generar tensiones adicionales si los sistemas utilizados no consideran adecuadamente esta diversidad cultural.</w:t>
      </w:r>
    </w:p>
    <w:p w14:paraId="7D19D11D" w14:textId="77777777" w:rsidR="006A5AA1" w:rsidRPr="006A5AA1" w:rsidRDefault="006A5AA1" w:rsidP="006A5AA1">
      <w:r w:rsidRPr="006A5AA1">
        <w:t>Además, la mayor parte de las tecnologías de inteligencia artificial utilizadas en educación han sido desarrolladas por empresas y centros de investigación ubicados fuera de la región. Esto implica que las arquitecturas tecnológicas, los datos de entrenamiento y los supuestos pedagógicos incorporados en estas herramientas suelen responder a contextos culturales y educativos distintos de los latinoamericanos. Como resultado, existe el riesgo de que estas tecnologías reproduzcan visiones del conocimiento poco sensibles a la diversidad cultural y lingüística de la región.</w:t>
      </w:r>
    </w:p>
    <w:p w14:paraId="627846EF" w14:textId="77777777" w:rsidR="006A5AA1" w:rsidRPr="006A5AA1" w:rsidRDefault="006A5AA1" w:rsidP="006A5AA1">
      <w:r w:rsidRPr="006A5AA1">
        <w:t xml:space="preserve">Sin embargo, también existen oportunidades significativas. Si se desarrollan enfoques críticos y contextualizados, la inteligencia artificial podría contribuir a fortalecer la educación intercultural en América Latina. Por ejemplo, estas tecnologías podrían facilitar la traducción automática de materiales educativos a lenguas indígenas, apoyar la producción de recursos didácticos contextualizados </w:t>
      </w:r>
      <w:r w:rsidRPr="006A5AA1">
        <w:lastRenderedPageBreak/>
        <w:t>o ayudar a documentar y preservar saberes tradicionales mediante herramientas digitales.</w:t>
      </w:r>
    </w:p>
    <w:p w14:paraId="3B463357" w14:textId="77777777" w:rsidR="006A5AA1" w:rsidRPr="006A5AA1" w:rsidRDefault="006A5AA1" w:rsidP="006A5AA1">
      <w:r w:rsidRPr="006A5AA1">
        <w:t>En este sentido, el desafío principal no radica únicamente en la adopción de inteligencia artificial en el ámbito educativo, sino en la capacidad de los sistemas educativos latinoamericanos para orientar su implementación hacia objetivos coherentes con la diversidad cultural y la justicia epistemológica. Esto requiere no solo marcos regulatorios adecuados, sino también una participación activa de docentes, investigadores, comunidades y responsables de políticas públicas en el diseño y uso de estas tecnologías.</w:t>
      </w:r>
    </w:p>
    <w:p w14:paraId="0F2C5565" w14:textId="2EFF3BDF" w:rsidR="006A5AA1" w:rsidRPr="006A5AA1" w:rsidRDefault="006A5AA1" w:rsidP="006A5AA1"/>
    <w:p w14:paraId="32D4AD6D" w14:textId="77777777" w:rsidR="006A5AA1" w:rsidRPr="006A5AA1" w:rsidRDefault="006A5AA1" w:rsidP="006A5AA1">
      <w:pPr>
        <w:rPr>
          <w:b/>
          <w:bCs/>
        </w:rPr>
      </w:pPr>
      <w:r w:rsidRPr="006A5AA1">
        <w:rPr>
          <w:b/>
          <w:bCs/>
        </w:rPr>
        <w:t>Bibliografía sugerida</w:t>
      </w:r>
    </w:p>
    <w:p w14:paraId="240E0F1B" w14:textId="77777777" w:rsidR="006A5AA1" w:rsidRPr="006A5AA1" w:rsidRDefault="006A5AA1" w:rsidP="006A5AA1">
      <w:r w:rsidRPr="006A5AA1">
        <w:t xml:space="preserve">Esta bibliografía está pensada para </w:t>
      </w:r>
      <w:r w:rsidRPr="006A5AA1">
        <w:rPr>
          <w:b/>
          <w:bCs/>
        </w:rPr>
        <w:t>darle peso académico al capítulo</w:t>
      </w:r>
      <w:r w:rsidRPr="006A5AA1">
        <w:t xml:space="preserve"> y cubrir tres áreas: </w:t>
      </w:r>
      <w:proofErr w:type="spellStart"/>
      <w:r w:rsidRPr="006A5AA1">
        <w:t>colonialidad</w:t>
      </w:r>
      <w:proofErr w:type="spellEnd"/>
      <w:r w:rsidRPr="006A5AA1">
        <w:t>, interculturalidad e inteligencia artificial.</w:t>
      </w:r>
    </w:p>
    <w:p w14:paraId="4A6656D9" w14:textId="77777777" w:rsidR="006A5AA1" w:rsidRPr="006A5AA1" w:rsidRDefault="006A5AA1" w:rsidP="006A5AA1">
      <w:pPr>
        <w:rPr>
          <w:b/>
          <w:bCs/>
        </w:rPr>
      </w:pPr>
      <w:proofErr w:type="spellStart"/>
      <w:r w:rsidRPr="006A5AA1">
        <w:rPr>
          <w:b/>
          <w:bCs/>
        </w:rPr>
        <w:t>Colonialidad</w:t>
      </w:r>
      <w:proofErr w:type="spellEnd"/>
      <w:r w:rsidRPr="006A5AA1">
        <w:rPr>
          <w:b/>
          <w:bCs/>
        </w:rPr>
        <w:t xml:space="preserve"> del conocimiento</w:t>
      </w:r>
    </w:p>
    <w:p w14:paraId="531EAD14" w14:textId="77777777" w:rsidR="006A5AA1" w:rsidRPr="006A5AA1" w:rsidRDefault="006A5AA1" w:rsidP="006A5AA1">
      <w:pPr>
        <w:rPr>
          <w:lang w:val="en-US"/>
        </w:rPr>
      </w:pPr>
      <w:r w:rsidRPr="006A5AA1">
        <w:t xml:space="preserve">Quijano, A. (2000). </w:t>
      </w:r>
      <w:proofErr w:type="spellStart"/>
      <w:r w:rsidRPr="006A5AA1">
        <w:rPr>
          <w:i/>
          <w:iCs/>
        </w:rPr>
        <w:t>Colonialidad</w:t>
      </w:r>
      <w:proofErr w:type="spellEnd"/>
      <w:r w:rsidRPr="006A5AA1">
        <w:rPr>
          <w:i/>
          <w:iCs/>
        </w:rPr>
        <w:t xml:space="preserve"> del poder, eurocentrismo y América Latina</w:t>
      </w:r>
      <w:r w:rsidRPr="006A5AA1">
        <w:t xml:space="preserve">. En E. Lander (Ed.), </w:t>
      </w:r>
      <w:r w:rsidRPr="006A5AA1">
        <w:rPr>
          <w:b/>
          <w:bCs/>
        </w:rPr>
        <w:t xml:space="preserve">La </w:t>
      </w:r>
      <w:proofErr w:type="spellStart"/>
      <w:r w:rsidRPr="006A5AA1">
        <w:rPr>
          <w:b/>
          <w:bCs/>
        </w:rPr>
        <w:t>colonialidad</w:t>
      </w:r>
      <w:proofErr w:type="spellEnd"/>
      <w:r w:rsidRPr="006A5AA1">
        <w:rPr>
          <w:b/>
          <w:bCs/>
        </w:rPr>
        <w:t xml:space="preserve"> del saber: eurocentrismo y ciencias sociales</w:t>
      </w:r>
      <w:r w:rsidRPr="006A5AA1">
        <w:t xml:space="preserve">. </w:t>
      </w:r>
      <w:r w:rsidRPr="006A5AA1">
        <w:rPr>
          <w:lang w:val="en-US"/>
        </w:rPr>
        <w:t>CLACSO.</w:t>
      </w:r>
    </w:p>
    <w:p w14:paraId="5AE2C7D5" w14:textId="77777777" w:rsidR="006A5AA1" w:rsidRPr="006A5AA1" w:rsidRDefault="006A5AA1" w:rsidP="006A5AA1">
      <w:proofErr w:type="spellStart"/>
      <w:r w:rsidRPr="006A5AA1">
        <w:rPr>
          <w:lang w:val="en-US"/>
        </w:rPr>
        <w:t>Mignolo</w:t>
      </w:r>
      <w:proofErr w:type="spellEnd"/>
      <w:r w:rsidRPr="006A5AA1">
        <w:rPr>
          <w:lang w:val="en-US"/>
        </w:rPr>
        <w:t xml:space="preserve">, W. (2011). </w:t>
      </w:r>
      <w:r w:rsidRPr="006A5AA1">
        <w:rPr>
          <w:i/>
          <w:iCs/>
          <w:lang w:val="en-US"/>
        </w:rPr>
        <w:t>The darker side of western modernity: Global futures, decolonial options</w:t>
      </w:r>
      <w:r w:rsidRPr="006A5AA1">
        <w:rPr>
          <w:lang w:val="en-US"/>
        </w:rPr>
        <w:t xml:space="preserve">. </w:t>
      </w:r>
      <w:r w:rsidRPr="006A5AA1">
        <w:t xml:space="preserve">Duke </w:t>
      </w:r>
      <w:proofErr w:type="spellStart"/>
      <w:r w:rsidRPr="006A5AA1">
        <w:t>University</w:t>
      </w:r>
      <w:proofErr w:type="spellEnd"/>
      <w:r w:rsidRPr="006A5AA1">
        <w:t xml:space="preserve"> </w:t>
      </w:r>
      <w:proofErr w:type="spellStart"/>
      <w:r w:rsidRPr="006A5AA1">
        <w:t>Press</w:t>
      </w:r>
      <w:proofErr w:type="spellEnd"/>
      <w:r w:rsidRPr="006A5AA1">
        <w:t>.</w:t>
      </w:r>
    </w:p>
    <w:p w14:paraId="491921FA" w14:textId="10D74F05" w:rsidR="006A5AA1" w:rsidRPr="006A5AA1" w:rsidRDefault="006A5AA1" w:rsidP="006A5AA1"/>
    <w:p w14:paraId="6439475D" w14:textId="77777777" w:rsidR="006A5AA1" w:rsidRPr="006A5AA1" w:rsidRDefault="006A5AA1" w:rsidP="006A5AA1">
      <w:pPr>
        <w:rPr>
          <w:b/>
          <w:bCs/>
        </w:rPr>
      </w:pPr>
      <w:r w:rsidRPr="006A5AA1">
        <w:rPr>
          <w:b/>
          <w:bCs/>
        </w:rPr>
        <w:t>Interculturalidad crítica</w:t>
      </w:r>
    </w:p>
    <w:p w14:paraId="0473A8EF" w14:textId="77777777" w:rsidR="006A5AA1" w:rsidRPr="006A5AA1" w:rsidRDefault="006A5AA1" w:rsidP="006A5AA1">
      <w:r w:rsidRPr="006A5AA1">
        <w:t xml:space="preserve">Walsh, C. (2009). </w:t>
      </w:r>
      <w:r w:rsidRPr="006A5AA1">
        <w:rPr>
          <w:i/>
          <w:iCs/>
        </w:rPr>
        <w:t>Interculturalidad crítica y educación intercultural</w:t>
      </w:r>
      <w:r w:rsidRPr="006A5AA1">
        <w:t xml:space="preserve">. En J. Viaña, L. Tapia &amp; C. Walsh (Eds.), </w:t>
      </w:r>
      <w:r w:rsidRPr="006A5AA1">
        <w:rPr>
          <w:b/>
          <w:bCs/>
        </w:rPr>
        <w:t>Construyendo interculturalidad crítica</w:t>
      </w:r>
      <w:r w:rsidRPr="006A5AA1">
        <w:t>. Instituto Internacional de Integración.</w:t>
      </w:r>
    </w:p>
    <w:p w14:paraId="64248CBF" w14:textId="77777777" w:rsidR="006A5AA1" w:rsidRPr="006A5AA1" w:rsidRDefault="006A5AA1" w:rsidP="006A5AA1">
      <w:r w:rsidRPr="006A5AA1">
        <w:t xml:space="preserve">Walsh, C. (2010). Interculturalidad crítica y educación intercultural. </w:t>
      </w:r>
      <w:r w:rsidRPr="006A5AA1">
        <w:rPr>
          <w:b/>
          <w:bCs/>
        </w:rPr>
        <w:t>Aula Intercultural</w:t>
      </w:r>
      <w:r w:rsidRPr="006A5AA1">
        <w:t>.</w:t>
      </w:r>
    </w:p>
    <w:p w14:paraId="693876DE" w14:textId="77777777" w:rsidR="006A5AA1" w:rsidRPr="006A5AA1" w:rsidRDefault="006A5AA1" w:rsidP="006A5AA1">
      <w:proofErr w:type="spellStart"/>
      <w:r w:rsidRPr="006A5AA1">
        <w:t>Tubino</w:t>
      </w:r>
      <w:proofErr w:type="spellEnd"/>
      <w:r w:rsidRPr="006A5AA1">
        <w:t xml:space="preserve">, F. (2005). La interculturalidad crítica como proyecto ético-político. </w:t>
      </w:r>
      <w:r w:rsidRPr="006A5AA1">
        <w:rPr>
          <w:b/>
          <w:bCs/>
        </w:rPr>
        <w:t>Encuentro continental de educadores agustinos</w:t>
      </w:r>
      <w:r w:rsidRPr="006A5AA1">
        <w:t>.</w:t>
      </w:r>
    </w:p>
    <w:p w14:paraId="363509AD" w14:textId="7A57AEBC" w:rsidR="006A5AA1" w:rsidRPr="006A5AA1" w:rsidRDefault="006A5AA1" w:rsidP="006A5AA1"/>
    <w:p w14:paraId="2BC10252" w14:textId="77777777" w:rsidR="006A5AA1" w:rsidRPr="006A5AA1" w:rsidRDefault="006A5AA1" w:rsidP="006A5AA1">
      <w:pPr>
        <w:rPr>
          <w:b/>
          <w:bCs/>
        </w:rPr>
      </w:pPr>
      <w:r w:rsidRPr="006A5AA1">
        <w:rPr>
          <w:b/>
          <w:bCs/>
        </w:rPr>
        <w:t>Inteligencia artificial y sesgo algorítmico</w:t>
      </w:r>
    </w:p>
    <w:p w14:paraId="2682E0C7" w14:textId="77777777" w:rsidR="006A5AA1" w:rsidRPr="006A5AA1" w:rsidRDefault="006A5AA1" w:rsidP="006A5AA1">
      <w:pPr>
        <w:rPr>
          <w:lang w:val="en-US"/>
        </w:rPr>
      </w:pPr>
      <w:r w:rsidRPr="006A5AA1">
        <w:t xml:space="preserve">Bender, E., </w:t>
      </w:r>
      <w:proofErr w:type="spellStart"/>
      <w:r w:rsidRPr="006A5AA1">
        <w:t>Gebru</w:t>
      </w:r>
      <w:proofErr w:type="spellEnd"/>
      <w:r w:rsidRPr="006A5AA1">
        <w:t xml:space="preserve">, T., </w:t>
      </w:r>
      <w:proofErr w:type="spellStart"/>
      <w:r w:rsidRPr="006A5AA1">
        <w:t>McMillan-Major</w:t>
      </w:r>
      <w:proofErr w:type="spellEnd"/>
      <w:r w:rsidRPr="006A5AA1">
        <w:t xml:space="preserve">, A., &amp; </w:t>
      </w:r>
      <w:proofErr w:type="spellStart"/>
      <w:r w:rsidRPr="006A5AA1">
        <w:t>Shmitchell</w:t>
      </w:r>
      <w:proofErr w:type="spellEnd"/>
      <w:r w:rsidRPr="006A5AA1">
        <w:t xml:space="preserve">, S. (2021). </w:t>
      </w:r>
      <w:r w:rsidRPr="006A5AA1">
        <w:rPr>
          <w:lang w:val="en-US"/>
        </w:rPr>
        <w:t xml:space="preserve">On the dangers of stochastic parrots: Can language models be too big? </w:t>
      </w:r>
      <w:r w:rsidRPr="006A5AA1">
        <w:rPr>
          <w:b/>
          <w:bCs/>
          <w:lang w:val="en-US"/>
        </w:rPr>
        <w:t>Proceedings of the ACM Conference on Fairness, Accountability, and Transparency</w:t>
      </w:r>
      <w:r w:rsidRPr="006A5AA1">
        <w:rPr>
          <w:lang w:val="en-US"/>
        </w:rPr>
        <w:t>.</w:t>
      </w:r>
    </w:p>
    <w:p w14:paraId="05F5F5BB" w14:textId="77777777" w:rsidR="006A5AA1" w:rsidRPr="006A5AA1" w:rsidRDefault="006A5AA1" w:rsidP="006A5AA1">
      <w:pPr>
        <w:rPr>
          <w:lang w:val="en-US"/>
        </w:rPr>
      </w:pPr>
      <w:r w:rsidRPr="006A5AA1">
        <w:lastRenderedPageBreak/>
        <w:t xml:space="preserve">Brown, T. et al. (2020). </w:t>
      </w:r>
      <w:r w:rsidRPr="006A5AA1">
        <w:rPr>
          <w:lang w:val="en-US"/>
        </w:rPr>
        <w:t xml:space="preserve">Language models are few-shot learners. </w:t>
      </w:r>
      <w:r w:rsidRPr="006A5AA1">
        <w:rPr>
          <w:b/>
          <w:bCs/>
          <w:lang w:val="en-US"/>
        </w:rPr>
        <w:t>Advances in Neural Information Processing Systems</w:t>
      </w:r>
      <w:r w:rsidRPr="006A5AA1">
        <w:rPr>
          <w:lang w:val="en-US"/>
        </w:rPr>
        <w:t>.</w:t>
      </w:r>
    </w:p>
    <w:p w14:paraId="47E0CCB1" w14:textId="77777777" w:rsidR="006A5AA1" w:rsidRPr="006A5AA1" w:rsidRDefault="006A5AA1" w:rsidP="006A5AA1">
      <w:r w:rsidRPr="006A5AA1">
        <w:rPr>
          <w:lang w:val="en-US"/>
        </w:rPr>
        <w:t xml:space="preserve">Gallegos, I. et al. (2024). Bias and fairness in large language models: A survey. </w:t>
      </w:r>
      <w:proofErr w:type="spellStart"/>
      <w:r w:rsidRPr="006A5AA1">
        <w:rPr>
          <w:b/>
          <w:bCs/>
        </w:rPr>
        <w:t>Computational</w:t>
      </w:r>
      <w:proofErr w:type="spellEnd"/>
      <w:r w:rsidRPr="006A5AA1">
        <w:rPr>
          <w:b/>
          <w:bCs/>
        </w:rPr>
        <w:t xml:space="preserve"> </w:t>
      </w:r>
      <w:proofErr w:type="spellStart"/>
      <w:r w:rsidRPr="006A5AA1">
        <w:rPr>
          <w:b/>
          <w:bCs/>
        </w:rPr>
        <w:t>Linguistics</w:t>
      </w:r>
      <w:proofErr w:type="spellEnd"/>
      <w:r w:rsidRPr="006A5AA1">
        <w:t>.</w:t>
      </w:r>
    </w:p>
    <w:p w14:paraId="16198044" w14:textId="3ED13128" w:rsidR="006A5AA1" w:rsidRPr="006A5AA1" w:rsidRDefault="006A5AA1" w:rsidP="006A5AA1"/>
    <w:p w14:paraId="6B5A5BA2" w14:textId="77777777" w:rsidR="006A5AA1" w:rsidRPr="006A5AA1" w:rsidRDefault="006A5AA1" w:rsidP="006A5AA1">
      <w:pPr>
        <w:rPr>
          <w:b/>
          <w:bCs/>
        </w:rPr>
      </w:pPr>
      <w:r w:rsidRPr="006A5AA1">
        <w:rPr>
          <w:b/>
          <w:bCs/>
        </w:rPr>
        <w:t>Inteligencia artificial y educación</w:t>
      </w:r>
    </w:p>
    <w:p w14:paraId="047A5921" w14:textId="77777777" w:rsidR="006A5AA1" w:rsidRPr="006A5AA1" w:rsidRDefault="006A5AA1" w:rsidP="006A5AA1">
      <w:pPr>
        <w:rPr>
          <w:lang w:val="en-US"/>
        </w:rPr>
      </w:pPr>
      <w:r w:rsidRPr="006A5AA1">
        <w:t xml:space="preserve">UNESCO. </w:t>
      </w:r>
      <w:r w:rsidRPr="006A5AA1">
        <w:rPr>
          <w:lang w:val="en-US"/>
        </w:rPr>
        <w:t xml:space="preserve">(2023). </w:t>
      </w:r>
      <w:r w:rsidRPr="006A5AA1">
        <w:rPr>
          <w:i/>
          <w:iCs/>
          <w:lang w:val="en-US"/>
        </w:rPr>
        <w:t>Guidance for generative AI in education and research</w:t>
      </w:r>
      <w:r w:rsidRPr="006A5AA1">
        <w:rPr>
          <w:lang w:val="en-US"/>
        </w:rPr>
        <w:t>. UNESCO.</w:t>
      </w:r>
    </w:p>
    <w:p w14:paraId="64BA0374" w14:textId="77777777" w:rsidR="006A5AA1" w:rsidRPr="006A5AA1" w:rsidRDefault="006A5AA1" w:rsidP="006A5AA1">
      <w:pPr>
        <w:rPr>
          <w:lang w:val="en-US"/>
        </w:rPr>
      </w:pPr>
      <w:r w:rsidRPr="006A5AA1">
        <w:rPr>
          <w:lang w:val="en-US"/>
        </w:rPr>
        <w:t xml:space="preserve">Holmes, W., Bialik, M., &amp; Fadel, C. (2019). </w:t>
      </w:r>
      <w:r w:rsidRPr="006A5AA1">
        <w:rPr>
          <w:i/>
          <w:iCs/>
          <w:lang w:val="en-US"/>
        </w:rPr>
        <w:t>Artificial intelligence in education: Promises and implications for teaching and learning</w:t>
      </w:r>
      <w:r w:rsidRPr="006A5AA1">
        <w:rPr>
          <w:lang w:val="en-US"/>
        </w:rPr>
        <w:t>. Center for Curriculum Redesign.</w:t>
      </w:r>
    </w:p>
    <w:p w14:paraId="4F236962" w14:textId="77777777" w:rsidR="006A5AA1" w:rsidRPr="006A5AA1" w:rsidRDefault="006A5AA1" w:rsidP="006A5AA1">
      <w:pPr>
        <w:rPr>
          <w:lang w:val="en-US"/>
        </w:rPr>
      </w:pPr>
      <w:proofErr w:type="spellStart"/>
      <w:r w:rsidRPr="006A5AA1">
        <w:rPr>
          <w:lang w:val="en-US"/>
        </w:rPr>
        <w:t>Luckin</w:t>
      </w:r>
      <w:proofErr w:type="spellEnd"/>
      <w:r w:rsidRPr="006A5AA1">
        <w:rPr>
          <w:lang w:val="en-US"/>
        </w:rPr>
        <w:t xml:space="preserve">, R. et al. (2016). </w:t>
      </w:r>
      <w:r w:rsidRPr="006A5AA1">
        <w:rPr>
          <w:i/>
          <w:iCs/>
          <w:lang w:val="en-US"/>
        </w:rPr>
        <w:t>Intelligence unleashed: An argument for AI in education</w:t>
      </w:r>
      <w:r w:rsidRPr="006A5AA1">
        <w:rPr>
          <w:lang w:val="en-US"/>
        </w:rPr>
        <w:t>. Pearson.</w:t>
      </w:r>
    </w:p>
    <w:p w14:paraId="1C8EB231" w14:textId="77777777" w:rsidR="006A5AA1" w:rsidRPr="006A5AA1" w:rsidRDefault="006A5AA1" w:rsidP="006A5AA1">
      <w:r w:rsidRPr="006A5AA1">
        <w:rPr>
          <w:lang w:val="en-US"/>
        </w:rPr>
        <w:t xml:space="preserve">Selwyn, N. (2019). </w:t>
      </w:r>
      <w:r w:rsidRPr="006A5AA1">
        <w:rPr>
          <w:i/>
          <w:iCs/>
          <w:lang w:val="en-US"/>
        </w:rPr>
        <w:t>Should robots replace teachers? AI and the future of education</w:t>
      </w:r>
      <w:r w:rsidRPr="006A5AA1">
        <w:rPr>
          <w:lang w:val="en-US"/>
        </w:rPr>
        <w:t xml:space="preserve">. </w:t>
      </w:r>
      <w:proofErr w:type="spellStart"/>
      <w:r w:rsidRPr="006A5AA1">
        <w:t>Polity</w:t>
      </w:r>
      <w:proofErr w:type="spellEnd"/>
      <w:r w:rsidRPr="006A5AA1">
        <w:t xml:space="preserve"> </w:t>
      </w:r>
      <w:proofErr w:type="spellStart"/>
      <w:r w:rsidRPr="006A5AA1">
        <w:t>Press</w:t>
      </w:r>
      <w:proofErr w:type="spellEnd"/>
      <w:r w:rsidRPr="006A5AA1">
        <w:t>.</w:t>
      </w:r>
    </w:p>
    <w:p w14:paraId="353F8AD9" w14:textId="77777777" w:rsidR="002C08F6" w:rsidRDefault="002C08F6"/>
    <w:sectPr w:rsidR="002C08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AA1"/>
    <w:rsid w:val="002C08F6"/>
    <w:rsid w:val="00517653"/>
    <w:rsid w:val="006A5AA1"/>
    <w:rsid w:val="00776B98"/>
    <w:rsid w:val="00896C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B5946"/>
  <w15:chartTrackingRefBased/>
  <w15:docId w15:val="{AA5741E4-B4FF-4066-A0EF-50835399C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5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5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5A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5A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5A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5A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5A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5A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5A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5A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A5A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A5A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5A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5A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5A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5A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5A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5AA1"/>
    <w:rPr>
      <w:rFonts w:eastAsiaTheme="majorEastAsia" w:cstheme="majorBidi"/>
      <w:color w:val="272727" w:themeColor="text1" w:themeTint="D8"/>
    </w:rPr>
  </w:style>
  <w:style w:type="paragraph" w:styleId="Ttulo">
    <w:name w:val="Title"/>
    <w:basedOn w:val="Normal"/>
    <w:next w:val="Normal"/>
    <w:link w:val="TtuloCar"/>
    <w:uiPriority w:val="10"/>
    <w:qFormat/>
    <w:rsid w:val="006A5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5A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5A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5A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5AA1"/>
    <w:pPr>
      <w:spacing w:before="160"/>
      <w:jc w:val="center"/>
    </w:pPr>
    <w:rPr>
      <w:i/>
      <w:iCs/>
      <w:color w:val="404040" w:themeColor="text1" w:themeTint="BF"/>
    </w:rPr>
  </w:style>
  <w:style w:type="character" w:customStyle="1" w:styleId="CitaCar">
    <w:name w:val="Cita Car"/>
    <w:basedOn w:val="Fuentedeprrafopredeter"/>
    <w:link w:val="Cita"/>
    <w:uiPriority w:val="29"/>
    <w:rsid w:val="006A5AA1"/>
    <w:rPr>
      <w:i/>
      <w:iCs/>
      <w:color w:val="404040" w:themeColor="text1" w:themeTint="BF"/>
    </w:rPr>
  </w:style>
  <w:style w:type="paragraph" w:styleId="Prrafodelista">
    <w:name w:val="List Paragraph"/>
    <w:basedOn w:val="Normal"/>
    <w:uiPriority w:val="34"/>
    <w:qFormat/>
    <w:rsid w:val="006A5AA1"/>
    <w:pPr>
      <w:ind w:left="720"/>
      <w:contextualSpacing/>
    </w:pPr>
  </w:style>
  <w:style w:type="character" w:styleId="nfasisintenso">
    <w:name w:val="Intense Emphasis"/>
    <w:basedOn w:val="Fuentedeprrafopredeter"/>
    <w:uiPriority w:val="21"/>
    <w:qFormat/>
    <w:rsid w:val="006A5AA1"/>
    <w:rPr>
      <w:i/>
      <w:iCs/>
      <w:color w:val="0F4761" w:themeColor="accent1" w:themeShade="BF"/>
    </w:rPr>
  </w:style>
  <w:style w:type="paragraph" w:styleId="Citadestacada">
    <w:name w:val="Intense Quote"/>
    <w:basedOn w:val="Normal"/>
    <w:next w:val="Normal"/>
    <w:link w:val="CitadestacadaCar"/>
    <w:uiPriority w:val="30"/>
    <w:qFormat/>
    <w:rsid w:val="006A5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5AA1"/>
    <w:rPr>
      <w:i/>
      <w:iCs/>
      <w:color w:val="0F4761" w:themeColor="accent1" w:themeShade="BF"/>
    </w:rPr>
  </w:style>
  <w:style w:type="character" w:styleId="Referenciaintensa">
    <w:name w:val="Intense Reference"/>
    <w:basedOn w:val="Fuentedeprrafopredeter"/>
    <w:uiPriority w:val="32"/>
    <w:qFormat/>
    <w:rsid w:val="006A5A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788523">
      <w:bodyDiv w:val="1"/>
      <w:marLeft w:val="0"/>
      <w:marRight w:val="0"/>
      <w:marTop w:val="0"/>
      <w:marBottom w:val="0"/>
      <w:divBdr>
        <w:top w:val="none" w:sz="0" w:space="0" w:color="auto"/>
        <w:left w:val="none" w:sz="0" w:space="0" w:color="auto"/>
        <w:bottom w:val="none" w:sz="0" w:space="0" w:color="auto"/>
        <w:right w:val="none" w:sz="0" w:space="0" w:color="auto"/>
      </w:divBdr>
    </w:div>
    <w:div w:id="61121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814</Words>
  <Characters>4482</Characters>
  <Application>Microsoft Office Word</Application>
  <DocSecurity>0</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Hernández</dc:creator>
  <cp:keywords/>
  <dc:description/>
  <cp:lastModifiedBy>Santiago Hernández</cp:lastModifiedBy>
  <cp:revision>1</cp:revision>
  <dcterms:created xsi:type="dcterms:W3CDTF">2026-03-13T14:06:00Z</dcterms:created>
  <dcterms:modified xsi:type="dcterms:W3CDTF">2026-03-13T14:17:00Z</dcterms:modified>
</cp:coreProperties>
</file>