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4024C" w14:textId="77777777" w:rsidR="003A2E55" w:rsidRDefault="00000000">
      <w:pPr>
        <w:pStyle w:val="Ttulo"/>
      </w:pPr>
      <w:r>
        <w:t>Identidades latinoamericanas ante la inteligencia artificial generativa y los riesgos de homogeneización cultural</w:t>
      </w:r>
    </w:p>
    <w:p w14:paraId="6EB8F473" w14:textId="77777777" w:rsidR="003A2E55" w:rsidRDefault="00000000">
      <w:pPr>
        <w:spacing w:after="0"/>
        <w:ind w:firstLine="0"/>
        <w:jc w:val="center"/>
      </w:pPr>
      <w:commentRangeStart w:id="0"/>
      <w:r>
        <w:t>Santiago Hernández</w:t>
      </w:r>
      <w:commentRangeEnd w:id="0"/>
      <w:r>
        <w:commentReference w:id="0"/>
      </w:r>
    </w:p>
    <w:p w14:paraId="4886CD9F" w14:textId="2482CF2E" w:rsidR="003A2E55" w:rsidRDefault="00000000">
      <w:pPr>
        <w:spacing w:after="0"/>
        <w:ind w:firstLine="0"/>
        <w:jc w:val="center"/>
      </w:pPr>
      <w:r>
        <w:t xml:space="preserve">Filiación institucional </w:t>
      </w:r>
      <w:r w:rsidR="004C2A17">
        <w:t>CFE-</w:t>
      </w:r>
      <w:proofErr w:type="spellStart"/>
      <w:r w:rsidR="004C2A17">
        <w:t>ANEP</w:t>
      </w:r>
      <w:proofErr w:type="spellEnd"/>
      <w:r w:rsidR="004C2A17">
        <w:t>-</w:t>
      </w:r>
    </w:p>
    <w:p w14:paraId="768B31B0" w14:textId="21C68A23" w:rsidR="003A2E55" w:rsidRDefault="00000000">
      <w:pPr>
        <w:spacing w:after="0"/>
        <w:ind w:firstLine="0"/>
        <w:jc w:val="center"/>
      </w:pPr>
      <w:r>
        <w:t xml:space="preserve">País </w:t>
      </w:r>
      <w:r w:rsidR="004C2A17">
        <w:t>URUGUAY</w:t>
      </w:r>
    </w:p>
    <w:p w14:paraId="00FB1375" w14:textId="225B304C" w:rsidR="0079233F" w:rsidRDefault="00000000">
      <w:pPr>
        <w:spacing w:after="0"/>
        <w:ind w:firstLine="0"/>
        <w:jc w:val="center"/>
      </w:pPr>
      <w:r>
        <w:t xml:space="preserve">Correo electrónico </w:t>
      </w:r>
      <w:hyperlink r:id="rId11" w:history="1">
        <w:proofErr w:type="spellStart"/>
        <w:r w:rsidR="0079233F" w:rsidRPr="00253E9D">
          <w:rPr>
            <w:rStyle w:val="Hipervnculo"/>
          </w:rPr>
          <w:t>santiherben@gmail.com</w:t>
        </w:r>
        <w:proofErr w:type="spellEnd"/>
      </w:hyperlink>
    </w:p>
    <w:p w14:paraId="54FE207A" w14:textId="473920DC" w:rsidR="003A2E55" w:rsidRDefault="00000000">
      <w:pPr>
        <w:spacing w:after="0"/>
        <w:ind w:firstLine="0"/>
        <w:jc w:val="center"/>
      </w:pPr>
      <w:r>
        <w:t xml:space="preserve">    </w:t>
      </w:r>
      <w:proofErr w:type="spellStart"/>
      <w:r>
        <w:t>ORCID</w:t>
      </w:r>
      <w:proofErr w:type="spellEnd"/>
      <w:r>
        <w:t xml:space="preserve"> </w:t>
      </w:r>
      <w:r w:rsidR="0079233F" w:rsidRPr="0079233F">
        <w:t>0009-0001-9086-1490</w:t>
      </w:r>
    </w:p>
    <w:p w14:paraId="3430C5C2" w14:textId="77777777" w:rsidR="003A2E55" w:rsidRDefault="00000000">
      <w:pPr>
        <w:pStyle w:val="Ttulo1"/>
      </w:pPr>
      <w:r>
        <w:t>Resumen</w:t>
      </w:r>
    </w:p>
    <w:p w14:paraId="4E1F6A5C" w14:textId="77777777" w:rsidR="003A2E55" w:rsidRDefault="00000000">
      <w:pPr>
        <w:keepLines/>
        <w:ind w:firstLine="0"/>
      </w:pPr>
      <w:r>
        <w:t>Este capítulo examina los riesgos de debilitamiento de las identidades culturales asociados con el uso y abuso de inteligencia artificial generativa en América Latina, con atención particular a la educación. Su objetivo es discutir cómo la mediación algorítmica puede incidir en las formas de nombrar la experiencia, reconocer conocimientos y transmitir memorias colectivas. Se desarrolla una revisión documental narrativa de orientación crítica e interpretativa que articula pensamiento latinoamericano sobre colonialidad, mediaciones e interculturalidad con investigaciones sobre modelos de lenguaje, sesgos y representación de lenguas indígenas. El análisis identifica cinco mecanismos de riesgo: normalización lingüística, subordinación de saberes, sustitución de la autoría situada, simplificación de memorias y apropiación de datos culturales. Estos mecanismos no prueban una pérdida identitaria generalizada ni operan de manera automática; adquieren relevancia cuando las respuestas generadas reciben autoridad sin contraste y las instituciones reducen la participación de quienes producen los saberes. Se sostiene que la frecuencia de uso resulta insuficiente para definir el abuso y se propone atender al desplazamiento de capacidades de interpretación y decisión. Como conclusión, la protección de la diversidad requiere evaluación contextual de las herramientas, formación docente, reconocimiento de fuentes comunitarias y gobernanza participativa de datos. Una apropiación intercultural de la IA supone conservar la posibilidad de disentir, corregir y decidir qué conocimientos compartir, en lugar de limitarse a mejorar su representación dentro de un modelo.</w:t>
      </w:r>
    </w:p>
    <w:p w14:paraId="26401ED2" w14:textId="77777777" w:rsidR="003A2E55" w:rsidRDefault="00000000">
      <w:pPr>
        <w:ind w:firstLine="0"/>
      </w:pPr>
      <w:r>
        <w:rPr>
          <w:i/>
        </w:rPr>
        <w:t>Palabras clave: inteligencia artificial; identidad cultural; educación intercultural.</w:t>
      </w:r>
    </w:p>
    <w:p w14:paraId="04EB1823" w14:textId="77777777" w:rsidR="003A2E55" w:rsidRPr="004C2A17" w:rsidRDefault="00000000">
      <w:pPr>
        <w:pStyle w:val="Ttulo1"/>
        <w:rPr>
          <w:lang w:val="en-US"/>
        </w:rPr>
      </w:pPr>
      <w:r w:rsidRPr="004C2A17">
        <w:rPr>
          <w:lang w:val="en-US"/>
        </w:rPr>
        <w:lastRenderedPageBreak/>
        <w:t>Abstract</w:t>
      </w:r>
    </w:p>
    <w:p w14:paraId="4A09B2E2" w14:textId="77777777" w:rsidR="003A2E55" w:rsidRPr="004C2A17" w:rsidRDefault="00000000">
      <w:pPr>
        <w:keepLines/>
        <w:ind w:firstLine="0"/>
        <w:rPr>
          <w:lang w:val="en-US"/>
        </w:rPr>
      </w:pPr>
      <w:r>
        <w:rPr>
          <w:lang w:val="en-US"/>
        </w:rPr>
        <w:t>This chapter examines the risks of weakening cultural identities associated with the use and overreliance on generative artificial intelligence in Latin America, with particular attention to education. Its aim is to discuss how algorithmic mediation may influence the ways people name their experiences, recognize knowledge, and transmit collective memories. The chapter develops a critical and interpretive narrative review that connects Latin American scholarship on coloniality, mediation, and interculturality with research on language models, bias, and the representation of Indigenous languages. The analysis identifies five risk mechanisms: linguistic normalization, the subordination of knowledge, the replacement of situated authorship, the simplification of memory, and the appropriation of cultural data. These mechanisms do not demonstrate widespread identity loss or operate automatically. They become relevant when generated responses gain authority without verification and institutions restrict the participation of knowledge holders. The chapter argues that frequency of use alone cannot define misuse and proposes examining the displacement of interpretive and decision-making capacities. It concludes that protecting diversity requires contextual evaluation of AI tools, teacher education, recognition of community sources, and participatory data governance. An intercultural appropriation of AI entails preserving the ability to disagree, correct outputs, and decide which forms of knowledge may be shared, rather than merely improving their representation within a model. These proposals establish an agenda for educational practice and further empirical research.</w:t>
      </w:r>
    </w:p>
    <w:p w14:paraId="71205C78" w14:textId="77777777" w:rsidR="003A2E55" w:rsidRDefault="00000000">
      <w:pPr>
        <w:ind w:firstLine="0"/>
      </w:pPr>
      <w:proofErr w:type="spellStart"/>
      <w:r w:rsidRPr="004C2A17">
        <w:rPr>
          <w:i/>
        </w:rPr>
        <w:t>Keywords</w:t>
      </w:r>
      <w:proofErr w:type="spellEnd"/>
      <w:r w:rsidRPr="004C2A17">
        <w:rPr>
          <w:i/>
        </w:rPr>
        <w:t xml:space="preserve">: artificial </w:t>
      </w:r>
      <w:proofErr w:type="spellStart"/>
      <w:r w:rsidRPr="004C2A17">
        <w:rPr>
          <w:i/>
        </w:rPr>
        <w:t>intelligence</w:t>
      </w:r>
      <w:proofErr w:type="spellEnd"/>
      <w:r w:rsidRPr="004C2A17">
        <w:rPr>
          <w:i/>
        </w:rPr>
        <w:t xml:space="preserve">; cultural </w:t>
      </w:r>
      <w:proofErr w:type="spellStart"/>
      <w:r w:rsidRPr="004C2A17">
        <w:rPr>
          <w:i/>
        </w:rPr>
        <w:t>identity</w:t>
      </w:r>
      <w:proofErr w:type="spellEnd"/>
      <w:r w:rsidRPr="004C2A17">
        <w:rPr>
          <w:i/>
        </w:rPr>
        <w:t xml:space="preserve">; intercultural </w:t>
      </w:r>
      <w:proofErr w:type="spellStart"/>
      <w:r w:rsidRPr="004C2A17">
        <w:rPr>
          <w:i/>
        </w:rPr>
        <w:t>education</w:t>
      </w:r>
      <w:proofErr w:type="spellEnd"/>
      <w:r w:rsidRPr="004C2A17">
        <w:rPr>
          <w:i/>
        </w:rPr>
        <w:t>.</w:t>
      </w:r>
    </w:p>
    <w:p w14:paraId="018855AB" w14:textId="77777777" w:rsidR="003A2E55" w:rsidRDefault="00000000">
      <w:pPr>
        <w:pStyle w:val="Ttulo1"/>
      </w:pPr>
      <w:r>
        <w:t>Resumo</w:t>
      </w:r>
    </w:p>
    <w:p w14:paraId="664B2E27" w14:textId="77777777" w:rsidR="003A2E55" w:rsidRDefault="00000000">
      <w:pPr>
        <w:keepLines/>
        <w:ind w:firstLine="0"/>
      </w:pPr>
      <w:r>
        <w:rPr>
          <w:lang w:val="pt-BR"/>
        </w:rPr>
        <w:t>Este capítulo examina os riscos de enfraquecimento das identidades culturais associados ao uso e ao uso excessivamente dependente da inteligência artificial generativa na América Latina, com atenção especial à educação. Seu objetivo é discutir como a mediação algorítmica pode incidir nas formas de nomear a experiência, reconhecer conhecimentos e transmitir memórias coletivas. Desenvolve-se uma revisão documental narrativa de orientação crítica e interpretativa que articula o pensamento latino-americano sobre colonialidade, mediações e interculturalidade com pesquisas sobre modelos de linguagem, vieses e representação de línguas indígenas. A análise identifica cinco mecanismos de risco: normalização linguística, subordinação de saberes, substituição da autoria situada, simplificação das memórias e apropriação de dados culturais. Esses mecanismos não comprovam uma perda identitária generalizada nem operam automaticamente. Tornam-se relevantes quando as respostas geradas recebem autoridade sem verificação e as instituições restringem a participação dos sujeitos que produzem os saberes. Sustenta-se que a frequência de uso é insuficiente para definir o abuso e propõe-se observar o deslocamento das capacidades de interpretação e decisão. Conclui-se que a proteção da diversidade exige avaliação contextual das ferramentas, formação docente, reconhecimento de fontes comunitárias e governança participativa dos dados. Uma apropriação intercultural da IA pressupõe preservar a possibilidade de discordar, corrigir e decidir quais conhecimentos compartilhar, em vez de se limitar a melhorar sua representação em um modelo.</w:t>
      </w:r>
    </w:p>
    <w:p w14:paraId="6D366E60" w14:textId="77777777" w:rsidR="003A2E55" w:rsidRDefault="00000000">
      <w:pPr>
        <w:ind w:firstLine="0"/>
      </w:pPr>
      <w:r>
        <w:rPr>
          <w:i/>
          <w:lang w:val="pt-BR"/>
        </w:rPr>
        <w:t>Palavras-chave: inteligência artificial; identidade cultural; educação intercultural.</w:t>
      </w:r>
    </w:p>
    <w:p w14:paraId="5C3546DE" w14:textId="77777777" w:rsidR="003A2E55" w:rsidRDefault="00000000">
      <w:pPr>
        <w:pStyle w:val="Ttulo1"/>
        <w:pageBreakBefore/>
      </w:pPr>
      <w:r>
        <w:lastRenderedPageBreak/>
        <w:t>Introducción</w:t>
      </w:r>
    </w:p>
    <w:p w14:paraId="02ECA55E" w14:textId="77777777" w:rsidR="003A2E55" w:rsidRDefault="00000000">
      <w:r>
        <w:t>La expansión de la inteligencia artificial generativa introduce una mediación particular en la producción cultural: numerosas tareas de escritura, explicación y representación pueden resolverse mediante sistemas capaces de generar respuestas a partir de instrucciones. En América Latina, esta posibilidad merece discutirse junto con las relaciones históricas que han establecido qué conocimientos poseen legitimidad y cuáles permanecen subordinados. El problema de este capítulo es el riesgo de que una adopción acrítica debilite las condiciones para expresar identidades, transmitir memorias y reconocer saberes situados. La cuestión se vuelve especialmente relevante en la educación, donde las herramientas pueden intervenir tanto en los materiales de enseñanza como en los criterios con los que se valoran las producciones de los estudiantes.</w:t>
      </w:r>
    </w:p>
    <w:p w14:paraId="4B90BE25" w14:textId="77777777" w:rsidR="003A2E55" w:rsidRDefault="00000000">
      <w:r>
        <w:t>La región reúne experiencias culturales que no admiten una descripción única. Las pertenencias indígenas, afrodescendientes, migrantes, nacionales y territoriales se entrecruzan con diferencias generacionales y desigualdades sociales. García Canclini (1990) permite comprender estas configuraciones como procesos de hibridación, alejados de una supuesta pureza cultural. Desde esta perspectiva, el contacto con tecnologías y lenguajes externos no constituye, por sí mismo, una pérdida de identidad. La preocupación aparece cuando ese contacto se desarrolla bajo condiciones que reducen la capacidad de los sujetos para decidir cómo nombrarse, interpretar su historia y participar en la construcción del conocimiento que los representa.</w:t>
      </w:r>
    </w:p>
    <w:p w14:paraId="0ADB77B9" w14:textId="77777777" w:rsidR="003A2E55" w:rsidRDefault="00000000">
      <w:r>
        <w:t>Quijano (2000) ofrece un punto de partida para examinar la relación entre poder y legitimidad del saber. Su análisis de la colonialidad muestra cómo la dominación involucra también patrones de clasificación y producción de sentido. Trasladar esta pregunta al campo de la IA exige identificar mediaciones concretas: selección de datos, prioridades de diseño, evaluación de respuestas y decisiones institucionales. Ricaurte (2019) profundiza esta discusión al considerar las epistemologías centradas en datos como formas de organizar mundos y relaciones sociales. La pertinencia de estos aportes reside en que permiten interrogar el carácter cultural de las decisiones presentadas como soluciones técnicas.</w:t>
      </w:r>
    </w:p>
    <w:p w14:paraId="208CBC5D" w14:textId="77777777" w:rsidR="003A2E55" w:rsidRDefault="00000000">
      <w:r>
        <w:t>Las oportunidades educativas conviven con dificultades de representación. El Índice Latinoamericano de Inteligencia Artificial documenta diferencias entre los ecosistemas nacionales en capacidades, adopción y gobernanza (Comisión Económica para América Latina y el Caribe [CEPAL], 2025). Por otra parte, Lucas et al. (2025) identifican limitaciones de los modelos examinados para interactuar en lenguas indígenas americanas. Ninguna de estas fuentes demuestra que la IA provoque una pérdida identitaria generalizada. Sí ofrecen razones para analizar quiénes pueden utilizarla en condiciones favorables y qué experiencias culturales encuentran mayores obstáculos para ser comprendidas y expresadas.</w:t>
      </w:r>
    </w:p>
    <w:p w14:paraId="5223128D" w14:textId="77777777" w:rsidR="003A2E55" w:rsidRDefault="00000000">
      <w:r>
        <w:t xml:space="preserve">El objetivo del capítulo es debatir los riesgos de debilitamiento identitario vinculados al uso y abuso de IA generativa en América Latina, explicitar sus posibles mecanismos y proponer condiciones para una apropiación intercultural. Se concentra en modelos de lenguaje utilizados para redactar, traducir, explicar y producir contenidos educativos, sin equiparar sus características con las de toda la inteligencia artificial. Se adopta una revisión documental crítica que distingue evidencia publicada, interpretación y propuestas. La tesis que orienta el argumento sostiene que el riesgo aumenta cuando la mediación algorítmica desplaza la autoría y la validación contextual sin mecanismos de contraste. La respuesta educativa requiere conservar </w:t>
      </w:r>
      <w:r>
        <w:lastRenderedPageBreak/>
        <w:t>espacios en los que docentes, estudiantes y comunidades puedan discutir tanto las representaciones generadas como las reglas de su producción.</w:t>
      </w:r>
    </w:p>
    <w:p w14:paraId="268B921A" w14:textId="77777777" w:rsidR="003A2E55" w:rsidRDefault="00000000">
      <w:pPr>
        <w:pStyle w:val="Ttulo1"/>
      </w:pPr>
      <w:r>
        <w:t>Estado del arte</w:t>
      </w:r>
    </w:p>
    <w:p w14:paraId="5370B1FB" w14:textId="77777777" w:rsidR="003A2E55" w:rsidRDefault="00000000">
      <w:pPr>
        <w:pStyle w:val="Ttulo2"/>
      </w:pPr>
      <w:r>
        <w:t>Antecedentes latinoamericanos sobre cultura y conocimiento</w:t>
      </w:r>
    </w:p>
    <w:p w14:paraId="2568CF6A" w14:textId="77777777" w:rsidR="003A2E55" w:rsidRDefault="00000000">
      <w:r>
        <w:t>La discusión sobre IA e identidades se inscribe en una trayectoria anterior a los modelos generativos. Freire (1970/2005) examina las relaciones educativas que convierten a los sujetos en receptores de conocimientos definidos por otros y propone una práctica fundada en el diálogo y la problematización. Su aporte permite preguntar por la capacidad de intervenir en la producción de sentido. No anticipa el funcionamiento de los sistemas actuales; aporta un criterio pedagógico para analizar relaciones de dependencia intelectual cuando la posibilidad de responder sustituye el trabajo de comprender y formular problemas.</w:t>
      </w:r>
    </w:p>
    <w:p w14:paraId="40E9D832" w14:textId="77777777" w:rsidR="003A2E55" w:rsidRDefault="00000000">
      <w:r>
        <w:t>En el campo de la comunicación, Martín-Barbero (1987) desplaza la mirada hacia las mediaciones culturales que participan en la apropiación de los medios. Este enfoque impide atribuir a una tecnología un efecto uniforme con independencia de las prácticas sociales. García Canclini (1990), a su vez, muestra que las transformaciones culturales involucran mezclas y negociaciones entre repertorios heterogéneos. Ambas perspectivas permiten examinar la IA sin presuponer comunidades aisladas, usuarios pasivos ni identidades terminadas. La transformación cultural puede ampliar posibilidades expresivas, aunque sus condiciones de producción también pueden ser desiguales.</w:t>
      </w:r>
    </w:p>
    <w:p w14:paraId="6617C2F7" w14:textId="77777777" w:rsidR="003A2E55" w:rsidRDefault="00000000">
      <w:r>
        <w:t>Quijano (2000) vincula la colonialidad del poder con la clasificación social y la imposición de perspectivas de conocimiento. Mignolo (2011) desarrolla la relación entre modernidad y colonialidad y la posibilidad de opciones decoloniales. Estos aportes permiten cuestionar la pretensión de universalidad de conocimientos producidos desde posiciones particulares. Su aplicación a la IA requiere cautela: ni el origen geográfico de una herramienta prueba su carácter colonial, ni la presencia de datos latinoamericanos garantiza una relación equitativa. La pregunta analítica concierne al control de los criterios de representación y a las posibilidades de intervenir en ellos.</w:t>
      </w:r>
    </w:p>
    <w:p w14:paraId="389F5E8A" w14:textId="77777777" w:rsidR="003A2E55" w:rsidRDefault="00000000">
      <w:r>
        <w:t>Walsh (2010) distingue la interculturalidad crítica de formas de reconocimiento que incorporan diferencias sin transformar relaciones de poder. Esta distinción resulta pertinente para evaluar herramientas que ofrecen traducciones o ejemplos locales, pero reservan las decisiones relevantes a sus proveedores. En un plano educativo distinto, Anzaldúa y Yurén (2011) estudian prácticas de normalización y estrategias identitarias de estudiantes gay en México. Su investigación no trata la IA ni las identidades étnicas; permite reconocer cómo una institución puede producir exclusiones mediante normas aparentemente ordinarias. Aquí se recupera ese mecanismo como pregunta para otros contextos, sin extrapolar sus resultados.</w:t>
      </w:r>
    </w:p>
    <w:p w14:paraId="54FAA1AF" w14:textId="77777777" w:rsidR="003A2E55" w:rsidRDefault="00000000">
      <w:pPr>
        <w:pStyle w:val="Ttulo2"/>
      </w:pPr>
      <w:r>
        <w:t>Colonialidad digital y debates sobre inteligencia artificial</w:t>
      </w:r>
    </w:p>
    <w:p w14:paraId="2E199057" w14:textId="77777777" w:rsidR="003A2E55" w:rsidRDefault="00000000">
      <w:r>
        <w:t>La problematización de las infraestructuras digitales añade una dimensión económica. Couldry y Mejias (2019) plantean el colonialismo de datos para examinar la apropiación de la vida social mediante su conversión en información explotable. Kwet (2019) analiza el dominio tecnológico en el Sur global. Ricaurte (2019) conecta la organización de los datos con la colonialidad del poder y con posibilidades de resistencia. Estos trabajos desplazan la discusión desde la calidad de una respuesta hacia las relaciones que permiten producirla, capturar información y controlar su circulación. Crawford (2021) complementa esta mirada al situar la IA en condiciones materiales y laborales concretas.</w:t>
      </w:r>
    </w:p>
    <w:p w14:paraId="25C32450" w14:textId="77777777" w:rsidR="003A2E55" w:rsidRDefault="00000000">
      <w:r>
        <w:t>La literatura técnica ofrece otra línea de antecedentes. Brown et al. (2020) presentan las capacidades de GPT-3 para resolver tareas mediante instrucciones y ejemplos, junto con limitaciones y problemas de representación. Bender et al. (2021) advierten sobre los riesgos de aumentar la escala de los modelos sin examinar los datos y sus condiciones sociales de producción. Posteriormente, Ouyang et al. (2022) muestran un procedimiento de ajuste con retroalimentación humana. Esta secuencia permite comprender que las respuestas dependen de decisiones de entrenamiento y evaluación, además del corpus inicial. Gallegos et al. (2024) sistematizan formas de sesgo, evaluación y mitigación, mostrando la diversidad de problemas que reúne la categoría de equidad.</w:t>
      </w:r>
    </w:p>
    <w:p w14:paraId="4A54C836" w14:textId="77777777" w:rsidR="003A2E55" w:rsidRDefault="00000000">
      <w:r>
        <w:t>Investigaciones recientes aportan evidencia sobre representación cultural. Tao et al. (2024) comparan respuestas de cinco modelos con encuestas de valores y encuentran orientaciones cercanas a países anglófonos y europeos protestantes; también observan mejoras al proporcionar instrucciones culturales. Sus resultados se refieren a modelos y procedimientos específicos, no a identidades individuales ni a todos los sistemas disponibles. Hofmann et al. (2024) documentan prejuicios asociados con el inglés afroamericano. Ese estudio, realizado fuera de América Latina, justifica investigar variedades lingüísticas regionales, pero no demuestra por extensión que todas experimenten el mismo tratamiento.</w:t>
      </w:r>
    </w:p>
    <w:p w14:paraId="31918D78" w14:textId="77777777" w:rsidR="003A2E55" w:rsidRDefault="00000000">
      <w:r>
        <w:t>En relación con la región, Tonja et al. (2024) revisan avances y dificultades del procesamiento de lenguas indígenas latinoamericanas. Lucas et al. (2025) evalúan cinco modelos en siete lenguas indígenas y registran brechas frente a lenguas de comparación, además de limitaciones culturales. CEPAL (2025) ofrece un panorama de capacidades nacionales. Correa Lucero (2025) organiza propuestas de IA decolonial en torno a marcos alternativos, resistencia comunitaria y diseño tecnológico. Estas contribuciones muestran una agenda regional en desarrollo y evitan reducir el debate a advertencias importadas de otros contextos.</w:t>
      </w:r>
    </w:p>
    <w:p w14:paraId="37ED03DE" w14:textId="77777777" w:rsidR="003A2E55" w:rsidRDefault="00000000">
      <w:pPr>
        <w:pStyle w:val="Ttulo2"/>
      </w:pPr>
      <w:r>
        <w:t>Articulación y problema pendiente</w:t>
      </w:r>
    </w:p>
    <w:p w14:paraId="1ABA3C3C" w14:textId="77777777" w:rsidR="003A2E55" w:rsidRDefault="00000000">
      <w:r>
        <w:t>La Recomendación sobre la ética de la inteligencia artificial de la UNESCO (2021) y la guía educativa de Miao y Holmes (2023) sitúan la diversidad y la intervención humana entre los criterios de orientación. Los principios CARE añaden una perspectiva de gobernanza indígena que reconoce beneficio colectivo, autoridad para controlar, responsabilidad y ética (Carroll et al., 2020). La convergencia entre estas líneas permite formular un problema todavía abierto: cómo pasan los errores o las asimetrías de representación a incidir en prácticas de autodefinición y transmisión cultural. El capítulo propone examinar ese vínculo mediante mecanismos y condiciones de uso, sin presentar las limitaciones de desempeño como prueba directa de pérdida identitaria.</w:t>
      </w:r>
    </w:p>
    <w:p w14:paraId="75A58271" w14:textId="77777777" w:rsidR="003A2E55" w:rsidRDefault="00000000">
      <w:pPr>
        <w:pStyle w:val="Ttulo1"/>
      </w:pPr>
      <w:r>
        <w:t>Metodología</w:t>
      </w:r>
    </w:p>
    <w:p w14:paraId="698A0F2D" w14:textId="77777777" w:rsidR="003A2E55" w:rsidRDefault="00000000">
      <w:r>
        <w:t>El capítulo se elabora como un ensayo académico sustentado en una revisión documental narrativa, de orientación crítica e interpretativa. La unidad de análisis son argumentos, resultados publicados y propuestas sobre cultura, poder, educación y modelos de lenguaje. No se realiza trabajo de campo ni se administran pruebas propias a sistemas de IA. Por ello, los hallazgos que se presentan corresponden a una elaboración conceptual y al diálogo entre fuentes; no describen comportamientos observados en una población de estudiantes o docentes.</w:t>
      </w:r>
    </w:p>
    <w:p w14:paraId="7075215D" w14:textId="77777777" w:rsidR="003A2E55" w:rsidRDefault="00000000">
      <w:r>
        <w:t>El punto de partida son los materiales de disertación aportados y los textos sobre colonialidad, diversidad escolar, modelos de lenguaje y sesgos. La bibliografía se amplía mediante consultas dirigidas a publicaciones académicas, repositorios y documentos de organismos especializados, priorizando fuentes primarias. La selección es intencional: considera pertinencia para la pregunta del capítulo, identificación verificable de autoría y posibilidad de relacionar el documento con un mecanismo específico. Se incluyen antecedentes históricos y trabajos técnicos o regionales publicados hasta 2025. La búsqueda fue realizada para esta versión en octubre de 2026 y no pretende cubrir exhaustivamente todas las publicaciones disponibles.</w:t>
      </w:r>
    </w:p>
    <w:p w14:paraId="588DDBD4" w14:textId="77777777" w:rsidR="003A2E55" w:rsidRDefault="00000000">
      <w:r>
        <w:t>La lectura se organiza en tres núcleos: concepciones de identidad y legitimidad del conocimiento; características y asimetrías de los sistemas generativos; condiciones educativas y comunitarias de apropiación. Se comparan las afirmaciones de las fuentes, sus ámbitos de aplicación y los límites de la evidencia que ofrecen. En particular, se distingue entre estudios de desempeño lingüístico, investigaciones sobre sesgo y argumentos relativos a dominación cultural, porque corresponden a objetos y escalas diferentes.</w:t>
      </w:r>
    </w:p>
    <w:p w14:paraId="55373559" w14:textId="77777777" w:rsidR="003A2E55" w:rsidRDefault="00000000">
      <w:r>
        <w:t>La interpretación construye cinco mecanismos de riesgo y examina las condiciones que podrían conectarlos con un debilitamiento identitario. Para cada mecanismo se explicita el proceso propuesto, se dialoga con los antecedentes y se identifican posibilidades de intervención. Las situaciones educativas incluidas son ejemplos hipotéticos, elaborados para aclarar el argumento. No constituyen casos investigados ni testimonios y, por tanto, no se utilizan como evidencia empírica.</w:t>
      </w:r>
    </w:p>
    <w:p w14:paraId="42066F4C" w14:textId="77777777" w:rsidR="003A2E55" w:rsidRDefault="00000000">
      <w:r>
        <w:t>Este procedimiento tiene límites. La selección no permite estimar prevalencias, medir cambios culturales ni establecer causalidad entre uso de IA e identidad. Las evaluaciones técnicas citadas corresponden a determinadas versiones y tareas; sus resultados requieren nueva comprobación cuando cambian las herramientas. Asimismo, las categorías propuestas deben discutirse con comunidades diversas antes de emplearse como instrumentos de evaluación. Su función en este capítulo es organizar el debate y formular preguntas contrastables, conservando la diferencia entre un riesgo razonado y un daño efectivamente demostrado.</w:t>
      </w:r>
    </w:p>
    <w:p w14:paraId="750AA2DC" w14:textId="77777777" w:rsidR="0079233F" w:rsidRDefault="0079233F"/>
    <w:p w14:paraId="6BAA3A3C" w14:textId="77777777" w:rsidR="0079233F" w:rsidRDefault="0079233F"/>
    <w:p w14:paraId="0BE899E5" w14:textId="77777777" w:rsidR="003A2E55" w:rsidRDefault="00000000">
      <w:pPr>
        <w:pStyle w:val="Ttulo1"/>
      </w:pPr>
      <w:r>
        <w:lastRenderedPageBreak/>
        <w:t>Resultados y discusión</w:t>
      </w:r>
    </w:p>
    <w:p w14:paraId="75648D27" w14:textId="77777777" w:rsidR="003A2E55" w:rsidRDefault="00000000">
      <w:r>
        <w:t>El análisis organiza el problema en cinco mecanismos: normalización lingüística, subordinación de saberes, sustitución de la autoría situada, simplificación de memorias y apropiación de datos culturales. Se trata de mecanismos interpretativos que pueden superponerse y cuya incidencia depende de prácticas e instituciones. Su formulación permite desplazar una preocupación general por la pérdida de identidad hacia procesos que podrían observarse y discutirse. El vínculo propuesto exige atender a lo que ocurre entre la generación de una respuesta y su incorporación a una práctica social. Un contenido impreciso puede descartarse; el mismo contenido puede adquirir influencia cuando se utiliza repetidamente como referencia para enseñar, evaluar o explicar una experiencia colectiva.</w:t>
      </w:r>
    </w:p>
    <w:p w14:paraId="2D87FC64" w14:textId="77777777" w:rsidR="003A2E55" w:rsidRDefault="00000000">
      <w:pPr>
        <w:pStyle w:val="Ttulo2"/>
      </w:pPr>
      <w:r>
        <w:t>La pérdida identitaria como reducción de posibilidades</w:t>
      </w:r>
    </w:p>
    <w:p w14:paraId="54EA5F78" w14:textId="77777777" w:rsidR="003A2E55" w:rsidRDefault="00000000">
      <w:r>
        <w:t>Hablar de pérdida identitaria requiere precisar qué se considera amenazado. Las identidades se construyen mediante relaciones, narraciones y reconocimientos que cambian con el tiempo. Desde la perspectiva de García Canclini (1990), resulta inadecuado establecer una autenticidad cultural intacta como medida de toda transformación. En este capítulo, el debilitamiento identitario designa una reducción de las posibilidades de nombrar la experiencia propia, transmitir repertorios valorados y participar en las decisiones sobre su representación. Esa definición permite discutir el riesgo sin convertir las innovaciones o los intercambios culturales en signos automáticos de deterioro.</w:t>
      </w:r>
    </w:p>
    <w:p w14:paraId="3E5D61F3" w14:textId="77777777" w:rsidR="003A2E55" w:rsidRDefault="00000000">
      <w:r>
        <w:t>Un estudiante puede incorporar nuevas palabras mediante una herramienta y ampliar su capacidad expresiva. También puede aprender que las expresiones de su entorno deben eliminarse para que su texto sea considerado adecuado. La diferencia depende de quién establece la finalidad de la modificación y de si el estudiante conserva alternativas. La pérdida se vuelve una hipótesis pertinente cuando la adaptación a un patrón externo deja de ser una elección y se convierte en condición para recibir reconocimiento. Lo relevante es la relación entre la variación del lenguaje y la distribución de autoridad sobre esa variación.</w:t>
      </w:r>
    </w:p>
    <w:p w14:paraId="1F837B93" w14:textId="77777777" w:rsidR="003A2E55" w:rsidRDefault="00000000">
      <w:r>
        <w:t>Esta concepción obliga a considerar conflictos internos. Las comunidades no poseen una voz única y sus miembros pueden disputar tradiciones, relaciones de género o formas de pertenencia. La protección cultural no debería dar a quienes ocupan posiciones dominantes la facultad de fijar qué identidad es legítima para todos. Anzaldúa y Yurén (2011) muestran que las estrategias identitarias pueden desarrollarse frente a prácticas escolares de normalización. El diálogo con su investigación permite sostener que preservar posibilidades de autodefinición requiere atender también a las diferencias dentro de una misma institución o colectividad.</w:t>
      </w:r>
    </w:p>
    <w:p w14:paraId="12287725" w14:textId="77777777" w:rsidR="003A2E55" w:rsidRDefault="00000000">
      <w:r>
        <w:t>Para investigar el riesgo propuesto sería necesario observar procesos concretos: cambios en las variedades lingüísticas aceptadas, presencia de fuentes comunitarias en trabajos educativos y oportunidades para cuestionar representaciones. Ningún indicador aislado bastaría para concluir que existe pérdida identitaria. Una menor presencia de expresiones locales puede responder a una decisión comunicativa o a una exigencia institucional. La interpretación necesita recuperar las razones de los participantes y las condiciones de reconocimiento. Así, la identidad se examina como una relación social y no como una propiedad que un sistema pudiera medir desde fuera mediante un puntaje universal.</w:t>
      </w:r>
    </w:p>
    <w:p w14:paraId="356F7785" w14:textId="77777777" w:rsidR="003A2E55" w:rsidRDefault="00000000">
      <w:pPr>
        <w:pStyle w:val="Ttulo2"/>
      </w:pPr>
      <w:r>
        <w:lastRenderedPageBreak/>
        <w:t>Los modelos de lenguaje como mediaciones culturales</w:t>
      </w:r>
    </w:p>
    <w:p w14:paraId="1049022F" w14:textId="77777777" w:rsidR="003A2E55" w:rsidRDefault="00000000">
      <w:r>
        <w:t>Para comprender los riesgos conviene establecer cómo intervienen los modelos de lenguaje. En términos generales, aprenden regularidades a partir de datos y producen secuencias de texto condicionadas por el contexto de interacción. El trabajo de Brown et al. (2020) permite explicar el aprendizaje y las capacidades de generación sin atribuir al sistema una experiencia cultural propia. La producción de respuestas combina regularidades complejas; no consiste simplemente en elegir la palabra más frecuente ni implica que toda salida reproduzca literalmente un documento de entrenamiento.</w:t>
      </w:r>
    </w:p>
    <w:p w14:paraId="5BE588E2" w14:textId="77777777" w:rsidR="003A2E55" w:rsidRDefault="00000000">
      <w:r>
        <w:t>La distribución de los datos es relevante, pero no explica por sí sola el resultado. La selección y el filtrado del corpus, las tareas de entrenamiento, el ajuste mediante instrucciones y los criterios de evaluación intervienen en las respuestas. Ouyang et al. (2022) muestran cómo la retroalimentación humana puede orientar un modelo hacia comportamientos considerados preferibles. Esa preferencia plantea una cuestión cultural: quiénes evalúan, qué entienden por una respuesta adecuada y qué experiencias tienen disponibles para juzgarla. No puede suponerse que todos los proveedores utilicen el mismo procedimiento ni que sus decisiones sean completamente conocidas.</w:t>
      </w:r>
    </w:p>
    <w:p w14:paraId="0FC12EB4" w14:textId="77777777" w:rsidR="003A2E55" w:rsidRDefault="00000000">
      <w:r>
        <w:t>La fluidez presenta un problema adicional. Una explicación ordenada puede parecer confiable aunque omita incertidumbres o genere información que no corresponde con las fuentes. Bender et al. (2021) advierten sobre la tendencia a atribuir significado y autoridad a formas lingüísticas plausibles. Recuperar esa advertencia no exige resolver aquí el debate filosófico sobre si una máquina comprende. Basta reconocer que la calidad de la redacción no verifica la exactitud ni la pertinencia cultural de su contenido. En educación, ambas dimensiones deben examinarse por separado.</w:t>
      </w:r>
    </w:p>
    <w:p w14:paraId="012978C0" w14:textId="77777777" w:rsidR="003A2E55" w:rsidRDefault="00000000">
      <w:r>
        <w:t>La mediación también depende de la interfaz y de su uso. Una respuesta única, presentada con seguridad, puede desalentar la comparación con versiones alternativas. Sin embargo, docentes y estudiantes pueden introducir documentos, solicitar justificaciones y confrontar resultados. Martín-Barbero (1987) permite situar estas prácticas de apropiación como parte del problema. La arquitectura tecnológica condiciona posibilidades, mientras que la organización pedagógica define cómo se utilizan y qué autoridad reciben. De esta articulación surge la hipótesis del capítulo: las asimetrías de representación pueden adquirir efectos identitarios cuando una práctica institucional las transforma en criterios recurrentes de legitimidad.</w:t>
      </w:r>
    </w:p>
    <w:p w14:paraId="2F0A0A8F" w14:textId="77777777" w:rsidR="003A2E55" w:rsidRDefault="00000000">
      <w:pPr>
        <w:pStyle w:val="Ttulo2"/>
      </w:pPr>
      <w:r>
        <w:t>Normalización lingüística y desigualdad de reconocimiento</w:t>
      </w:r>
    </w:p>
    <w:p w14:paraId="2F43DB41" w14:textId="77777777" w:rsidR="003A2E55" w:rsidRDefault="00000000">
      <w:r>
        <w:t>El primer mecanismo concierne a la normalización del lenguaje. Es razonable que una herramienta ayude a corregir errores o adaptar un texto a un destinatario. El riesgo aparece cuando variedades territoriales, formas de oralidad o expresiones de una comunidad se interpretan sistemáticamente como deficiencias. En ese caso, la asistencia puede contribuir a establecer un repertorio de formas aceptables cuyo origen y alcance cultural no se discuten. La observación de Anzaldúa y Yurén (2011) sobre prácticas de normalización permite preguntar cómo la aceptación institucional de una diferencia puede quedar condicionada a su modificación.</w:t>
      </w:r>
    </w:p>
    <w:p w14:paraId="593F20A5" w14:textId="77777777" w:rsidR="003A2E55" w:rsidRDefault="00000000">
      <w:r>
        <w:t xml:space="preserve">Considérese una situación hipotética: un estudiante redacta una crónica de su barrio y solicita mejorarla. La herramienta sustituye expresiones de uso local, vuelve impersonal la voz narrativa y elimina referencias cuyo significado no reconoce. Si el docente valora únicamente la </w:t>
      </w:r>
      <w:r>
        <w:lastRenderedPageBreak/>
        <w:t>corrección de la versión final, podría reforzar la idea de que escribir bien exige abandonar rasgos de la experiencia narrada. Si compara ambas versiones y pregunta qué se ganó y qué se perdió, la modificación puede convertirse en una oportunidad de aprendizaje. El mismo recurso participa en relaciones educativas distintas.</w:t>
      </w:r>
    </w:p>
    <w:p w14:paraId="65D43BD5" w14:textId="77777777" w:rsidR="003A2E55" w:rsidRDefault="00000000">
      <w:r>
        <w:t>La dificultad aumenta cuando una lengua tiene escasa presencia en los recursos empleados para desarrollar modelos. Tonja et al. (2024) muestran la necesidad de atender el procesamiento de lenguas indígenas desde perspectivas inclusivas. Lucas et al. (2025) documentan limitaciones en comprensión, expresión y adaptación cultural en los sistemas evaluados. Esa evidencia permite advertir que una traducción aparentemente terminada puede requerir revisión de hablantes competentes. No permite afirmar que todas las lenguas indígenas estén ausentes de todos los modelos o que la traducción automática provoque necesariamente abandono lingüístico.</w:t>
      </w:r>
    </w:p>
    <w:p w14:paraId="1A085377" w14:textId="77777777" w:rsidR="003A2E55" w:rsidRDefault="00000000">
      <w:r>
        <w:t>El estudio de Hofmann et al. (2024) aporta un antecedente sobre prejuicio dialectal en un contexto diferente. Su pertinencia consiste en mostrar que la discriminación puede aparecer sin nombrar explícitamente al grupo afectado. Para América Latina, esto abre preguntas sobre variedades del español y del portugués, alternancias de lengua y formas de escritura vinculadas con trayectorias educativas diversas. Una intervención pertinente debería evaluar esos repertorios con sus hablantes, registrar errores y preservar el derecho a utilizar formas locales cuando cumplen la finalidad comunicativa. La enseñanza de registros adicionales puede ampliar recursos sin presentar el repertorio de origen como un obstáculo cultural.</w:t>
      </w:r>
    </w:p>
    <w:p w14:paraId="4C76C416" w14:textId="77777777" w:rsidR="003A2E55" w:rsidRDefault="00000000">
      <w:pPr>
        <w:pStyle w:val="Ttulo2"/>
      </w:pPr>
      <w:r>
        <w:t>Subordinación de saberes y autoridad epistemológica</w:t>
      </w:r>
    </w:p>
    <w:p w14:paraId="034D6141" w14:textId="77777777" w:rsidR="003A2E55" w:rsidRDefault="00000000">
      <w:r>
        <w:t>El segundo mecanismo se produce cuando los conocimientos que un modelo representa con mayor facilidad adquieren una autoridad desproporcionada frente a otros. La digitalización desigual influye en la disponibilidad de información, pero la falta de representación no vuelve menos válido un conocimiento. Quijano (2000) permite comprender que las jerarquías del saber tienen una historia vinculada con la clasificación de sujetos y experiencias. En el campo educativo, una respuesta automatizada puede prolongar esa jerarquía si se utiliza para decidir qué formas de conocimiento merecen atención.</w:t>
      </w:r>
    </w:p>
    <w:p w14:paraId="4A98A53F" w14:textId="77777777" w:rsidR="003A2E55" w:rsidRDefault="00000000">
      <w:r>
        <w:t>Una situación hipotética ayuda a precisar el proceso. Una clase indaga prácticas de cultivo de una localidad y obtiene explicaciones de productores y familiares. Al consultar una herramienta, encuentra recomendaciones generales expresadas con vocabulario técnico. Si las discrepancias se resuelven automáticamente en favor de la salida generada, se establece una desigualdad de autoridad antes de examinar la evidencia. Si se investigan condiciones del suelo, experiencias acumuladas y límites de cada explicación, el contraste puede enriquecer el aprendizaje. La procedencia local tampoco convierte por sí misma una afirmación en verdadera; su evaluación necesita criterios adecuados al problema.</w:t>
      </w:r>
    </w:p>
    <w:p w14:paraId="5D08494A" w14:textId="77777777" w:rsidR="003A2E55" w:rsidRDefault="00000000">
      <w:r>
        <w:t>La interculturalidad crítica de Walsh (2010) permite orientar esta discusión hacia las condiciones del diálogo. Incluir una referencia indígena o una imagen regional puede ampliar la representación y, al mismo tiempo, dejar intactos los criterios que subordinan esos saberes. En términos de este capítulo, el reconocimiento resulta limitado cuando los participantes aportan contenido, pero no pueden modificar las preguntas, los criterios de validación o las decisiones de uso. La participación debería alcanzar los momentos en los que se define qué cuenta como conocimiento pertinente.</w:t>
      </w:r>
    </w:p>
    <w:p w14:paraId="21F07FD7" w14:textId="77777777" w:rsidR="003A2E55" w:rsidRDefault="00000000">
      <w:r>
        <w:lastRenderedPageBreak/>
        <w:t>Ricaurte (2019) ofrece una base para preguntar qué experiencias quedan fuera cuando el mundo se organiza mediante datos disponibles y categorías predefinidas. Parte de los conocimientos se transmite en relaciones, prácticas y situaciones que una descripción textual no agota. Convertirlos en fragmentos consultables puede facilitar determinados usos, pero también separar el enunciado de sus condiciones de aprendizaje. Se propone entonces evaluar la IA mediante su relación con esas condiciones: qué fuentes reconoce, qué incertidumbres conserva y a quién permite corregir. La justicia epistemológica requiere posibilidad de intervención, además de presencia en una base de información.</w:t>
      </w:r>
    </w:p>
    <w:p w14:paraId="22651A6C" w14:textId="77777777" w:rsidR="003A2E55" w:rsidRDefault="00000000">
      <w:pPr>
        <w:pStyle w:val="Ttulo2"/>
      </w:pPr>
      <w:r>
        <w:t>Sustitución de la autoría situada y delegación del juicio</w:t>
      </w:r>
    </w:p>
    <w:p w14:paraId="1BB3675F" w14:textId="77777777" w:rsidR="003A2E55" w:rsidRDefault="00000000">
      <w:r>
        <w:t>El tercer mecanismo afecta la elaboración de una voz propia. La escritura escolar y académica ofrece oportunidades para seleccionar argumentos, relacionar experiencias y asumir responsabilidad por lo que se afirma. Una herramienta puede asistir ese trabajo al sugerir estructuras o señalar contradicciones. El riesgo aumenta cuando sustituye esas decisiones y la producción se entrega como si expresara una elaboración del autor. La identidad involucrada incluye la posibilidad de reconocerse como alguien que interpreta y aporta, además de la pertenencia a un grupo cultural.</w:t>
      </w:r>
    </w:p>
    <w:p w14:paraId="4C915B96" w14:textId="77777777" w:rsidR="003A2E55" w:rsidRDefault="00000000">
      <w:r>
        <w:t>Esta discusión requiere distinguir asistencia y desplazamiento. Solicitar ayuda para revisar la claridad de un párrafo puede ampliar autonomía si el estudiante examina las alternativas y decide. Encargar una explicación completa, adoptarla sin comprenderla y utilizarla para representar una experiencia personal reduce las oportunidades de construir y defender una posición. El criterio no depende exclusivamente de cuántas veces se usa la herramienta. Depende de qué decisiones se delegan y de cuáles se conservan disponibles para el sujeto.</w:t>
      </w:r>
    </w:p>
    <w:p w14:paraId="7F736C8B" w14:textId="77777777" w:rsidR="003A2E55" w:rsidRDefault="00000000">
      <w:r>
        <w:t>Freire (1970/2005) aporta una orientación para valorar esta relación: la educación problematizadora requiere participación en la lectura y transformación del mundo. Aplicada al problema actual, esa orientación invita a revisar tareas que premian únicamente la entrega de un texto correcto. Una producción fluida puede ocultar la ausencia de decisiones propias, mientras que una redacción inicial menos pulida puede mostrar una interpretación relevante. La evaluación debería recuperar borradores, explicaciones de cambios y argumentos que el estudiante pueda discutir, sin convertir cada actividad en una vigilancia tecnológica.</w:t>
      </w:r>
    </w:p>
    <w:p w14:paraId="0A1815A6" w14:textId="77777777" w:rsidR="003A2E55" w:rsidRDefault="00000000">
      <w:r>
        <w:t>La responsabilidad tampoco puede concentrarse en el estudiante. Cuando una institución incorpora plataformas y exige rapidez sin ofrecer tiempo para comparar fuentes, contribuye a una delegación difícil de evitar. Docentes que recurren a materiales generados bajo presión pueden enfrentar un problema similar. Por eso, el abuso se entiende aquí como una relación de uso que desplaza de manera sostenida capacidades de interpretación y responsabilidad necesarias para la tarea. Se propone reservar momentos de elaboración personal y comunitaria, explicitar el apoyo recibido y discutir las decisiones adoptadas. Así se protege la autoría como práctica formativa, en lugar de reducirla a la comprobación del origen de un archivo.</w:t>
      </w:r>
    </w:p>
    <w:p w14:paraId="59032C3D" w14:textId="77777777" w:rsidR="003A2E55" w:rsidRDefault="00000000">
      <w:pPr>
        <w:pStyle w:val="Ttulo2"/>
      </w:pPr>
      <w:r>
        <w:t>Memorias colectivas y representaciones simplificadas</w:t>
      </w:r>
    </w:p>
    <w:p w14:paraId="69C4FD12" w14:textId="77777777" w:rsidR="003A2E55" w:rsidRDefault="00000000">
      <w:r>
        <w:t xml:space="preserve">El cuarto mecanismo concierne a las narraciones sobre el pasado y las formas de representar colectivos. Una respuesta que reúne información heterogénea puede producir relatos accesibles, pero también borrar diferencias y conflictos. Las memorias de una comunidad incluyen selecciones, testimonios y controversias cuya procedencia importa. Cuando la síntesis generada pierde esas relaciones, puede ofrecer una versión uniforme de una experiencia que sus </w:t>
      </w:r>
      <w:r>
        <w:lastRenderedPageBreak/>
        <w:t>participantes narran de formas distintas. La claridad narrativa no resuelve la legitimidad de esa representación.</w:t>
      </w:r>
    </w:p>
    <w:p w14:paraId="452D7E5F" w14:textId="77777777" w:rsidR="003A2E55" w:rsidRDefault="00000000">
      <w:r>
        <w:t>Tao et al. (2024) muestran que las respuestas de los modelos examinados no reflejan indistintamente los valores de todas las sociedades. Su estudio también encuentra que proporcionar contexto cultural puede mejorar ciertos resultados. La interpretación pertinente conserva ambos aspectos: existen orientaciones detectables y existen posibilidades de intervención. El estudio no demuestra transformaciones en la identidad de usuarios latinoamericanos. Su aporte al argumento consiste en justificar la revisión de los supuestos culturales de las respuestas, incluso cuando el contenido no contiene un estereotipo explícito.</w:t>
      </w:r>
    </w:p>
    <w:p w14:paraId="7D55CC63" w14:textId="77777777" w:rsidR="003A2E55" w:rsidRDefault="00000000">
      <w:r>
        <w:t>Una situación hipotética sería la elaboración de una historia local a partir de documentos y entrevistas. Si se encarga a una herramienta completar los vacíos y se incorporan episodios plausibles sin identificación de fuentes, el texto puede terminar atribuyendo experiencias que nadie documentó. La posterior circulación escolar o digital podría otorgar apariencia de memoria compartida a esa elaboración. El problema combina inexactitud y sustitución de voces. La respuesta debe distinguir qué procede de testimonios, qué tiene respaldo documental y qué constituye una interpretación o una propuesta narrativa.</w:t>
      </w:r>
    </w:p>
    <w:p w14:paraId="5F8EF5E9" w14:textId="77777777" w:rsidR="003A2E55" w:rsidRDefault="00000000">
      <w:r>
        <w:t>La homogeneización puede afectar también la descripción del presente. Solicitar un ejemplo de familia, comunidad o ciudadanía sin precisar contextos puede favorecer esquemas que resultan insuficientes para la experiencia de los participantes. Las instrucciones culturales ayudan, pero pueden reproducir estereotipos si tratan una nacionalidad o pertenencia como identidad uniforme. Se propone trabajar con fuentes diversas y contrastar quién aparece, quién habla y qué diferencias se omiten. El objetivo educativo es permitir que los participantes reconozcan y cuestionen su representación. Esa posibilidad favorece memorias abiertas a la discusión y evita exigir una versión cultural oficial como condición de pertenencia.</w:t>
      </w:r>
    </w:p>
    <w:p w14:paraId="0A7CE6E8" w14:textId="77777777" w:rsidR="003A2E55" w:rsidRDefault="00000000">
      <w:pPr>
        <w:pStyle w:val="Ttulo2"/>
      </w:pPr>
      <w:r>
        <w:t>Apropiación de datos y capacidad de decidir</w:t>
      </w:r>
    </w:p>
    <w:p w14:paraId="74B2FE09" w14:textId="77777777" w:rsidR="003A2E55" w:rsidRDefault="00000000">
      <w:r>
        <w:t>El quinto mecanismo remite al control de los materiales culturales. Recopilar relatos, imágenes o vocabularios para una herramienta puede contribuir a su uso educativo, aunque también puede separar esos materiales de quienes regulaban su transmisión. Couldry y Mejias (2019) permiten preguntar por las relaciones de apropiación que acompañan la conversión de la experiencia en datos. Kwet (2019) añade la importancia del control de infraestructuras. La cuestión identitaria concierne aquí a la facultad de decidir qué se comparte, para qué se utiliza y quién obtiene beneficios.</w:t>
      </w:r>
    </w:p>
    <w:p w14:paraId="11C8A279" w14:textId="77777777" w:rsidR="003A2E55" w:rsidRDefault="00000000">
      <w:r>
        <w:t>Carroll et al. (2020) presentan los principios CARE para la gobernanza de datos indígenas. Su incorporación exige reconocer que su ámbito específico no equivale a cualquier práctica de almacenamiento escolar. Como orientación para el capítulo, permiten discutir el beneficio colectivo y la autoridad de las comunidades sobre decisiones relativas a sus datos. Una participación reducida a aportar documentos deja sin resolver los usos posteriores, las condiciones de acceso y la posibilidad de retirar materiales. Estas decisiones deberían formar parte de la negociación antes de recopilar información.</w:t>
      </w:r>
    </w:p>
    <w:p w14:paraId="590DB188" w14:textId="77777777" w:rsidR="003A2E55" w:rsidRDefault="00000000">
      <w:r>
        <w:t xml:space="preserve">La mayor representación digital no siempre coincide con mayor protección cultural. Algunos conocimientos tienen condiciones de circulación vinculadas con relaciones comunitarias o experiencias de aprendizaje. Exponerlos sin autorización puede vulnerar esas condiciones aunque la reproducción sea técnicamente correcta. La posibilidad de no digitalizar o </w:t>
      </w:r>
      <w:r>
        <w:lastRenderedPageBreak/>
        <w:t>de limitar un uso debe integrar la discusión. La formación de corpus locales necesita atender a diversidad interna, reconocimiento de contribuciones y distribución de responsabilidades; no basta con clasificar un conjunto de archivos como latinoamericano.</w:t>
      </w:r>
    </w:p>
    <w:p w14:paraId="7D60835F" w14:textId="77777777" w:rsidR="003A2E55" w:rsidRDefault="00000000">
      <w:r>
        <w:t>Crawford (2021) recuerda que la IA depende de recursos y trabajo situados. En consecuencia, la capacidad regional de orientar herramientas requiere instituciones que puedan sostener decisiones y evaluar acuerdos. CEPAL (2025) describe diferencias de capacidades que vuelven insuficiente una solución única. La propuesta del capítulo es entender la soberanía tecnológica como posibilidad efectiva de intervenir en finalidades, datos y condiciones de uso, incluso cuando existen colaboraciones internacionales. El desarrollo local puede ampliar esa capacidad, pero su procedencia no elimina automáticamente exclusiones ni concentra de manera justa la autoridad.</w:t>
      </w:r>
    </w:p>
    <w:p w14:paraId="7A9CD2F6" w14:textId="77777777" w:rsidR="003A2E55" w:rsidRDefault="00000000">
      <w:pPr>
        <w:pStyle w:val="Ttulo2"/>
      </w:pPr>
      <w:r>
        <w:t>Condiciones que intensifican el uso y abuso</w:t>
      </w:r>
    </w:p>
    <w:p w14:paraId="6D562685" w14:textId="77777777" w:rsidR="003A2E55" w:rsidRDefault="00000000">
      <w:r>
        <w:t>Los mecanismos identificados adquieren distinta relevancia según la combinación de condiciones. Una respuesta general tiene mayor posibilidad de convertirse en norma cuando falta acceso a fuentes diversas, se atribuye confianza a su presentación y la evaluación recompensa únicamente su reproducción. La dependencia se intensifica si los participantes carecen de tiempo o conocimientos para revisar el contenido. Este razonamiento no permite asignar un grado de daño a cada institución; permite formular una hipótesis sobre la relación entre asimetría tecnológica y organización educativa.</w:t>
      </w:r>
    </w:p>
    <w:p w14:paraId="1D109F99" w14:textId="77777777" w:rsidR="003A2E55" w:rsidRDefault="00000000">
      <w:r>
        <w:t>Conviene distinguir cuatro momentos analíticos: exposición a una representación, aceptación de su autoridad, reiteración en prácticas y posible desplazamiento de alternativas. La exposición por sí sola no demuestra una consecuencia identitaria. Un estudiante puede detectar un estereotipo y usarlo para cuestionar la herramienta. El desplazamiento se vuelve plausible cuando las alternativas dejan de enseñarse, circular o recibir legitimidad. Este encadenamiento evita saltar desde un error puntual a una conclusión general y ofrece una secuencia que futuras investigaciones podrían observar.</w:t>
      </w:r>
    </w:p>
    <w:p w14:paraId="21C77DFC" w14:textId="77777777" w:rsidR="003A2E55" w:rsidRDefault="00000000">
      <w:r>
        <w:t>Gallegos et al. (2024) muestran que los sesgos requieren métodos y criterios de evaluación diversos. En relación con las identidades, se propone ampliar la revisión más allá de la presencia de términos ofensivos. Resulta pertinente analizar omisiones, sustitución de variedades, fuentes privilegiadas y posibilidades de corrección. La evidencia debe mantenerse diferenciada: encontrar una omisión documenta un problema de representación; establecer una pérdida en la transmisión cultural requiere observar prácticas a lo largo del tiempo y recuperar la perspectiva de sus participantes.</w:t>
      </w:r>
    </w:p>
    <w:p w14:paraId="7D38F85F" w14:textId="77777777" w:rsidR="003A2E55" w:rsidRDefault="00000000">
      <w:r>
        <w:t>La definición de abuso utilizada aquí es deliberadamente contextual. Una delegación extensa puede ser adecuada en una tarea rutinaria y resultar problemática cuando la finalidad es aprender a argumentar o narrar una experiencia. Las instituciones deberían precisar qué capacidades se espera desarrollar y qué decisiones requieren participación humana. Esta definición evita responsabilizar de forma aislada a quien utiliza una herramienta disponible y desplaza la atención hacia finalidades y condiciones de uso. El riesgo identitario aumenta cuando esas condiciones vuelven prescindibles las voces locales, sin ofrecer procedimientos para discutir o modificar su exclusión.</w:t>
      </w:r>
    </w:p>
    <w:p w14:paraId="0D9D4DD3" w14:textId="77777777" w:rsidR="003A2E55" w:rsidRDefault="00000000">
      <w:pPr>
        <w:pStyle w:val="Ttulo2"/>
      </w:pPr>
      <w:r>
        <w:lastRenderedPageBreak/>
        <w:t>Apropiación intercultural y prácticas educativas</w:t>
      </w:r>
    </w:p>
    <w:p w14:paraId="66BF4E20" w14:textId="77777777" w:rsidR="003A2E55" w:rsidRDefault="00000000">
      <w:r>
        <w:t>La revisión permite proponer una apropiación intercultural basada en decisiones discutibles y evaluación contextual. Miao y Holmes (2023) orientan la incorporación educativa hacia una perspectiva centrada en las personas. Desde el argumento desarrollado, esa orientación requiere que los participantes puedan reconocer qué intervención tuvo la herramienta y por qué aceptaron, corrigieron o descartaron sus aportes. Una alfabetización crítica en IA debería incluir preguntas sobre representación cultural junto con conocimientos básicos sobre funcionamiento y verificación de fuentes.</w:t>
      </w:r>
    </w:p>
    <w:p w14:paraId="5424FD7C" w14:textId="77777777" w:rsidR="003A2E55" w:rsidRDefault="00000000">
      <w:r>
        <w:t>Una actividad posible consiste en comparar una respuesta generada sobre un asunto local con documentos y relatos autorizados. El grupo identifica diferencias, pregunta por su procedencia y elabora una explicación propia. Otra actividad examina dos versiones de un texto para analizar si una mejora formal modificó la voz o el significado. Estas propuestas no presuponen que la salida tecnológica esté equivocada ni que la fuente local sea incuestionable. Permiten construir criterios de análisis y hacer visibles decisiones que una tarea centrada en el producto final puede ocultar.</w:t>
      </w:r>
    </w:p>
    <w:p w14:paraId="2A1D726A" w14:textId="77777777" w:rsidR="003A2E55" w:rsidRDefault="00000000">
      <w:r>
        <w:t>La evaluación institucional necesita reconocer la pertinencia cultural como dimensión explícita. Las herramientas deberían examinarse con tareas relevantes para sus destinatarios y participación de hablantes y productores de saberes. También se requiere tiempo docente para contrastar materiales y condiciones que permitan rechazar usos poco adecuados. La Recomendación de la UNESCO (2021) ofrece un marco ético para orientar estas decisiones, aunque su existencia no prueba que se cumplan en cada plataforma o centro educativo. La responsabilidad práctica requiere actores identificables y procedimientos de revisión.</w:t>
      </w:r>
    </w:p>
    <w:p w14:paraId="46BB035B" w14:textId="77777777" w:rsidR="003A2E55" w:rsidRDefault="00000000">
      <w:r>
        <w:t>Correa Lucero (2025) muestra que las propuestas de IA decolonial abarcan marcos alternativos, resistencia y diseño. El capítulo converge con esa apertura, pero propone evaluar cada experiencia por sus posibilidades efectivas de participación. La incorporación de contenidos regionales es una intervención valiosa cuando fortalece capacidades de decisión y admite diferencias internas. Las comunidades deben poder establecer límites, revisar resultados y sostener usos que respondan a sus finalidades. La apropiación intercultural se reconoce en esas prácticas, y su evaluación necesita incluir lo que las personas pueden seguir haciendo por sí mismas y con otros después de incorporar una herramienta.</w:t>
      </w:r>
    </w:p>
    <w:p w14:paraId="0F7C9267" w14:textId="77777777" w:rsidR="003A2E55" w:rsidRDefault="00000000">
      <w:pPr>
        <w:pStyle w:val="Ttulo1"/>
      </w:pPr>
      <w:r>
        <w:t>Conclusiones y propuestas</w:t>
      </w:r>
    </w:p>
    <w:p w14:paraId="390932D0" w14:textId="77777777" w:rsidR="003A2E55" w:rsidRDefault="00000000">
      <w:r>
        <w:t>El capítulo sostiene que los riesgos de pérdida identitaria asociados con la IA generativa deben examinarse como procesos condicionados por relaciones educativas y sociales. La revisión identifica problemas documentados de sesgo y representación, y construye un argumento sobre su posible relación con el debilitamiento de la autodefinición y la transmisión cultural. Esta distinción evita convertir una limitación técnica en prueba de una consecuencia social generalizada. El riesgo se vuelve relevante cuando las representaciones generadas adquieren autoridad recurrente y desplazan las posibilidades de producir, discutir y validar conocimientos situados.</w:t>
      </w:r>
    </w:p>
    <w:p w14:paraId="30EF34A6" w14:textId="77777777" w:rsidR="003A2E55" w:rsidRDefault="00000000">
      <w:r>
        <w:t xml:space="preserve">Los cinco mecanismos propuestos permiten precisar la preocupación: normalización lingüística, subordinación de saberes, sustitución de la autoría, simplificación de memorias y apropiación de datos. Su convergencia puede reducir alternativas expresivas y concentrar decisiones sobre qué experiencias merecen reconocimiento. Sin embargo, los sujetos pueden </w:t>
      </w:r>
      <w:r>
        <w:lastRenderedPageBreak/>
        <w:t>cuestionar salidas, combinar repertorios y construir usos que amplíen su participación. La definición de identidad adoptada admite esas transformaciones y sitúa la protección cultural en la capacidad de intervenir, evitando fijar una autenticidad que impida disentir dentro de una comunidad.</w:t>
      </w:r>
    </w:p>
    <w:p w14:paraId="63C38B09" w14:textId="77777777" w:rsidR="003A2E55" w:rsidRDefault="00000000">
      <w:r>
        <w:t>Se proponen tres orientaciones para la práctica educativa. La primera es enseñar a comparar contenidos generados con fuentes académicas y comunitarias, conservando diferencias y procedencias. La segunda es evaluar procesos de elaboración y decisiones del estudiante, además de la calidad del producto final. La tercera es incorporar revisión cultural participativa a las decisiones institucionales sobre herramientas, con tiempos y responsabilidades definidos. La formación docente debería articular conocimientos sobre modelos de lenguaje con análisis de las formas de autoridad que sus usos producen.</w:t>
      </w:r>
    </w:p>
    <w:p w14:paraId="5FB9C417" w14:textId="77777777" w:rsidR="003A2E55" w:rsidRDefault="00000000">
      <w:r>
        <w:t>Para la acción pública y comunitaria, se plantea fortalecer capacidades regionales de investigación y evaluación, apoyar recursos lingüísticos construidos con participación de sus hablantes y negociar condiciones sobre el uso de datos culturales. La colaboración tecnológica requiere reconocer beneficios, límites y facultades de decisión. La posibilidad de preservar conocimientos fuera de un sistema digital forma parte de esa autonomía. El origen local de una herramienta tampoco exime de revisar sus exclusiones internas.</w:t>
      </w:r>
    </w:p>
    <w:p w14:paraId="74A48ECD" w14:textId="77777777" w:rsidR="003A2E55" w:rsidRDefault="00000000">
      <w:r>
        <w:t>Las limitaciones del capítulo derivan de su carácter documental e interpretativo. No permite estimar la extensión del problema ni atribuir cambios identitarios al uso de una plataforma. Futuras investigaciones podrían comparar prácticas de escritura, estudiar trayectorias de circulación de memorias y realizar evaluaciones lingüísticas participativas, documentando versiones y contextos. También sería pertinente indagar experiencias en las que la IA fortalezca la autoría o la transmisión cultural. El debate planteado invita a juzgar la incorporación tecnológica por las posibilidades de expresión y decisión que mantiene abiertas para personas y comunidades latinoamericanas.</w:t>
      </w:r>
    </w:p>
    <w:p w14:paraId="6807569E" w14:textId="77777777" w:rsidR="003A2E55" w:rsidRDefault="00000000">
      <w:pPr>
        <w:pStyle w:val="Ttulo1"/>
        <w:pageBreakBefore/>
      </w:pPr>
      <w:r>
        <w:lastRenderedPageBreak/>
        <w:t>Referencias</w:t>
      </w:r>
    </w:p>
    <w:p w14:paraId="7C92C6E2" w14:textId="77777777" w:rsidR="003A2E55" w:rsidRPr="004C2A17" w:rsidRDefault="00000000">
      <w:pPr>
        <w:keepLines/>
        <w:ind w:left="720" w:hanging="720"/>
        <w:rPr>
          <w:lang w:val="en-US"/>
        </w:rPr>
      </w:pPr>
      <w:r>
        <w:t xml:space="preserve">Anzaldúa, J., &amp; Yurén, T. (2011). La diversidad en la escuela: Prácticas de normalización y estrategias identitarias en el caso de estudiantes gay de nivel medio superior. </w:t>
      </w:r>
      <w:proofErr w:type="spellStart"/>
      <w:r w:rsidRPr="004C2A17">
        <w:rPr>
          <w:i/>
          <w:lang w:val="en-US"/>
        </w:rPr>
        <w:t>Perfiles</w:t>
      </w:r>
      <w:proofErr w:type="spellEnd"/>
      <w:r w:rsidRPr="004C2A17">
        <w:rPr>
          <w:i/>
          <w:lang w:val="en-US"/>
        </w:rPr>
        <w:t xml:space="preserve"> </w:t>
      </w:r>
      <w:proofErr w:type="spellStart"/>
      <w:r w:rsidRPr="004C2A17">
        <w:rPr>
          <w:i/>
          <w:lang w:val="en-US"/>
        </w:rPr>
        <w:t>Educativos</w:t>
      </w:r>
      <w:proofErr w:type="spellEnd"/>
      <w:r w:rsidRPr="004C2A17">
        <w:rPr>
          <w:i/>
          <w:lang w:val="en-US"/>
        </w:rPr>
        <w:t>, 33</w:t>
      </w:r>
      <w:r w:rsidRPr="004C2A17">
        <w:rPr>
          <w:lang w:val="en-US"/>
        </w:rPr>
        <w:t xml:space="preserve">(133), 88–113. </w:t>
      </w:r>
      <w:hyperlink r:id="rId12">
        <w:r w:rsidRPr="004C2A17">
          <w:rPr>
            <w:lang w:val="en-US"/>
          </w:rPr>
          <w:t>https://</w:t>
        </w:r>
        <w:proofErr w:type="spellStart"/>
        <w:r w:rsidRPr="004C2A17">
          <w:rPr>
            <w:lang w:val="en-US"/>
          </w:rPr>
          <w:t>doi.org</w:t>
        </w:r>
        <w:proofErr w:type="spellEnd"/>
        <w:r w:rsidRPr="004C2A17">
          <w:rPr>
            <w:lang w:val="en-US"/>
          </w:rPr>
          <w:t>/10.22201/</w:t>
        </w:r>
        <w:proofErr w:type="spellStart"/>
        <w:r w:rsidRPr="004C2A17">
          <w:rPr>
            <w:lang w:val="en-US"/>
          </w:rPr>
          <w:t>iisue.24486167e.2011.133.27907</w:t>
        </w:r>
        <w:proofErr w:type="spellEnd"/>
      </w:hyperlink>
    </w:p>
    <w:p w14:paraId="25E4C3FD" w14:textId="77777777" w:rsidR="003A2E55" w:rsidRPr="004C2A17" w:rsidRDefault="00000000">
      <w:pPr>
        <w:keepLines/>
        <w:ind w:left="720" w:hanging="720"/>
        <w:rPr>
          <w:lang w:val="en-US"/>
        </w:rPr>
      </w:pPr>
      <w:r w:rsidRPr="004C2A17">
        <w:rPr>
          <w:lang w:val="en-US"/>
        </w:rPr>
        <w:t xml:space="preserve">Bender, E. M., Gebru, T., McMillan-Major, A., &amp; </w:t>
      </w:r>
      <w:proofErr w:type="spellStart"/>
      <w:r w:rsidRPr="004C2A17">
        <w:rPr>
          <w:lang w:val="en-US"/>
        </w:rPr>
        <w:t>Shmitchell</w:t>
      </w:r>
      <w:proofErr w:type="spellEnd"/>
      <w:r w:rsidRPr="004C2A17">
        <w:rPr>
          <w:lang w:val="en-US"/>
        </w:rPr>
        <w:t xml:space="preserve">, S. (2021). On the dangers of stochastic parrots: Can language models be too big? En </w:t>
      </w:r>
      <w:r w:rsidRPr="004C2A17">
        <w:rPr>
          <w:i/>
          <w:lang w:val="en-US"/>
        </w:rPr>
        <w:t>Proceedings of the 2021 ACM Conference on Fairness, Accountability, and Transparency</w:t>
      </w:r>
      <w:r w:rsidRPr="004C2A17">
        <w:rPr>
          <w:lang w:val="en-US"/>
        </w:rPr>
        <w:t xml:space="preserve"> (pp. 610–623). Association for Computing Machinery. </w:t>
      </w:r>
      <w:hyperlink r:id="rId13">
        <w:r w:rsidRPr="004C2A17">
          <w:rPr>
            <w:lang w:val="en-US"/>
          </w:rPr>
          <w:t>https://</w:t>
        </w:r>
        <w:proofErr w:type="spellStart"/>
        <w:r w:rsidRPr="004C2A17">
          <w:rPr>
            <w:lang w:val="en-US"/>
          </w:rPr>
          <w:t>doi.org</w:t>
        </w:r>
        <w:proofErr w:type="spellEnd"/>
        <w:r w:rsidRPr="004C2A17">
          <w:rPr>
            <w:lang w:val="en-US"/>
          </w:rPr>
          <w:t>/10.1145/3442188.3445922</w:t>
        </w:r>
      </w:hyperlink>
    </w:p>
    <w:p w14:paraId="543F8C5D" w14:textId="77777777" w:rsidR="003A2E55" w:rsidRDefault="00000000">
      <w:pPr>
        <w:keepLines/>
        <w:ind w:left="720" w:hanging="720"/>
      </w:pPr>
      <w:r w:rsidRPr="004C2A17">
        <w:rPr>
          <w:lang w:val="en-US"/>
        </w:rPr>
        <w:t xml:space="preserve">Brown, T. B., Mann, B., Ryder, N., Subbiah, M., Kaplan, J., </w:t>
      </w:r>
      <w:proofErr w:type="spellStart"/>
      <w:r w:rsidRPr="004C2A17">
        <w:rPr>
          <w:lang w:val="en-US"/>
        </w:rPr>
        <w:t>Dhariwal</w:t>
      </w:r>
      <w:proofErr w:type="spellEnd"/>
      <w:r w:rsidRPr="004C2A17">
        <w:rPr>
          <w:lang w:val="en-US"/>
        </w:rPr>
        <w:t xml:space="preserve">, P., </w:t>
      </w:r>
      <w:proofErr w:type="spellStart"/>
      <w:r w:rsidRPr="004C2A17">
        <w:rPr>
          <w:lang w:val="en-US"/>
        </w:rPr>
        <w:t>Neelakantan</w:t>
      </w:r>
      <w:proofErr w:type="spellEnd"/>
      <w:r w:rsidRPr="004C2A17">
        <w:rPr>
          <w:lang w:val="en-US"/>
        </w:rPr>
        <w:t xml:space="preserve">, A., Shyam, P., Sastry, G., </w:t>
      </w:r>
      <w:proofErr w:type="spellStart"/>
      <w:r w:rsidRPr="004C2A17">
        <w:rPr>
          <w:lang w:val="en-US"/>
        </w:rPr>
        <w:t>Askell</w:t>
      </w:r>
      <w:proofErr w:type="spellEnd"/>
      <w:r w:rsidRPr="004C2A17">
        <w:rPr>
          <w:lang w:val="en-US"/>
        </w:rPr>
        <w:t xml:space="preserve">, A., Agarwal, S., Herbert-Voss, A., Krueger, G., </w:t>
      </w:r>
      <w:proofErr w:type="spellStart"/>
      <w:r w:rsidRPr="004C2A17">
        <w:rPr>
          <w:lang w:val="en-US"/>
        </w:rPr>
        <w:t>Henighan</w:t>
      </w:r>
      <w:proofErr w:type="spellEnd"/>
      <w:r w:rsidRPr="004C2A17">
        <w:rPr>
          <w:lang w:val="en-US"/>
        </w:rPr>
        <w:t xml:space="preserve">, T., Child, R., Ramesh, A., Ziegler, D. M., Wu, J., Winter, C., … </w:t>
      </w:r>
      <w:proofErr w:type="spellStart"/>
      <w:r w:rsidRPr="004C2A17">
        <w:rPr>
          <w:lang w:val="en-US"/>
        </w:rPr>
        <w:t>Amodei</w:t>
      </w:r>
      <w:proofErr w:type="spellEnd"/>
      <w:r w:rsidRPr="004C2A17">
        <w:rPr>
          <w:lang w:val="en-US"/>
        </w:rPr>
        <w:t xml:space="preserve">, D. (2020). Language models are few-shot learners. </w:t>
      </w:r>
      <w:r w:rsidRPr="004C2A17">
        <w:rPr>
          <w:i/>
          <w:lang w:val="en-US"/>
        </w:rPr>
        <w:t>Advances in Neural Information Processing Systems, 33</w:t>
      </w:r>
      <w:r w:rsidRPr="004C2A17">
        <w:rPr>
          <w:lang w:val="en-US"/>
        </w:rPr>
        <w:t xml:space="preserve">, 1877–1901. </w:t>
      </w:r>
      <w:hyperlink r:id="rId14">
        <w:r>
          <w:t>https://proceedings.neurips.cc/paper/2020/hash/1457c0d6bfcb4967418bfb8ac142f64a-Abstract.html</w:t>
        </w:r>
      </w:hyperlink>
    </w:p>
    <w:p w14:paraId="24F8A241" w14:textId="77777777" w:rsidR="003A2E55" w:rsidRDefault="00000000">
      <w:pPr>
        <w:keepLines/>
        <w:ind w:left="720" w:hanging="720"/>
      </w:pPr>
      <w:r>
        <w:t xml:space="preserve">Carroll, S. R., Garba, I., Figueroa-Rodríguez, O. L., Holbrook, J., Lovett, R., Materechera, S., Parsons, M., Raseroka, K., Rodriguez-Lonebear, D., Rowe, R., Sara, R., Walker, J. D., Anderson, J., &amp; Hudson, M. (2020). </w:t>
      </w:r>
      <w:r w:rsidRPr="004C2A17">
        <w:rPr>
          <w:lang w:val="en-US"/>
        </w:rPr>
        <w:t xml:space="preserve">The CARE principles for Indigenous data governance. </w:t>
      </w:r>
      <w:r w:rsidRPr="004C2A17">
        <w:rPr>
          <w:i/>
          <w:lang w:val="en-US"/>
        </w:rPr>
        <w:t>Data Science Journal, 19</w:t>
      </w:r>
      <w:r w:rsidRPr="004C2A17">
        <w:rPr>
          <w:lang w:val="en-US"/>
        </w:rPr>
        <w:t xml:space="preserve">, </w:t>
      </w:r>
      <w:proofErr w:type="spellStart"/>
      <w:r w:rsidRPr="004C2A17">
        <w:rPr>
          <w:lang w:val="en-US"/>
        </w:rPr>
        <w:t>Artículo</w:t>
      </w:r>
      <w:proofErr w:type="spellEnd"/>
      <w:r w:rsidRPr="004C2A17">
        <w:rPr>
          <w:lang w:val="en-US"/>
        </w:rPr>
        <w:t xml:space="preserve"> 43. </w:t>
      </w:r>
      <w:hyperlink r:id="rId15">
        <w:r>
          <w:t>https://</w:t>
        </w:r>
        <w:proofErr w:type="spellStart"/>
        <w:r>
          <w:t>doi.org</w:t>
        </w:r>
        <w:proofErr w:type="spellEnd"/>
        <w:r>
          <w:t>/10.5334/</w:t>
        </w:r>
        <w:proofErr w:type="spellStart"/>
        <w:r>
          <w:t>dsj</w:t>
        </w:r>
        <w:proofErr w:type="spellEnd"/>
        <w:r>
          <w:t>-2020-043</w:t>
        </w:r>
      </w:hyperlink>
    </w:p>
    <w:p w14:paraId="7175629D" w14:textId="77777777" w:rsidR="003A2E55" w:rsidRDefault="00000000">
      <w:pPr>
        <w:keepLines/>
        <w:ind w:left="720" w:hanging="720"/>
      </w:pPr>
      <w:r>
        <w:t xml:space="preserve">Comisión Económica para América Latina y el Caribe. (2025). </w:t>
      </w:r>
      <w:r>
        <w:rPr>
          <w:i/>
        </w:rPr>
        <w:t>Índice Latinoamericano de Inteligencia Artificial ILIA 2025</w:t>
      </w:r>
      <w:r>
        <w:t xml:space="preserve"> (LC/TS.2025/68/Rev.1). </w:t>
      </w:r>
      <w:hyperlink r:id="rId16">
        <w:r>
          <w:t>https://www.cepal.org/es/publicaciones/82514-indice-latinoamericano-inteligencia-artificial-ilia-2025</w:t>
        </w:r>
      </w:hyperlink>
    </w:p>
    <w:p w14:paraId="3F551A6B" w14:textId="77777777" w:rsidR="003A2E55" w:rsidRDefault="00000000">
      <w:pPr>
        <w:keepLines/>
        <w:ind w:left="720" w:hanging="720"/>
      </w:pPr>
      <w:r>
        <w:t xml:space="preserve">Correa Lucero, H. (2025). Hacia una IA decolonial: Marcos alternativos, resistencias y propuestas: Un estado de la cuestión. </w:t>
      </w:r>
      <w:r>
        <w:rPr>
          <w:i/>
        </w:rPr>
        <w:t>Hipertextos, 13</w:t>
      </w:r>
      <w:r>
        <w:t xml:space="preserve">(24), e106. </w:t>
      </w:r>
      <w:hyperlink r:id="rId17">
        <w:r>
          <w:t>https://doi.org/10.24215/23143924e106</w:t>
        </w:r>
      </w:hyperlink>
    </w:p>
    <w:p w14:paraId="3EE35E9A" w14:textId="77777777" w:rsidR="003A2E55" w:rsidRPr="004C2A17" w:rsidRDefault="00000000">
      <w:pPr>
        <w:keepLines/>
        <w:ind w:left="720" w:hanging="720"/>
        <w:rPr>
          <w:lang w:val="en-US"/>
        </w:rPr>
      </w:pPr>
      <w:r>
        <w:t xml:space="preserve">Couldry, N., &amp; Mejias, U. A. (2019). </w:t>
      </w:r>
      <w:r w:rsidRPr="004C2A17">
        <w:rPr>
          <w:lang w:val="en-US"/>
        </w:rPr>
        <w:t xml:space="preserve">Data colonialism: Rethinking big data’s relation to the contemporary subject. </w:t>
      </w:r>
      <w:r w:rsidRPr="004C2A17">
        <w:rPr>
          <w:i/>
          <w:lang w:val="en-US"/>
        </w:rPr>
        <w:t>Television &amp; New Media, 20</w:t>
      </w:r>
      <w:r w:rsidRPr="004C2A17">
        <w:rPr>
          <w:lang w:val="en-US"/>
        </w:rPr>
        <w:t xml:space="preserve">(4), 336–349. </w:t>
      </w:r>
      <w:hyperlink r:id="rId18">
        <w:r w:rsidRPr="004C2A17">
          <w:rPr>
            <w:lang w:val="en-US"/>
          </w:rPr>
          <w:t>https://</w:t>
        </w:r>
        <w:proofErr w:type="spellStart"/>
        <w:r w:rsidRPr="004C2A17">
          <w:rPr>
            <w:lang w:val="en-US"/>
          </w:rPr>
          <w:t>doi.org</w:t>
        </w:r>
        <w:proofErr w:type="spellEnd"/>
        <w:r w:rsidRPr="004C2A17">
          <w:rPr>
            <w:lang w:val="en-US"/>
          </w:rPr>
          <w:t>/10.1177/1527476418796632</w:t>
        </w:r>
      </w:hyperlink>
    </w:p>
    <w:p w14:paraId="33B10AB8" w14:textId="77777777" w:rsidR="003A2E55" w:rsidRPr="004C2A17" w:rsidRDefault="00000000">
      <w:pPr>
        <w:keepLines/>
        <w:ind w:left="720" w:hanging="720"/>
        <w:rPr>
          <w:lang w:val="en-US"/>
        </w:rPr>
      </w:pPr>
      <w:r w:rsidRPr="004C2A17">
        <w:rPr>
          <w:lang w:val="en-US"/>
        </w:rPr>
        <w:t xml:space="preserve">Crawford, K. (2021). </w:t>
      </w:r>
      <w:r w:rsidRPr="004C2A17">
        <w:rPr>
          <w:i/>
          <w:lang w:val="en-US"/>
        </w:rPr>
        <w:t>Atlas of AI: Power, politics, and the planetary costs of artificial intelligence</w:t>
      </w:r>
      <w:r w:rsidRPr="004C2A17">
        <w:rPr>
          <w:lang w:val="en-US"/>
        </w:rPr>
        <w:t xml:space="preserve">. Yale University Press. </w:t>
      </w:r>
      <w:hyperlink r:id="rId19">
        <w:r w:rsidRPr="004C2A17">
          <w:rPr>
            <w:lang w:val="en-US"/>
          </w:rPr>
          <w:t>https://</w:t>
        </w:r>
        <w:proofErr w:type="spellStart"/>
        <w:r w:rsidRPr="004C2A17">
          <w:rPr>
            <w:lang w:val="en-US"/>
          </w:rPr>
          <w:t>yalebooks.yale.edu</w:t>
        </w:r>
        <w:proofErr w:type="spellEnd"/>
        <w:r w:rsidRPr="004C2A17">
          <w:rPr>
            <w:lang w:val="en-US"/>
          </w:rPr>
          <w:t>/book/9780300252392/atlas-of-ai/</w:t>
        </w:r>
      </w:hyperlink>
    </w:p>
    <w:p w14:paraId="29F50757" w14:textId="77777777" w:rsidR="003A2E55" w:rsidRDefault="00000000">
      <w:pPr>
        <w:keepLines/>
        <w:ind w:left="720" w:hanging="720"/>
      </w:pPr>
      <w:r>
        <w:t xml:space="preserve">Freire, P. (2005). </w:t>
      </w:r>
      <w:r>
        <w:rPr>
          <w:i/>
        </w:rPr>
        <w:t>Pedagogía del oprimido</w:t>
      </w:r>
      <w:r>
        <w:t xml:space="preserve"> (J. Mellado, Trad.; 2.ª ed.). Siglo XXI Editores. (Trabajo original publicado en 1970).</w:t>
      </w:r>
    </w:p>
    <w:p w14:paraId="38276DEC" w14:textId="77777777" w:rsidR="003A2E55" w:rsidRDefault="00000000">
      <w:pPr>
        <w:keepLines/>
        <w:ind w:left="720" w:hanging="720"/>
      </w:pPr>
      <w:r>
        <w:t xml:space="preserve">Gallegos, I. O., Rossi, R. A., Barrow, J., Tanjim, M. M., Kim, S., Dernoncourt, F., Yu, T., Zhang, R., &amp; Ahmed, N. K. (2024). </w:t>
      </w:r>
      <w:r w:rsidRPr="004C2A17">
        <w:rPr>
          <w:lang w:val="en-US"/>
        </w:rPr>
        <w:t xml:space="preserve">Bias and fairness in large language models: A survey. </w:t>
      </w:r>
      <w:r w:rsidRPr="004C2A17">
        <w:rPr>
          <w:i/>
          <w:lang w:val="en-US"/>
        </w:rPr>
        <w:t>Computational Linguistics, 50</w:t>
      </w:r>
      <w:r w:rsidRPr="004C2A17">
        <w:rPr>
          <w:lang w:val="en-US"/>
        </w:rPr>
        <w:t xml:space="preserve">(3), 1097–1179. </w:t>
      </w:r>
      <w:hyperlink r:id="rId20">
        <w:r>
          <w:t>https://</w:t>
        </w:r>
        <w:proofErr w:type="spellStart"/>
        <w:r>
          <w:t>doi.org</w:t>
        </w:r>
        <w:proofErr w:type="spellEnd"/>
        <w:r>
          <w:t>/10.1162/</w:t>
        </w:r>
        <w:proofErr w:type="spellStart"/>
        <w:r>
          <w:t>coli_a_00524</w:t>
        </w:r>
        <w:proofErr w:type="spellEnd"/>
      </w:hyperlink>
    </w:p>
    <w:p w14:paraId="5BB0BDFD" w14:textId="77777777" w:rsidR="003A2E55" w:rsidRPr="004C2A17" w:rsidRDefault="00000000">
      <w:pPr>
        <w:keepLines/>
        <w:ind w:left="720" w:hanging="720"/>
        <w:rPr>
          <w:lang w:val="en-US"/>
        </w:rPr>
      </w:pPr>
      <w:r>
        <w:t xml:space="preserve">García Canclini, N. (1990). </w:t>
      </w:r>
      <w:r>
        <w:rPr>
          <w:i/>
        </w:rPr>
        <w:t>Culturas híbridas: Estrategias para entrar y salir de la modernidad</w:t>
      </w:r>
      <w:r>
        <w:t xml:space="preserve">. </w:t>
      </w:r>
      <w:proofErr w:type="spellStart"/>
      <w:r w:rsidRPr="004C2A17">
        <w:rPr>
          <w:lang w:val="en-US"/>
        </w:rPr>
        <w:t>Grijalbo</w:t>
      </w:r>
      <w:proofErr w:type="spellEnd"/>
      <w:r w:rsidRPr="004C2A17">
        <w:rPr>
          <w:lang w:val="en-US"/>
        </w:rPr>
        <w:t>.</w:t>
      </w:r>
    </w:p>
    <w:p w14:paraId="26758926" w14:textId="77777777" w:rsidR="003A2E55" w:rsidRPr="004C2A17" w:rsidRDefault="00000000">
      <w:pPr>
        <w:keepLines/>
        <w:ind w:left="720" w:hanging="720"/>
        <w:rPr>
          <w:lang w:val="en-US"/>
        </w:rPr>
      </w:pPr>
      <w:r w:rsidRPr="004C2A17">
        <w:rPr>
          <w:lang w:val="en-US"/>
        </w:rPr>
        <w:lastRenderedPageBreak/>
        <w:t xml:space="preserve">Hofmann, V., </w:t>
      </w:r>
      <w:proofErr w:type="spellStart"/>
      <w:r w:rsidRPr="004C2A17">
        <w:rPr>
          <w:lang w:val="en-US"/>
        </w:rPr>
        <w:t>Kalluri</w:t>
      </w:r>
      <w:proofErr w:type="spellEnd"/>
      <w:r w:rsidRPr="004C2A17">
        <w:rPr>
          <w:lang w:val="en-US"/>
        </w:rPr>
        <w:t xml:space="preserve">, P. R., </w:t>
      </w:r>
      <w:proofErr w:type="spellStart"/>
      <w:r w:rsidRPr="004C2A17">
        <w:rPr>
          <w:lang w:val="en-US"/>
        </w:rPr>
        <w:t>Jurafsky</w:t>
      </w:r>
      <w:proofErr w:type="spellEnd"/>
      <w:r w:rsidRPr="004C2A17">
        <w:rPr>
          <w:lang w:val="en-US"/>
        </w:rPr>
        <w:t xml:space="preserve">, D., &amp; King, S. (2024). AI generates covertly racist decisions about people based on their dialect. </w:t>
      </w:r>
      <w:r w:rsidRPr="004C2A17">
        <w:rPr>
          <w:i/>
          <w:lang w:val="en-US"/>
        </w:rPr>
        <w:t>Nature, 633</w:t>
      </w:r>
      <w:r w:rsidRPr="004C2A17">
        <w:rPr>
          <w:lang w:val="en-US"/>
        </w:rPr>
        <w:t xml:space="preserve">, 147–154. </w:t>
      </w:r>
      <w:hyperlink r:id="rId21">
        <w:r w:rsidRPr="004C2A17">
          <w:rPr>
            <w:lang w:val="en-US"/>
          </w:rPr>
          <w:t>https://</w:t>
        </w:r>
        <w:proofErr w:type="spellStart"/>
        <w:r w:rsidRPr="004C2A17">
          <w:rPr>
            <w:lang w:val="en-US"/>
          </w:rPr>
          <w:t>doi.org</w:t>
        </w:r>
        <w:proofErr w:type="spellEnd"/>
        <w:r w:rsidRPr="004C2A17">
          <w:rPr>
            <w:lang w:val="en-US"/>
          </w:rPr>
          <w:t>/10.1038/</w:t>
        </w:r>
        <w:proofErr w:type="spellStart"/>
        <w:r w:rsidRPr="004C2A17">
          <w:rPr>
            <w:lang w:val="en-US"/>
          </w:rPr>
          <w:t>s41586</w:t>
        </w:r>
        <w:proofErr w:type="spellEnd"/>
        <w:r w:rsidRPr="004C2A17">
          <w:rPr>
            <w:lang w:val="en-US"/>
          </w:rPr>
          <w:t>-024-07856-5</w:t>
        </w:r>
      </w:hyperlink>
    </w:p>
    <w:p w14:paraId="061B4269" w14:textId="77777777" w:rsidR="003A2E55" w:rsidRDefault="00000000">
      <w:pPr>
        <w:keepLines/>
        <w:ind w:left="720" w:hanging="720"/>
      </w:pPr>
      <w:proofErr w:type="spellStart"/>
      <w:r w:rsidRPr="004C2A17">
        <w:rPr>
          <w:lang w:val="en-US"/>
        </w:rPr>
        <w:t>Kwet</w:t>
      </w:r>
      <w:proofErr w:type="spellEnd"/>
      <w:r w:rsidRPr="004C2A17">
        <w:rPr>
          <w:lang w:val="en-US"/>
        </w:rPr>
        <w:t xml:space="preserve">, M. (2019). Digital colonialism: US empire and the new imperialism in the Global South. </w:t>
      </w:r>
      <w:proofErr w:type="spellStart"/>
      <w:r>
        <w:rPr>
          <w:i/>
        </w:rPr>
        <w:t>Race</w:t>
      </w:r>
      <w:proofErr w:type="spellEnd"/>
      <w:r>
        <w:rPr>
          <w:i/>
        </w:rPr>
        <w:t xml:space="preserve"> &amp; </w:t>
      </w:r>
      <w:proofErr w:type="spellStart"/>
      <w:r>
        <w:rPr>
          <w:i/>
        </w:rPr>
        <w:t>Class</w:t>
      </w:r>
      <w:proofErr w:type="spellEnd"/>
      <w:r>
        <w:rPr>
          <w:i/>
        </w:rPr>
        <w:t>, 60</w:t>
      </w:r>
      <w:r>
        <w:t xml:space="preserve">(4), 3–26. </w:t>
      </w:r>
      <w:hyperlink r:id="rId22">
        <w:r>
          <w:t>https://doi.org/10.1177/0306396818823172</w:t>
        </w:r>
      </w:hyperlink>
    </w:p>
    <w:p w14:paraId="5ECF742F" w14:textId="77777777" w:rsidR="003A2E55" w:rsidRDefault="00000000">
      <w:pPr>
        <w:keepLines/>
        <w:ind w:left="720" w:hanging="720"/>
      </w:pPr>
      <w:r>
        <w:t xml:space="preserve">Lucas, M., Burgueño, A., Carazas, M., Buenadicha Sánchez, C., Ramirez Rufino, S., &amp; Rosales Torres, C. S. (2025). </w:t>
      </w:r>
      <w:r w:rsidRPr="004C2A17">
        <w:rPr>
          <w:i/>
          <w:lang w:val="en-US"/>
        </w:rPr>
        <w:t>The performance of artificial intelligence in the use of Indigenous American languages</w:t>
      </w:r>
      <w:r w:rsidRPr="004C2A17">
        <w:rPr>
          <w:lang w:val="en-US"/>
        </w:rPr>
        <w:t xml:space="preserve">. </w:t>
      </w:r>
      <w:r>
        <w:t xml:space="preserve">Banco Interamericano de Desarrollo. </w:t>
      </w:r>
      <w:hyperlink r:id="rId23">
        <w:r>
          <w:t>https://doi.org/10.18235/0013542</w:t>
        </w:r>
      </w:hyperlink>
    </w:p>
    <w:p w14:paraId="57A91833" w14:textId="77777777" w:rsidR="003A2E55" w:rsidRPr="004C2A17" w:rsidRDefault="00000000">
      <w:pPr>
        <w:keepLines/>
        <w:ind w:left="720" w:hanging="720"/>
        <w:rPr>
          <w:lang w:val="en-US"/>
        </w:rPr>
      </w:pPr>
      <w:r>
        <w:t xml:space="preserve">Martín-Barbero, J. (1987). </w:t>
      </w:r>
      <w:r>
        <w:rPr>
          <w:i/>
        </w:rPr>
        <w:t>De los medios a las mediaciones: Comunicación, cultura y hegemonía</w:t>
      </w:r>
      <w:r>
        <w:t xml:space="preserve">. </w:t>
      </w:r>
      <w:r w:rsidRPr="004C2A17">
        <w:rPr>
          <w:lang w:val="en-US"/>
        </w:rPr>
        <w:t>Gustavo Gili.</w:t>
      </w:r>
    </w:p>
    <w:p w14:paraId="0D12304D" w14:textId="77777777" w:rsidR="003A2E55" w:rsidRDefault="00000000">
      <w:pPr>
        <w:keepLines/>
        <w:ind w:left="720" w:hanging="720"/>
      </w:pPr>
      <w:r w:rsidRPr="004C2A17">
        <w:rPr>
          <w:lang w:val="en-US"/>
        </w:rPr>
        <w:t xml:space="preserve">Miao, F., &amp; Holmes, W. (2023). </w:t>
      </w:r>
      <w:r w:rsidRPr="004C2A17">
        <w:rPr>
          <w:i/>
          <w:lang w:val="en-US"/>
        </w:rPr>
        <w:t>Guidance for generative AI in education and research</w:t>
      </w:r>
      <w:r w:rsidRPr="004C2A17">
        <w:rPr>
          <w:lang w:val="en-US"/>
        </w:rPr>
        <w:t xml:space="preserve">. </w:t>
      </w:r>
      <w:r>
        <w:t xml:space="preserve">UNESCO. </w:t>
      </w:r>
      <w:hyperlink r:id="rId24">
        <w:r>
          <w:t>https://unesdoc.unesco.org/ark:/48223/pf0000386693</w:t>
        </w:r>
      </w:hyperlink>
    </w:p>
    <w:p w14:paraId="0DD3B04D" w14:textId="77777777" w:rsidR="003A2E55" w:rsidRPr="004C2A17" w:rsidRDefault="00000000">
      <w:pPr>
        <w:keepLines/>
        <w:ind w:left="720" w:hanging="720"/>
        <w:rPr>
          <w:lang w:val="en-US"/>
        </w:rPr>
      </w:pPr>
      <w:r>
        <w:t xml:space="preserve">Mignolo, W. D. (2011). </w:t>
      </w:r>
      <w:r w:rsidRPr="004C2A17">
        <w:rPr>
          <w:i/>
          <w:lang w:val="en-US"/>
        </w:rPr>
        <w:t>The darker side of Western modernity: Global futures, decolonial options</w:t>
      </w:r>
      <w:r w:rsidRPr="004C2A17">
        <w:rPr>
          <w:lang w:val="en-US"/>
        </w:rPr>
        <w:t xml:space="preserve">. Duke University Press. </w:t>
      </w:r>
      <w:hyperlink r:id="rId25">
        <w:r w:rsidRPr="004C2A17">
          <w:rPr>
            <w:lang w:val="en-US"/>
          </w:rPr>
          <w:t>https://</w:t>
        </w:r>
        <w:proofErr w:type="spellStart"/>
        <w:r w:rsidRPr="004C2A17">
          <w:rPr>
            <w:lang w:val="en-US"/>
          </w:rPr>
          <w:t>www.dukeupress.edu</w:t>
        </w:r>
        <w:proofErr w:type="spellEnd"/>
        <w:r w:rsidRPr="004C2A17">
          <w:rPr>
            <w:lang w:val="en-US"/>
          </w:rPr>
          <w:t>/The-Darker-Side-of-Western-Modernity</w:t>
        </w:r>
      </w:hyperlink>
    </w:p>
    <w:p w14:paraId="0D1F218A" w14:textId="77777777" w:rsidR="003A2E55" w:rsidRDefault="00000000">
      <w:pPr>
        <w:keepLines/>
        <w:ind w:left="720" w:hanging="720"/>
      </w:pPr>
      <w:r w:rsidRPr="004C2A17">
        <w:rPr>
          <w:lang w:val="en-US"/>
        </w:rPr>
        <w:t xml:space="preserve">Ouyang, L., Wu, J., Jiang, X., Almeida, D., Wainwright, C. L., Mishkin, P., Zhang, C., Agarwal, S., </w:t>
      </w:r>
      <w:proofErr w:type="spellStart"/>
      <w:r w:rsidRPr="004C2A17">
        <w:rPr>
          <w:lang w:val="en-US"/>
        </w:rPr>
        <w:t>Slama</w:t>
      </w:r>
      <w:proofErr w:type="spellEnd"/>
      <w:r w:rsidRPr="004C2A17">
        <w:rPr>
          <w:lang w:val="en-US"/>
        </w:rPr>
        <w:t xml:space="preserve">, K., Ray, A., Schulman, J., Hilton, J., Kelton, F., Miller, L., </w:t>
      </w:r>
      <w:proofErr w:type="spellStart"/>
      <w:r w:rsidRPr="004C2A17">
        <w:rPr>
          <w:lang w:val="en-US"/>
        </w:rPr>
        <w:t>Simens</w:t>
      </w:r>
      <w:proofErr w:type="spellEnd"/>
      <w:r w:rsidRPr="004C2A17">
        <w:rPr>
          <w:lang w:val="en-US"/>
        </w:rPr>
        <w:t xml:space="preserve">, M., </w:t>
      </w:r>
      <w:proofErr w:type="spellStart"/>
      <w:r w:rsidRPr="004C2A17">
        <w:rPr>
          <w:lang w:val="en-US"/>
        </w:rPr>
        <w:t>Askell</w:t>
      </w:r>
      <w:proofErr w:type="spellEnd"/>
      <w:r w:rsidRPr="004C2A17">
        <w:rPr>
          <w:lang w:val="en-US"/>
        </w:rPr>
        <w:t xml:space="preserve">, A., </w:t>
      </w:r>
      <w:proofErr w:type="spellStart"/>
      <w:r w:rsidRPr="004C2A17">
        <w:rPr>
          <w:lang w:val="en-US"/>
        </w:rPr>
        <w:t>Welinder</w:t>
      </w:r>
      <w:proofErr w:type="spellEnd"/>
      <w:r w:rsidRPr="004C2A17">
        <w:rPr>
          <w:lang w:val="en-US"/>
        </w:rPr>
        <w:t xml:space="preserve">, P., </w:t>
      </w:r>
      <w:proofErr w:type="spellStart"/>
      <w:r w:rsidRPr="004C2A17">
        <w:rPr>
          <w:lang w:val="en-US"/>
        </w:rPr>
        <w:t>Christiano</w:t>
      </w:r>
      <w:proofErr w:type="spellEnd"/>
      <w:r w:rsidRPr="004C2A17">
        <w:rPr>
          <w:lang w:val="en-US"/>
        </w:rPr>
        <w:t xml:space="preserve">, P. F., </w:t>
      </w:r>
      <w:proofErr w:type="spellStart"/>
      <w:r w:rsidRPr="004C2A17">
        <w:rPr>
          <w:lang w:val="en-US"/>
        </w:rPr>
        <w:t>Leike</w:t>
      </w:r>
      <w:proofErr w:type="spellEnd"/>
      <w:r w:rsidRPr="004C2A17">
        <w:rPr>
          <w:lang w:val="en-US"/>
        </w:rPr>
        <w:t xml:space="preserve">, J., &amp; Lowe, R. (2022). Training language models to follow instructions with human feedback. </w:t>
      </w:r>
      <w:r w:rsidRPr="004C2A17">
        <w:rPr>
          <w:i/>
          <w:lang w:val="en-US"/>
        </w:rPr>
        <w:t>Advances in Neural Information Processing Systems, 35</w:t>
      </w:r>
      <w:r w:rsidRPr="004C2A17">
        <w:rPr>
          <w:lang w:val="en-US"/>
        </w:rPr>
        <w:t xml:space="preserve">, 27730–27744. </w:t>
      </w:r>
      <w:hyperlink r:id="rId26">
        <w:r>
          <w:t>https://proceedings.neurips.cc/paper_files/paper/2022/hash/b1efde53be364a73914f58805a001731-Abstract.html</w:t>
        </w:r>
      </w:hyperlink>
    </w:p>
    <w:p w14:paraId="7E565B02" w14:textId="77777777" w:rsidR="003A2E55" w:rsidRPr="004C2A17" w:rsidRDefault="00000000">
      <w:pPr>
        <w:keepLines/>
        <w:ind w:left="720" w:hanging="720"/>
        <w:rPr>
          <w:lang w:val="en-US"/>
        </w:rPr>
      </w:pPr>
      <w:r>
        <w:t xml:space="preserve">Quijano, A. (2000). Colonialidad del poder, eurocentrismo y América Latina. En E. Lander (Ed.), </w:t>
      </w:r>
      <w:r>
        <w:rPr>
          <w:i/>
        </w:rPr>
        <w:t xml:space="preserve">La colonialidad del saber: Eurocentrismo y ciencias sociales. </w:t>
      </w:r>
      <w:proofErr w:type="spellStart"/>
      <w:r w:rsidRPr="004C2A17">
        <w:rPr>
          <w:i/>
          <w:lang w:val="en-US"/>
        </w:rPr>
        <w:t>Perspectivas</w:t>
      </w:r>
      <w:proofErr w:type="spellEnd"/>
      <w:r w:rsidRPr="004C2A17">
        <w:rPr>
          <w:i/>
          <w:lang w:val="en-US"/>
        </w:rPr>
        <w:t xml:space="preserve"> </w:t>
      </w:r>
      <w:proofErr w:type="spellStart"/>
      <w:r w:rsidRPr="004C2A17">
        <w:rPr>
          <w:i/>
          <w:lang w:val="en-US"/>
        </w:rPr>
        <w:t>latinoamericanas</w:t>
      </w:r>
      <w:proofErr w:type="spellEnd"/>
      <w:r w:rsidRPr="004C2A17">
        <w:rPr>
          <w:lang w:val="en-US"/>
        </w:rPr>
        <w:t xml:space="preserve"> (pp. 201–246). </w:t>
      </w:r>
      <w:proofErr w:type="spellStart"/>
      <w:r w:rsidRPr="004C2A17">
        <w:rPr>
          <w:lang w:val="en-US"/>
        </w:rPr>
        <w:t>CLACSO</w:t>
      </w:r>
      <w:proofErr w:type="spellEnd"/>
      <w:r w:rsidRPr="004C2A17">
        <w:rPr>
          <w:lang w:val="en-US"/>
        </w:rPr>
        <w:t>.</w:t>
      </w:r>
    </w:p>
    <w:p w14:paraId="51EE5E8D" w14:textId="77777777" w:rsidR="003A2E55" w:rsidRPr="004C2A17" w:rsidRDefault="00000000">
      <w:pPr>
        <w:keepLines/>
        <w:ind w:left="720" w:hanging="720"/>
        <w:rPr>
          <w:lang w:val="en-US"/>
        </w:rPr>
      </w:pPr>
      <w:proofErr w:type="spellStart"/>
      <w:r w:rsidRPr="004C2A17">
        <w:rPr>
          <w:lang w:val="en-US"/>
        </w:rPr>
        <w:t>Ricaurte</w:t>
      </w:r>
      <w:proofErr w:type="spellEnd"/>
      <w:r w:rsidRPr="004C2A17">
        <w:rPr>
          <w:lang w:val="en-US"/>
        </w:rPr>
        <w:t xml:space="preserve">, P. (2019). Data epistemologies, the coloniality of power, and resistance. </w:t>
      </w:r>
      <w:r w:rsidRPr="004C2A17">
        <w:rPr>
          <w:i/>
          <w:lang w:val="en-US"/>
        </w:rPr>
        <w:t>Television &amp; New Media, 20</w:t>
      </w:r>
      <w:r w:rsidRPr="004C2A17">
        <w:rPr>
          <w:lang w:val="en-US"/>
        </w:rPr>
        <w:t xml:space="preserve">(4), 350–365. </w:t>
      </w:r>
      <w:hyperlink r:id="rId27">
        <w:r w:rsidRPr="004C2A17">
          <w:rPr>
            <w:lang w:val="en-US"/>
          </w:rPr>
          <w:t>https://</w:t>
        </w:r>
        <w:proofErr w:type="spellStart"/>
        <w:r w:rsidRPr="004C2A17">
          <w:rPr>
            <w:lang w:val="en-US"/>
          </w:rPr>
          <w:t>doi.org</w:t>
        </w:r>
        <w:proofErr w:type="spellEnd"/>
        <w:r w:rsidRPr="004C2A17">
          <w:rPr>
            <w:lang w:val="en-US"/>
          </w:rPr>
          <w:t>/10.1177/1527476419831640</w:t>
        </w:r>
      </w:hyperlink>
    </w:p>
    <w:p w14:paraId="40AE26C2" w14:textId="77777777" w:rsidR="003A2E55" w:rsidRPr="004C2A17" w:rsidRDefault="00000000">
      <w:pPr>
        <w:keepLines/>
        <w:ind w:left="720" w:hanging="720"/>
        <w:rPr>
          <w:lang w:val="en-US"/>
        </w:rPr>
      </w:pPr>
      <w:r w:rsidRPr="004C2A17">
        <w:rPr>
          <w:lang w:val="en-US"/>
        </w:rPr>
        <w:t xml:space="preserve">Tao, Y., </w:t>
      </w:r>
      <w:proofErr w:type="spellStart"/>
      <w:r w:rsidRPr="004C2A17">
        <w:rPr>
          <w:lang w:val="en-US"/>
        </w:rPr>
        <w:t>Viberg</w:t>
      </w:r>
      <w:proofErr w:type="spellEnd"/>
      <w:r w:rsidRPr="004C2A17">
        <w:rPr>
          <w:lang w:val="en-US"/>
        </w:rPr>
        <w:t xml:space="preserve">, O., Baker, R. S., &amp; </w:t>
      </w:r>
      <w:proofErr w:type="spellStart"/>
      <w:r w:rsidRPr="004C2A17">
        <w:rPr>
          <w:lang w:val="en-US"/>
        </w:rPr>
        <w:t>Kizilcec</w:t>
      </w:r>
      <w:proofErr w:type="spellEnd"/>
      <w:r w:rsidRPr="004C2A17">
        <w:rPr>
          <w:lang w:val="en-US"/>
        </w:rPr>
        <w:t xml:space="preserve">, R. F. (2024). Cultural bias and cultural alignment of large language models. </w:t>
      </w:r>
      <w:r w:rsidRPr="004C2A17">
        <w:rPr>
          <w:i/>
          <w:lang w:val="en-US"/>
        </w:rPr>
        <w:t>PNAS Nexus, 3</w:t>
      </w:r>
      <w:r w:rsidRPr="004C2A17">
        <w:rPr>
          <w:lang w:val="en-US"/>
        </w:rPr>
        <w:t xml:space="preserve">(9), </w:t>
      </w:r>
      <w:proofErr w:type="spellStart"/>
      <w:r w:rsidRPr="004C2A17">
        <w:rPr>
          <w:lang w:val="en-US"/>
        </w:rPr>
        <w:t>pgae346</w:t>
      </w:r>
      <w:proofErr w:type="spellEnd"/>
      <w:r w:rsidRPr="004C2A17">
        <w:rPr>
          <w:lang w:val="en-US"/>
        </w:rPr>
        <w:t xml:space="preserve">. </w:t>
      </w:r>
      <w:hyperlink r:id="rId28">
        <w:r w:rsidRPr="004C2A17">
          <w:rPr>
            <w:lang w:val="en-US"/>
          </w:rPr>
          <w:t>https://</w:t>
        </w:r>
        <w:proofErr w:type="spellStart"/>
        <w:r w:rsidRPr="004C2A17">
          <w:rPr>
            <w:lang w:val="en-US"/>
          </w:rPr>
          <w:t>doi.org</w:t>
        </w:r>
        <w:proofErr w:type="spellEnd"/>
        <w:r w:rsidRPr="004C2A17">
          <w:rPr>
            <w:lang w:val="en-US"/>
          </w:rPr>
          <w:t>/10.1093/</w:t>
        </w:r>
        <w:proofErr w:type="spellStart"/>
        <w:r w:rsidRPr="004C2A17">
          <w:rPr>
            <w:lang w:val="en-US"/>
          </w:rPr>
          <w:t>pnasnexus</w:t>
        </w:r>
        <w:proofErr w:type="spellEnd"/>
        <w:r w:rsidRPr="004C2A17">
          <w:rPr>
            <w:lang w:val="en-US"/>
          </w:rPr>
          <w:t>/</w:t>
        </w:r>
        <w:proofErr w:type="spellStart"/>
        <w:r w:rsidRPr="004C2A17">
          <w:rPr>
            <w:lang w:val="en-US"/>
          </w:rPr>
          <w:t>pgae346</w:t>
        </w:r>
        <w:proofErr w:type="spellEnd"/>
      </w:hyperlink>
    </w:p>
    <w:p w14:paraId="7411AAA7" w14:textId="77777777" w:rsidR="003A2E55" w:rsidRPr="004C2A17" w:rsidRDefault="00000000">
      <w:pPr>
        <w:keepLines/>
        <w:ind w:left="720" w:hanging="720"/>
        <w:rPr>
          <w:lang w:val="en-US"/>
        </w:rPr>
      </w:pPr>
      <w:r w:rsidRPr="004C2A17">
        <w:rPr>
          <w:lang w:val="en-US"/>
        </w:rPr>
        <w:t xml:space="preserve">Tonja, A., </w:t>
      </w:r>
      <w:proofErr w:type="spellStart"/>
      <w:r w:rsidRPr="004C2A17">
        <w:rPr>
          <w:lang w:val="en-US"/>
        </w:rPr>
        <w:t>Balouchzahi</w:t>
      </w:r>
      <w:proofErr w:type="spellEnd"/>
      <w:r w:rsidRPr="004C2A17">
        <w:rPr>
          <w:lang w:val="en-US"/>
        </w:rPr>
        <w:t xml:space="preserve">, F., Butt, S., Kolesnikova, O., Ceballos, H., </w:t>
      </w:r>
      <w:proofErr w:type="spellStart"/>
      <w:r w:rsidRPr="004C2A17">
        <w:rPr>
          <w:lang w:val="en-US"/>
        </w:rPr>
        <w:t>Gelbukh</w:t>
      </w:r>
      <w:proofErr w:type="spellEnd"/>
      <w:r w:rsidRPr="004C2A17">
        <w:rPr>
          <w:lang w:val="en-US"/>
        </w:rPr>
        <w:t xml:space="preserve">, A., &amp; Solorio, T. (2024). NLP progress in Indigenous Latin American languages. En K. Duh, H. Gomez, &amp; S. </w:t>
      </w:r>
      <w:proofErr w:type="spellStart"/>
      <w:r w:rsidRPr="004C2A17">
        <w:rPr>
          <w:lang w:val="en-US"/>
        </w:rPr>
        <w:t>Bethard</w:t>
      </w:r>
      <w:proofErr w:type="spellEnd"/>
      <w:r w:rsidRPr="004C2A17">
        <w:rPr>
          <w:lang w:val="en-US"/>
        </w:rPr>
        <w:t xml:space="preserve"> (Eds.), </w:t>
      </w:r>
      <w:r w:rsidRPr="004C2A17">
        <w:rPr>
          <w:i/>
          <w:lang w:val="en-US"/>
        </w:rPr>
        <w:t>Proceedings of the 2024 Conference of the North American Chapter of the Association for Computational Linguistics: Human Language Technologies (Volume 1: Long Papers)</w:t>
      </w:r>
      <w:r w:rsidRPr="004C2A17">
        <w:rPr>
          <w:lang w:val="en-US"/>
        </w:rPr>
        <w:t xml:space="preserve"> (pp. 6972–6987). Association for Computational Linguistics. </w:t>
      </w:r>
      <w:hyperlink r:id="rId29">
        <w:r w:rsidRPr="004C2A17">
          <w:rPr>
            <w:lang w:val="en-US"/>
          </w:rPr>
          <w:t>https://</w:t>
        </w:r>
        <w:proofErr w:type="spellStart"/>
        <w:r w:rsidRPr="004C2A17">
          <w:rPr>
            <w:lang w:val="en-US"/>
          </w:rPr>
          <w:t>doi.org</w:t>
        </w:r>
        <w:proofErr w:type="spellEnd"/>
        <w:r w:rsidRPr="004C2A17">
          <w:rPr>
            <w:lang w:val="en-US"/>
          </w:rPr>
          <w:t>/10.18653/</w:t>
        </w:r>
        <w:proofErr w:type="spellStart"/>
        <w:r w:rsidRPr="004C2A17">
          <w:rPr>
            <w:lang w:val="en-US"/>
          </w:rPr>
          <w:t>v1</w:t>
        </w:r>
        <w:proofErr w:type="spellEnd"/>
        <w:r w:rsidRPr="004C2A17">
          <w:rPr>
            <w:lang w:val="en-US"/>
          </w:rPr>
          <w:t>/</w:t>
        </w:r>
        <w:proofErr w:type="spellStart"/>
        <w:r w:rsidRPr="004C2A17">
          <w:rPr>
            <w:lang w:val="en-US"/>
          </w:rPr>
          <w:t>2024.naacl-long.385</w:t>
        </w:r>
        <w:proofErr w:type="spellEnd"/>
      </w:hyperlink>
    </w:p>
    <w:p w14:paraId="64CCC220" w14:textId="77777777" w:rsidR="003A2E55" w:rsidRDefault="00000000">
      <w:pPr>
        <w:keepLines/>
        <w:ind w:left="720" w:hanging="720"/>
      </w:pPr>
      <w:r>
        <w:t xml:space="preserve">UNESCO. (2021). </w:t>
      </w:r>
      <w:r>
        <w:rPr>
          <w:i/>
        </w:rPr>
        <w:t>Recomendación sobre la ética de la inteligencia artificial</w:t>
      </w:r>
      <w:r>
        <w:t xml:space="preserve">. </w:t>
      </w:r>
      <w:hyperlink r:id="rId30">
        <w:r>
          <w:t>https://www.unesco.org/es/legal-affairs/recommendation-ethics-artificial-intelligence</w:t>
        </w:r>
      </w:hyperlink>
    </w:p>
    <w:p w14:paraId="1E403066" w14:textId="77777777" w:rsidR="003A2E55" w:rsidRDefault="00000000">
      <w:pPr>
        <w:keepLines/>
        <w:ind w:left="720" w:hanging="720"/>
      </w:pPr>
      <w:r>
        <w:lastRenderedPageBreak/>
        <w:t xml:space="preserve">Walsh, C. (2010). Interculturalidad crítica y educación intercultural. En J. Viaña, L. Tapia, &amp; C. Walsh (Eds.), </w:t>
      </w:r>
      <w:r>
        <w:rPr>
          <w:i/>
        </w:rPr>
        <w:t>Construyendo interculturalidad crítica</w:t>
      </w:r>
      <w:r>
        <w:t xml:space="preserve"> (pp. 75–96). Instituto Internacional de Integración del Convenio Andrés Bello. </w:t>
      </w:r>
      <w:hyperlink r:id="rId31">
        <w:r>
          <w:t>https://aulaintercultural.org/?ddownload=11113</w:t>
        </w:r>
      </w:hyperlink>
    </w:p>
    <w:sectPr w:rsidR="003A2E55" w:rsidSect="00034616">
      <w:footerReference w:type="default" r:id="rId3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evisión editorial" w:date="2026-10-08T14:27:00Z" w:initials="RE">
    <w:p w14:paraId="1F8D8CAD" w14:textId="77777777" w:rsidR="003A2E55" w:rsidRDefault="00000000">
      <w:r>
        <w:annotationRef/>
      </w:r>
      <w:r>
        <w:t>Confirmar el nombre completo que debe figurar en la autoría del capítulo.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F8D8CA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F8D8CAD" w16cid:durableId="0E5751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2E8561" w14:textId="77777777" w:rsidR="00E52FB1" w:rsidRDefault="00E52FB1">
      <w:pPr>
        <w:spacing w:after="0"/>
      </w:pPr>
      <w:r>
        <w:separator/>
      </w:r>
    </w:p>
  </w:endnote>
  <w:endnote w:type="continuationSeparator" w:id="0">
    <w:p w14:paraId="34E1B89E" w14:textId="77777777" w:rsidR="00E52FB1" w:rsidRDefault="00E52F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36442" w14:textId="77777777" w:rsidR="003A2E55" w:rsidRDefault="00000000">
    <w:pPr>
      <w:pStyle w:val="Piedepgina"/>
      <w:ind w:firstLine="0"/>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8235E" w14:textId="77777777" w:rsidR="00E52FB1" w:rsidRDefault="00E52FB1">
      <w:pPr>
        <w:spacing w:after="0"/>
      </w:pPr>
      <w:r>
        <w:separator/>
      </w:r>
    </w:p>
  </w:footnote>
  <w:footnote w:type="continuationSeparator" w:id="0">
    <w:p w14:paraId="31280BB5" w14:textId="77777777" w:rsidR="00E52FB1" w:rsidRDefault="00E52FB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49118278">
    <w:abstractNumId w:val="8"/>
  </w:num>
  <w:num w:numId="2" w16cid:durableId="797843594">
    <w:abstractNumId w:val="6"/>
  </w:num>
  <w:num w:numId="3" w16cid:durableId="583417578">
    <w:abstractNumId w:val="5"/>
  </w:num>
  <w:num w:numId="4" w16cid:durableId="957175087">
    <w:abstractNumId w:val="4"/>
  </w:num>
  <w:num w:numId="5" w16cid:durableId="1771851553">
    <w:abstractNumId w:val="7"/>
  </w:num>
  <w:num w:numId="6" w16cid:durableId="1517691233">
    <w:abstractNumId w:val="3"/>
  </w:num>
  <w:num w:numId="7" w16cid:durableId="1679304770">
    <w:abstractNumId w:val="2"/>
  </w:num>
  <w:num w:numId="8" w16cid:durableId="469398434">
    <w:abstractNumId w:val="1"/>
  </w:num>
  <w:num w:numId="9" w16cid:durableId="1682270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2E55"/>
    <w:rsid w:val="00405CBB"/>
    <w:rsid w:val="004C2A17"/>
    <w:rsid w:val="0079233F"/>
    <w:rsid w:val="00AA1D8D"/>
    <w:rsid w:val="00B47730"/>
    <w:rsid w:val="00CB0664"/>
    <w:rsid w:val="00E52F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E50DE"/>
  <w14:defaultImageDpi w14:val="300"/>
  <w15:docId w15:val="{16876B8B-971C-4D7A-9E9F-11B724281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ind w:firstLine="720"/>
    </w:pPr>
    <w:rPr>
      <w:rFonts w:ascii="Times New Roman" w:eastAsia="Times New Roman" w:hAnsi="Times New Roman" w:cs="Times New Roman"/>
      <w:color w:val="000000"/>
      <w:sz w:val="24"/>
      <w:lang w:val="es-UY"/>
    </w:rPr>
  </w:style>
  <w:style w:type="paragraph" w:styleId="Ttulo1">
    <w:name w:val="heading 1"/>
    <w:basedOn w:val="Normal"/>
    <w:next w:val="Normal"/>
    <w:link w:val="Ttulo1Car"/>
    <w:uiPriority w:val="9"/>
    <w:qFormat/>
    <w:rsid w:val="00FC693F"/>
    <w:pPr>
      <w:keepNext/>
      <w:keepLines/>
      <w:spacing w:before="240"/>
      <w:ind w:firstLine="0"/>
      <w:jc w:val="center"/>
      <w:outlineLvl w:val="0"/>
    </w:pPr>
    <w:rPr>
      <w:rFonts w:cstheme="majorBidi"/>
      <w:b/>
      <w:bCs/>
      <w:szCs w:val="28"/>
    </w:rPr>
  </w:style>
  <w:style w:type="paragraph" w:styleId="Ttulo2">
    <w:name w:val="heading 2"/>
    <w:basedOn w:val="Normal"/>
    <w:next w:val="Normal"/>
    <w:link w:val="Ttulo2Car"/>
    <w:uiPriority w:val="9"/>
    <w:unhideWhenUsed/>
    <w:qFormat/>
    <w:rsid w:val="00FC693F"/>
    <w:pPr>
      <w:keepNext/>
      <w:keepLines/>
      <w:spacing w:before="240"/>
      <w:ind w:firstLine="0"/>
      <w:outlineLvl w:val="1"/>
    </w:pPr>
    <w:rPr>
      <w:rFonts w:cstheme="majorBidi"/>
      <w:b/>
      <w:bCs/>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spacing w:after="240"/>
      <w:ind w:firstLine="0"/>
      <w:contextualSpacing/>
      <w:jc w:val="center"/>
    </w:pPr>
    <w:rPr>
      <w:rFonts w:cstheme="majorBidi"/>
      <w:b/>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cstheme="majorBid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rFonts w:ascii="Times New Roman" w:eastAsia="Times New Roman" w:hAnsi="Times New Roman" w:cs="Times New Roman"/>
      <w:color w:val="000000"/>
      <w:sz w:val="20"/>
      <w:szCs w:val="20"/>
      <w:lang w:val="es-UY"/>
    </w:rPr>
  </w:style>
  <w:style w:type="character" w:styleId="Refdecomentario">
    <w:name w:val="annotation reference"/>
    <w:basedOn w:val="Fuentedeprrafopredeter"/>
    <w:uiPriority w:val="99"/>
    <w:semiHidden/>
    <w:unhideWhenUsed/>
    <w:rPr>
      <w:sz w:val="16"/>
      <w:szCs w:val="16"/>
    </w:rPr>
  </w:style>
  <w:style w:type="character" w:styleId="Hipervnculo">
    <w:name w:val="Hyperlink"/>
    <w:basedOn w:val="Fuentedeprrafopredeter"/>
    <w:uiPriority w:val="99"/>
    <w:unhideWhenUsed/>
    <w:rsid w:val="0079233F"/>
    <w:rPr>
      <w:color w:val="0000FF" w:themeColor="hyperlink"/>
      <w:u w:val="single"/>
    </w:rPr>
  </w:style>
  <w:style w:type="character" w:styleId="Mencinsinresolver">
    <w:name w:val="Unresolved Mention"/>
    <w:basedOn w:val="Fuentedeprrafopredeter"/>
    <w:uiPriority w:val="99"/>
    <w:semiHidden/>
    <w:unhideWhenUsed/>
    <w:rsid w:val="0079233F"/>
    <w:rPr>
      <w:color w:val="605E5C"/>
      <w:shd w:val="clear" w:color="auto" w:fill="E1DFDD"/>
    </w:rPr>
  </w:style>
  <w:style w:type="paragraph" w:styleId="Asuntodelcomentario">
    <w:name w:val="annotation subject"/>
    <w:basedOn w:val="Textocomentario"/>
    <w:next w:val="Textocomentario"/>
    <w:link w:val="AsuntodelcomentarioCar"/>
    <w:uiPriority w:val="99"/>
    <w:semiHidden/>
    <w:unhideWhenUsed/>
    <w:rsid w:val="0079233F"/>
    <w:rPr>
      <w:b/>
      <w:bCs/>
    </w:rPr>
  </w:style>
  <w:style w:type="character" w:customStyle="1" w:styleId="AsuntodelcomentarioCar">
    <w:name w:val="Asunto del comentario Car"/>
    <w:basedOn w:val="TextocomentarioCar"/>
    <w:link w:val="Asuntodelcomentario"/>
    <w:uiPriority w:val="99"/>
    <w:semiHidden/>
    <w:rsid w:val="0079233F"/>
    <w:rPr>
      <w:rFonts w:ascii="Times New Roman" w:eastAsia="Times New Roman" w:hAnsi="Times New Roman" w:cs="Times New Roman"/>
      <w:b/>
      <w:bCs/>
      <w:color w:val="000000"/>
      <w:sz w:val="20"/>
      <w:szCs w:val="20"/>
      <w:lang w:val="es-U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45/3442188.3445922" TargetMode="External"/><Relationship Id="rId18" Type="http://schemas.openxmlformats.org/officeDocument/2006/relationships/hyperlink" Target="https://doi.org/10.1177/1527476418796632" TargetMode="External"/><Relationship Id="rId26" Type="http://schemas.openxmlformats.org/officeDocument/2006/relationships/hyperlink" Target="https://proceedings.neurips.cc/paper_files/paper/2022/hash/b1efde53be364a73914f58805a001731-Abstract.html" TargetMode="External"/><Relationship Id="rId3" Type="http://schemas.openxmlformats.org/officeDocument/2006/relationships/styles" Target="styles.xml"/><Relationship Id="rId21" Type="http://schemas.openxmlformats.org/officeDocument/2006/relationships/hyperlink" Target="https://doi.org/10.1038/s41586-024-07856-5"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22201/iisue.24486167e.2011.133.27907" TargetMode="External"/><Relationship Id="rId17" Type="http://schemas.openxmlformats.org/officeDocument/2006/relationships/hyperlink" Target="https://doi.org/10.24215/23143924e106" TargetMode="External"/><Relationship Id="rId25" Type="http://schemas.openxmlformats.org/officeDocument/2006/relationships/hyperlink" Target="https://www.dukeupress.edu/The-Darker-Side-of-Western-Modernity"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epal.org/es/publicaciones/82514-indice-latinoamericano-inteligencia-artificial-ilia-2025" TargetMode="External"/><Relationship Id="rId20" Type="http://schemas.openxmlformats.org/officeDocument/2006/relationships/hyperlink" Target="https://doi.org/10.1162/coli_a_00524" TargetMode="External"/><Relationship Id="rId29" Type="http://schemas.openxmlformats.org/officeDocument/2006/relationships/hyperlink" Target="https://doi.org/10.18653/v1/2024.naacl-long.38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ntiherben@gmail.com" TargetMode="External"/><Relationship Id="rId24" Type="http://schemas.openxmlformats.org/officeDocument/2006/relationships/hyperlink" Target="https://unesdoc.unesco.org/ark:/48223/pf0000386693"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5334/dsj-2020-043" TargetMode="External"/><Relationship Id="rId23" Type="http://schemas.openxmlformats.org/officeDocument/2006/relationships/hyperlink" Target="https://doi.org/10.18235/0013542" TargetMode="External"/><Relationship Id="rId28" Type="http://schemas.openxmlformats.org/officeDocument/2006/relationships/hyperlink" Target="https://doi.org/10.1093/pnasnexus/pgae346" TargetMode="External"/><Relationship Id="rId10" Type="http://schemas.microsoft.com/office/2016/09/relationships/commentsIds" Target="commentsIds.xml"/><Relationship Id="rId19" Type="http://schemas.openxmlformats.org/officeDocument/2006/relationships/hyperlink" Target="https://yalebooks.yale.edu/book/9780300252392/atlas-of-ai/" TargetMode="External"/><Relationship Id="rId31" Type="http://schemas.openxmlformats.org/officeDocument/2006/relationships/hyperlink" Target="https://aulaintercultural.org/?ddownload=11113"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proceedings.neurips.cc/paper/2020/hash/1457c0d6bfcb4967418bfb8ac142f64a-Abstract.html" TargetMode="External"/><Relationship Id="rId22" Type="http://schemas.openxmlformats.org/officeDocument/2006/relationships/hyperlink" Target="https://doi.org/10.1177/0306396818823172" TargetMode="External"/><Relationship Id="rId27" Type="http://schemas.openxmlformats.org/officeDocument/2006/relationships/hyperlink" Target="https://doi.org/10.1177/1527476419831640" TargetMode="External"/><Relationship Id="rId30" Type="http://schemas.openxmlformats.org/officeDocument/2006/relationships/hyperlink" Target="https://www.unesco.org/es/legal-affairs/recommendation-ethics-artificial-intelligence" TargetMode="Externa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8185</Words>
  <Characters>45018</Characters>
  <Application>Microsoft Office Word</Application>
  <DocSecurity>0</DocSecurity>
  <Lines>375</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Identidades latinoamericanas ante la inteligencia artificial generativa y los riesgos de homogeneización cultural</dc:title>
  <dc:subject>Inteligencia artificial generativa, identidades culturales y educación en América Latina</dc:subject>
  <dc:creator>Santiago Hernández</dc:creator>
  <cp:keywords>inteligencia artificial, identidad cultural, educación intercultural</cp:keywords>
  <dc:description/>
  <cp:lastModifiedBy>Santiago Hernández</cp:lastModifiedBy>
  <cp:revision>2</cp:revision>
  <dcterms:created xsi:type="dcterms:W3CDTF">2026-10-08T18:42:00Z</dcterms:created>
  <dcterms:modified xsi:type="dcterms:W3CDTF">2026-10-08T18:42:00Z</dcterms:modified>
  <cp:category/>
</cp:coreProperties>
</file>