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2"/>
        </w:rPr>
        <w:t>INSTITUTO TECNOLÓGICO DE BUENOS AIRES (ITBA)</w:t>
        <w:br/>
        <w:t>DEPARTAMENTO DE INGENIERÍA INDUSTRIAL — 2026 2C</w:t>
      </w:r>
    </w:p>
    <w:p>
      <w:pPr>
        <w:spacing w:before="360" w:after="120"/>
        <w:jc w:val="center"/>
      </w:pPr>
      <w:r>
        <w:rPr>
          <w:b/>
          <w:color w:val="1F4E79"/>
          <w:sz w:val="36"/>
        </w:rPr>
        <w:t>TRABAJO PRÁCTICO N° 2: INVESTIGACIÓN OPERATIVA (IO51)</w:t>
        <w:br/>
        <w:t>SIMULACIÓN DE EVENTOS DISCRETOS: "PUERTO SUR"</w:t>
      </w:r>
    </w:p>
    <w:p>
      <w:pPr>
        <w:spacing w:after="400"/>
        <w:jc w:val="center"/>
      </w:pPr>
      <w:r>
        <w:rPr>
          <w:i/>
          <w:color w:val="2F5597"/>
          <w:sz w:val="24"/>
        </w:rPr>
        <w:t>Informe Integral y Autocontenido: Modelo Conceptual, Teoría de Colas, Simulación SimPy, Experimentación y Decisiones Estratégicas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Materia:</w:t>
            </w:r>
          </w:p>
        </w:tc>
        <w:tc>
          <w:tcPr>
            <w:tcW w:type="dxa" w:w="468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11.51 / IO51 - Investigación Operativa (ITBA)</w:t>
            </w:r>
          </w:p>
        </w:tc>
      </w:tr>
      <w:tr>
        <w:tc>
          <w:tcPr>
            <w:tcW w:type="dxa" w:w="468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Comisión y Grupo:</w:t>
            </w:r>
          </w:p>
        </w:tc>
        <w:tc>
          <w:tcPr>
            <w:tcW w:type="dxa" w:w="468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2° Cuatrimestre 2026 — Grupo 08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Dataset Asignado: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data/PuertoSur_escalas_G08.csv (8.852 escalas registradas, ~3 años)</w:t>
            </w:r>
          </w:p>
        </w:tc>
      </w:tr>
      <w:tr>
        <w:tc>
          <w:tcPr>
            <w:tcW w:type="dxa" w:w="468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Entorno y Lenguaje:</w:t>
            </w:r>
          </w:p>
        </w:tc>
        <w:tc>
          <w:tcPr>
            <w:tcW w:type="dxa" w:w="468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Python 3.12 / SimPy 4.1.2 / Pandas / SciPy / Statsmodels / Matplotlib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Repositorio Oficial: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https://github.com/Santim1897/TP2-IO</w:t>
            </w:r>
          </w:p>
        </w:tc>
      </w:tr>
      <w:tr>
        <w:tc>
          <w:tcPr>
            <w:tcW w:type="dxa" w:w="468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Naturaleza del Documento:</w:t>
            </w:r>
          </w:p>
        </w:tc>
        <w:tc>
          <w:tcPr>
            <w:tcW w:type="dxa" w:w="468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Informe Técnico y Gerencial Autocontenido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Resumen Ejecutivo y Cuadro Consolidado de Respuestas</w:t>
      </w:r>
    </w:p>
    <w:p>
      <w:r>
        <w:t>A continuación se presenta la tabla consolidada con las respuestas cuantitativas y recomendaciones estratégicas a cada una de las consignas requeridas por la cátedra para el Grupo 08 (Simulación Física Refactorizada):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Consigna</w:t>
            </w:r>
          </w:p>
        </w:tc>
        <w:tc>
          <w:tcPr>
            <w:tcW w:type="dxa" w:w="234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Pregunta Clave de la Cátedra</w:t>
            </w:r>
          </w:p>
        </w:tc>
        <w:tc>
          <w:tcPr>
            <w:tcW w:type="dxa" w:w="234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Resultado Cuantitativo (Grupo 8)</w:t>
            </w:r>
          </w:p>
        </w:tc>
        <w:tc>
          <w:tcPr>
            <w:tcW w:type="dxa" w:w="234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Recomendación Estratégica</w:t>
            </w:r>
          </w:p>
        </w:tc>
      </w:tr>
      <w:tr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a) Modelo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Formalización conceptual y operativa del puerto.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Simulador SimPy con contención física de grúas, maniobras conjuntas de 1.5h y dinámica de patio.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Verificación formal mediante Ley de Little (L = lambda * W).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b) Diagnóstico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Estadía actual (W), cantidad de buques (L) y desglose espera vs atención.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W = 15.00 h | L = 5.05 buques | Wq = 7.90 h (52.6%) | Ws = 7.11 h (47.4%). Atención neta grúa: 4.75 h (31.7%). 32.9% excede 16h.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Reclamo naviero plenamente fundado: 58.3% del tiempo es espera inactiva.</w:t>
            </w:r>
          </w:p>
        </w:tc>
      </w:tr>
      <w:tr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c) Umbral 16h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Demanda máx. admisible y beneficio de incorporar una 4ª grúa STS.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Demanda máx actual: &lt;= 8.09 b/d (32.9% excedido). Con 4ª grúa: W cae a 9.38 h (Wq cae 58.7% a 3.26 h; excedidos caen a 11.8%).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Aprobar de inmediato la 4ª grúa. Brinda holgura operativa y robustez.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d) Patio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Efecto de ventanas horarias de camiones y slots reefer segregados.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Penalidades bajan camiones tardíos del 25% al 10%, estabilizando el patio por debajo del 75%.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Aplicar penalidad y segregar slots reefer en temporada de fruta (+57% demanda).</w:t>
            </w:r>
          </w:p>
        </w:tc>
      </w:tr>
      <w:tr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e) Cruceros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Impacto de exclusividad de berma y canon mínimo (USD 60.000 ofrecidos).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Reserva exclusiva genera +2.31 h/buque de demora a carga (pérdidas de USD 4.26M a 8.52M).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Rechazar reserva exclusiva. Canon de equilibrio: USD 178k - 355k por escala. Reportar por separado.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f) Proyecto Ind.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Decisión bajo incertidumbre ante Base (+35%) y Optimista (+100%).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 3 bermas el puerto colapsa (rho &gt; 1.13). 4ª berma domina bajo Wald, Savage y Laplace.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Construir 4ª berma de manera urgente. Convicción directiva valida la decisión.</w:t>
            </w:r>
          </w:p>
        </w:tc>
      </w:tr>
      <w:tr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g) Repago 4ª B.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Demanda para repago, período de repago y buques-año evitados.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Ahorro: 2.53 años-buque evitados/año (USD 20.76M/año). Inversión: USD 12M.</w:t>
            </w:r>
          </w:p>
        </w:tc>
        <w:tc>
          <w:tcPr>
            <w:tcW w:type="dxa" w:w="234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Payback de 0.58 años (~7 meses). Rentabilidad económica sobresaliente.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Sección 1: Modelo Conceptual Formal</w:t>
      </w:r>
    </w:p>
    <w:p>
      <w:pPr>
        <w:pStyle w:val="Heading2"/>
      </w:pPr>
      <w:r>
        <w:rPr>
          <w:color w:val="2F5597"/>
        </w:rPr>
        <w:t>1.1. Objetivo y Clasificación de Variables</w:t>
      </w:r>
    </w:p>
    <w:p>
      <w:r>
        <w:t>El objetivo general es estructurar un modelo DES para Puerto Sur que permita evaluar cuantitativamente la capacidad de sostener una estadía W &lt;= 16 horas con las navieras regulares, identificar cuellos de botella en muelle y patio, y evaluar la viabilidad de la 4ª grúa, la 4ª berma y el impacto de los cruceros.</w:t>
      </w:r>
    </w:p>
    <w:p>
      <w:r>
        <w:t>Se clasificaron rigurosamente las variables de decisión (Bermas B in {2,3,4}, Grúas G in {3,4}, políticas de camiones y cruceros), variables de referencia exógenas (arribos Delta t del Grupo 8, mix de carga, turnos, maniobras conjuntas de 1.5h, paradas de cambio de guardia) y variables de salida/KPIs (W, Wq, Ws, T_esp_grua, T_op_grua, % espera inactiva, L, Lq y Payback).</w:t>
      </w:r>
    </w:p>
    <w:p>
      <w:pPr>
        <w:pStyle w:val="Heading2"/>
      </w:pPr>
      <w:r>
        <w:rPr>
          <w:color w:val="2F5597"/>
        </w:rPr>
        <w:t>1.2. Relación Causal entre Variables</w:t>
      </w:r>
    </w:p>
    <w:p>
      <w:r>
        <w:drawing>
          <wp:inline xmlns:a="http://schemas.openxmlformats.org/drawingml/2006/main" xmlns:pic="http://schemas.openxmlformats.org/drawingml/2006/picture">
            <wp:extent cx="5486400" cy="3740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lacion_variables_caus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color w:val="505050"/>
          <w:sz w:val="17"/>
        </w:rPr>
        <w:t>Figura 1: Diagrama de Influencias Causales entre Variables del Sistema Portuario</w:t>
      </w:r>
    </w:p>
    <w:p>
      <w:pPr>
        <w:pStyle w:val="Heading2"/>
      </w:pPr>
      <w:r>
        <w:rPr>
          <w:color w:val="2F5597"/>
        </w:rPr>
        <w:t>1.3. Diagramas IDEF0 (Contexto y Descomposición Funcional)</w:t>
      </w:r>
    </w:p>
    <w:p>
      <w:r>
        <w:drawing>
          <wp:inline xmlns:a="http://schemas.openxmlformats.org/drawingml/2006/main" xmlns:pic="http://schemas.openxmlformats.org/drawingml/2006/picture">
            <wp:extent cx="5486400" cy="3740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def0_a_menos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color w:val="505050"/>
          <w:sz w:val="17"/>
        </w:rPr>
        <w:t>Figura 2: Diagrama de Contexto IDEF0 A-0: Operar Terminal Portuaria Puerto Sur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def0_a0_descomposi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color w:val="505050"/>
          <w:sz w:val="17"/>
        </w:rPr>
        <w:t>Figura 3: Diagrama de Descomposición Funcional IDEF0 A0 (Actividades A1 a A4)</w:t>
      </w:r>
    </w:p>
    <w:p>
      <w:pPr>
        <w:pStyle w:val="Heading2"/>
      </w:pPr>
      <w:r>
        <w:rPr>
          <w:color w:val="2F5597"/>
        </w:rPr>
        <w:t>1.4. Lógicas Operativas y Arquitectura del Simulador</w:t>
      </w:r>
    </w:p>
    <w:p>
      <w:r>
        <w:drawing>
          <wp:inline xmlns:a="http://schemas.openxmlformats.org/drawingml/2006/main" xmlns:pic="http://schemas.openxmlformats.org/drawingml/2006/picture">
            <wp:extent cx="5303520" cy="47731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gica_flujo_buq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73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color w:val="505050"/>
          <w:sz w:val="17"/>
        </w:rPr>
        <w:t>Figura 4: Diagrama de Flujo Lógico Operativo del Ciclo de Atención de Escalas</w:t>
      </w:r>
    </w:p>
    <w:p>
      <w:r>
        <w:drawing>
          <wp:inline xmlns:a="http://schemas.openxmlformats.org/drawingml/2006/main" xmlns:pic="http://schemas.openxmlformats.org/drawingml/2006/picture">
            <wp:extent cx="5486400" cy="37407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lementos_simulad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color w:val="505050"/>
          <w:sz w:val="17"/>
        </w:rPr>
        <w:t>Figura 5: Diagrama de Arquitectura de Clases, Recursos y Monitores del Simulador SimPy</w:t>
      </w:r>
    </w:p>
    <w:p>
      <w:r>
        <w:br w:type="page"/>
      </w:r>
    </w:p>
    <w:p>
      <w:pPr>
        <w:pStyle w:val="Heading1"/>
      </w:pPr>
      <w:r>
        <w:rPr>
          <w:color w:val="1F4E79"/>
        </w:rPr>
        <w:t>Sección 2: Modelo de Datos y Teoría de Colas a Priori</w:t>
      </w:r>
    </w:p>
    <w:p>
      <w:r>
        <w:t>Del análisis de las 8.852 escalas de data/PuertoSur_escalas_G08.csv se derivaron: lambda = 8.086 buques/día, tiempo entre arribos medio = 2.968 h (CV = 2.494), Austral Feeder (43.8%), Andes Container Line (37.6%), TransPatagonia Line (18.7%).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Modelo Analítico</w:t>
            </w:r>
          </w:p>
        </w:tc>
        <w:tc>
          <w:tcPr>
            <w:tcW w:type="dxa" w:w="1337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Ws Supuesto</w:t>
            </w:r>
          </w:p>
        </w:tc>
        <w:tc>
          <w:tcPr>
            <w:tcW w:type="dxa" w:w="1337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Tasa mu</w:t>
            </w:r>
          </w:p>
        </w:tc>
        <w:tc>
          <w:tcPr>
            <w:tcW w:type="dxa" w:w="1337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Intensidad rho</w:t>
            </w:r>
          </w:p>
        </w:tc>
        <w:tc>
          <w:tcPr>
            <w:tcW w:type="dxa" w:w="1337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Wq (Rada)</w:t>
            </w:r>
          </w:p>
        </w:tc>
        <w:tc>
          <w:tcPr>
            <w:tcW w:type="dxa" w:w="1337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 (Estadía)</w:t>
            </w:r>
          </w:p>
        </w:tc>
        <w:tc>
          <w:tcPr>
            <w:tcW w:type="dxa" w:w="1337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 (Buques)</w:t>
            </w:r>
          </w:p>
        </w:tc>
      </w:tr>
      <w:tr>
        <w:tc>
          <w:tcPr>
            <w:tcW w:type="dxa" w:w="1337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M/M/3 (Ideal 2G)</w:t>
            </w:r>
          </w:p>
        </w:tc>
        <w:tc>
          <w:tcPr>
            <w:tcW w:type="dxa" w:w="1337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5.50 h</w:t>
            </w:r>
          </w:p>
        </w:tc>
        <w:tc>
          <w:tcPr>
            <w:tcW w:type="dxa" w:w="1337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0.1818</w:t>
            </w:r>
          </w:p>
        </w:tc>
        <w:tc>
          <w:tcPr>
            <w:tcW w:type="dxa" w:w="1337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0.618</w:t>
            </w:r>
          </w:p>
        </w:tc>
        <w:tc>
          <w:tcPr>
            <w:tcW w:type="dxa" w:w="1337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1.76 h</w:t>
            </w:r>
          </w:p>
        </w:tc>
        <w:tc>
          <w:tcPr>
            <w:tcW w:type="dxa" w:w="1337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7.26 h</w:t>
            </w:r>
          </w:p>
        </w:tc>
        <w:tc>
          <w:tcPr>
            <w:tcW w:type="dxa" w:w="1337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2.45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M/M/3 (Mixto)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6.50 h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0.1538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0.730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4.34 h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10.84 h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3.65</w:t>
            </w:r>
          </w:p>
        </w:tc>
      </w:tr>
      <w:tr>
        <w:tc>
          <w:tcPr>
            <w:tcW w:type="dxa" w:w="1337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M/M/3 (Promedio)</w:t>
            </w:r>
          </w:p>
        </w:tc>
        <w:tc>
          <w:tcPr>
            <w:tcW w:type="dxa" w:w="1337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7.11 h</w:t>
            </w:r>
          </w:p>
        </w:tc>
        <w:tc>
          <w:tcPr>
            <w:tcW w:type="dxa" w:w="1337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0.1406</w:t>
            </w:r>
          </w:p>
        </w:tc>
        <w:tc>
          <w:tcPr>
            <w:tcW w:type="dxa" w:w="1337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0.799</w:t>
            </w:r>
          </w:p>
        </w:tc>
        <w:tc>
          <w:tcPr>
            <w:tcW w:type="dxa" w:w="1337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7.85 h</w:t>
            </w:r>
          </w:p>
        </w:tc>
        <w:tc>
          <w:tcPr>
            <w:tcW w:type="dxa" w:w="1337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14.96 h</w:t>
            </w:r>
          </w:p>
        </w:tc>
        <w:tc>
          <w:tcPr>
            <w:tcW w:type="dxa" w:w="1337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5.04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M/G/3 (Allen-Cunneen)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7.11 h (CV=2.49)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0.1406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0.799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24.81 h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31.92 h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10.75</w:t>
            </w:r>
          </w:p>
        </w:tc>
      </w:tr>
      <w:tr>
        <w:tc>
          <w:tcPr>
            <w:tcW w:type="dxa" w:w="1337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Simulación Física G08</w:t>
            </w:r>
          </w:p>
        </w:tc>
        <w:tc>
          <w:tcPr>
            <w:tcW w:type="dxa" w:w="1337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7.11 h (Empírico)</w:t>
            </w:r>
          </w:p>
        </w:tc>
        <w:tc>
          <w:tcPr>
            <w:tcW w:type="dxa" w:w="1337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Dinámico</w:t>
            </w:r>
          </w:p>
        </w:tc>
        <w:tc>
          <w:tcPr>
            <w:tcW w:type="dxa" w:w="1337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~0.79</w:t>
            </w:r>
          </w:p>
        </w:tc>
        <w:tc>
          <w:tcPr>
            <w:tcW w:type="dxa" w:w="1337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7.90 h</w:t>
            </w:r>
          </w:p>
        </w:tc>
        <w:tc>
          <w:tcPr>
            <w:tcW w:type="dxa" w:w="1337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15.00 h</w:t>
            </w:r>
          </w:p>
        </w:tc>
        <w:tc>
          <w:tcPr>
            <w:tcW w:type="dxa" w:w="1337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5.05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b/>
                <w:color w:val="1F4E79"/>
                <w:sz w:val="19"/>
              </w:rPr>
              <w:t xml:space="preserve">📌 VALIDACIÓN DE COLAS: </w:t>
            </w:r>
            <w:r>
              <w:rPr>
                <w:i/>
                <w:sz w:val="19"/>
              </w:rPr>
              <w:t>Con las maniobras conjuntas de 1.5h corregidas, el modelo M/M/3 analítico con Ws = 7.11h predice Wq = 7.85h y W = 14.96h, coincidiendo de forma casi exacta con la simulación real (Wq = 7.90h, W = 15.00h).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1F4E79"/>
        </w:rPr>
        <w:t>Sección 3: Experimentación y Análisis Detallado (Consignas b a g)</w:t>
      </w:r>
    </w:p>
    <w:p>
      <w:pPr>
        <w:pStyle w:val="Heading2"/>
      </w:pPr>
      <w:r>
        <w:rPr>
          <w:color w:val="2F5597"/>
        </w:rPr>
        <w:t>Consigna b: Diagnóstico de la Operación Actual vs. Umbral de 16h</w:t>
      </w:r>
    </w:p>
    <w:p>
      <w:r>
        <w:t>La operación actual promedia W = 15.00 horas, con Wq = 7.90 horas (52.62% espera en rada) y Ws = 7.11 horas (47.38% en berma). De Ws: 4.75 h son atención efectiva de grúa (31.67%), 0.86 h son espera por grúa libre amarrado (5.73%) y 1.50 h son maniobras náuticas conjuntas (10.00%). La espera total inactiva suma 58.35%.</w:t>
      </w:r>
    </w:p>
    <w:p>
      <w:r>
        <w:t>Aunque el promedio cumple con 15.00h, el 32.91% de las escalas excede las 16 horas (en TransPatagonia Line excede el 45.10%).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esglose_estad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color w:val="505050"/>
          <w:sz w:val="17"/>
        </w:rPr>
        <w:t>Figura 6: Desglose de Estadía Portuaria: Tiempo en Berma (Ws) vs. Espera en Rada (Wq)</w:t>
      </w:r>
    </w:p>
    <w:p>
      <w:pPr>
        <w:pStyle w:val="Heading2"/>
      </w:pPr>
      <w:r>
        <w:rPr>
          <w:color w:val="2F5597"/>
        </w:rPr>
        <w:t>Consigna c: Compromiso de 16h y Beneficio de la 4ª Grúa STS</w:t>
      </w:r>
    </w:p>
    <w:p>
      <w:r>
        <w:t>Con la 4ª grúa, la estadía total cae a 9.38 horas (reducción de 37.5%). La espera en rada se contrae un 58.7% (de 7.90 h a 3.26 h), y el incumplimiento cae de 32.91% a tan solo 11.85%. A 8.09 buques/día, la 4ª grúa garantiza que el puerto opere con total holgura.</w:t>
      </w:r>
    </w:p>
    <w:p>
      <w:r>
        <w:drawing>
          <wp:inline xmlns:a="http://schemas.openxmlformats.org/drawingml/2006/main" xmlns:pic="http://schemas.openxmlformats.org/drawingml/2006/picture">
            <wp:extent cx="5303520" cy="32410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apacidad_deman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color w:val="505050"/>
          <w:sz w:val="17"/>
        </w:rPr>
        <w:t>Figura 7: Capacidad Operativa y Cumplimiento del Umbral de 16h vs. Demanda Diaria</w:t>
      </w:r>
    </w:p>
    <w:p>
      <w:pPr>
        <w:pStyle w:val="Heading2"/>
      </w:pPr>
      <w:r>
        <w:rPr>
          <w:color w:val="2F5597"/>
        </w:rPr>
        <w:t>Consigna d: Política de Patio y Camiones</w:t>
      </w:r>
    </w:p>
    <w:p>
      <w:r>
        <w:t>Penalizar la impuntualidad de camiones reduce la tasa de tardíos del 25% al 10%, estabilizando el patio por debajo del 75% (&gt;2.250 slots) en momentos pico. La segregación de slots reefer es imprescindible durante octubre a diciembre, donde la demanda de frío sube un +57%.</w:t>
      </w:r>
    </w:p>
    <w:p>
      <w:pPr>
        <w:pStyle w:val="Heading2"/>
      </w:pPr>
      <w:r>
        <w:rPr>
          <w:color w:val="2F5597"/>
        </w:rPr>
        <w:t>Consigna e: Temporada de Cruceros y Reserva Exclusiva</w:t>
      </w:r>
    </w:p>
    <w:p>
      <w:r>
        <w:t>Conceder la reserva exclusiva añade +2.31 horas de demora por buque a la carga, generando demoras de 6.820 h/año con pérdidas de inmovilización de USD 4.26M a USD 8.52M por temporada. El canon compensatorio debería ser de USD 178k a USD 355k por escala (vs USD 60k ofrecidos). Se debe rechazar la exclusividad y reportar los cruceros por separado.</w:t>
      </w:r>
    </w:p>
    <w:p>
      <w:pPr>
        <w:pStyle w:val="Heading2"/>
      </w:pPr>
      <w:r>
        <w:rPr>
          <w:color w:val="2F5597"/>
        </w:rPr>
        <w:t>Consigna f: Proyecto Industrial y Criterios bajo Incertidumbre</w:t>
      </w:r>
    </w:p>
    <w:p>
      <w:r>
        <w:t>Bajo los escenarios Base (+35%) y Optimista (+100%), las 3 bermas colapsan (rho &gt; 1.13). Construir la 4ª berma domina bajo todos los criterios de incertidumbre (Wald: +USD 19.5M vs -USD 1.200M; Savage Regret: USD 0M vs USD 750M). La convicción de la gerencia valida la urgencia de la obra.</w:t>
      </w:r>
    </w:p>
    <w:p>
      <w:pPr>
        <w:pStyle w:val="Heading2"/>
      </w:pPr>
      <w:r>
        <w:rPr>
          <w:color w:val="2F5597"/>
        </w:rPr>
        <w:t>Consigna g: Análisis de Repago de la 4ª Berma (USD 12M)</w:t>
      </w:r>
    </w:p>
    <w:p>
      <w:r>
        <w:t>La 4ª berma ahorra 7.50 horas por buque = 2.53 años-buque de inmovilización evitados al año = USD 20.76 Millones/año de ahorro. El período de repago es de 0.58 años (~6.9 meses).</w:t>
      </w:r>
    </w:p>
    <w:p>
      <w:r>
        <w:drawing>
          <wp:inline xmlns:a="http://schemas.openxmlformats.org/drawingml/2006/main" xmlns:pic="http://schemas.openxmlformats.org/drawingml/2006/picture">
            <wp:extent cx="5303520" cy="31197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pago_berm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9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color w:val="505050"/>
          <w:sz w:val="17"/>
        </w:rPr>
        <w:t>Figura 8: Período de Repago de la Inversión en 4ª Berma (USD 12M) vs. Costo de Inmovilización</w:t>
      </w:r>
    </w:p>
    <w:p>
      <w:pPr>
        <w:pStyle w:val="Heading1"/>
      </w:pPr>
      <w:r>
        <w:rPr>
          <w:color w:val="1F4E79"/>
        </w:rPr>
        <w:t>Sección 4: Validación Estadística con Test de Tukey HSD</w:t>
      </w:r>
    </w:p>
    <w:p>
      <w:r>
        <w:t>Se certificó la significancia estadística mediante el Test de Tukey HSD (FWER = 0.05):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Comparación de Escenarios</w:t>
            </w:r>
          </w:p>
        </w:tc>
        <w:tc>
          <w:tcPr>
            <w:tcW w:type="dxa" w:w="156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Diferencia Medias</w:t>
            </w:r>
          </w:p>
        </w:tc>
        <w:tc>
          <w:tcPr>
            <w:tcW w:type="dxa" w:w="156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p-valor adj.</w:t>
            </w:r>
          </w:p>
        </w:tc>
        <w:tc>
          <w:tcPr>
            <w:tcW w:type="dxa" w:w="156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IC 95% Inferior</w:t>
            </w:r>
          </w:p>
        </w:tc>
        <w:tc>
          <w:tcPr>
            <w:tcW w:type="dxa" w:w="156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IC 95% Superior</w:t>
            </w:r>
          </w:p>
        </w:tc>
        <w:tc>
          <w:tcPr>
            <w:tcW w:type="dxa" w:w="156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¿Significativo?</w:t>
            </w:r>
          </w:p>
        </w:tc>
      </w:tr>
      <w:tr>
        <w:tc>
          <w:tcPr>
            <w:tcW w:type="dxa" w:w="156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Actual (3G) vs 4 Grúas (4G)</w:t>
            </w:r>
          </w:p>
        </w:tc>
        <w:tc>
          <w:tcPr>
            <w:tcW w:type="dxa" w:w="156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-4.33 h</w:t>
            </w:r>
          </w:p>
        </w:tc>
        <w:tc>
          <w:tcPr>
            <w:tcW w:type="dxa" w:w="156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56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-5.11 h</w:t>
            </w:r>
          </w:p>
        </w:tc>
        <w:tc>
          <w:tcPr>
            <w:tcW w:type="dxa" w:w="156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-3.55 h</w:t>
            </w:r>
          </w:p>
        </w:tc>
        <w:tc>
          <w:tcPr>
            <w:tcW w:type="dxa" w:w="156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Sí (Rechaza H0)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Actual (3G) vs Crucero Exclusivo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+5.15 h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+4.37 h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+5.93 h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Sí (Rechaza H0)</w:t>
            </w:r>
          </w:p>
        </w:tc>
      </w:tr>
      <w:tr>
        <w:tc>
          <w:tcPr>
            <w:tcW w:type="dxa" w:w="156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Actual (3G) vs Camión Penalizado</w:t>
            </w:r>
          </w:p>
        </w:tc>
        <w:tc>
          <w:tcPr>
            <w:tcW w:type="dxa" w:w="156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+0.34 h</w:t>
            </w:r>
          </w:p>
        </w:tc>
        <w:tc>
          <w:tcPr>
            <w:tcW w:type="dxa" w:w="156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0.677</w:t>
            </w:r>
          </w:p>
        </w:tc>
        <w:tc>
          <w:tcPr>
            <w:tcW w:type="dxa" w:w="156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-0.44 h</w:t>
            </w:r>
          </w:p>
        </w:tc>
        <w:tc>
          <w:tcPr>
            <w:tcW w:type="dxa" w:w="156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+1.12 h</w:t>
            </w:r>
          </w:p>
        </w:tc>
        <w:tc>
          <w:tcPr>
            <w:tcW w:type="dxa" w:w="156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 Grúas vs Crucero Exclusivo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+9.48 h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+8.70 h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+10.26 h</w:t>
            </w:r>
          </w:p>
        </w:tc>
        <w:tc>
          <w:tcPr>
            <w:tcW w:type="dxa" w:w="15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Sí (Rechaza H0)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28285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ukey_hs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color w:val="505050"/>
          <w:sz w:val="17"/>
        </w:rPr>
        <w:t>Figura 9: Intervalos de Confianza al 95% del Test de Tukey HSD</w:t>
      </w:r>
    </w:p>
    <w:p>
      <w:pPr>
        <w:pStyle w:val="Heading1"/>
      </w:pPr>
      <w:r>
        <w:rPr>
          <w:color w:val="1F4E79"/>
        </w:rPr>
        <w:t>Sección 5: Conclusiones Estratégicas y Librerías Utilizadas</w:t>
      </w:r>
    </w:p>
    <w:p>
      <w:r>
        <w:t>Recomendaciones finales: 1) Incorporar la 4ª grúa de inmediato; 2) Invertir en la 4ª berma (repago en ~7 meses); 3) Rechazar la reserva exclusiva de crucero; 4) Relevo en caliente de turnos y penalización de camiones tardíos.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Librería</w:t>
            </w:r>
          </w:p>
        </w:tc>
        <w:tc>
          <w:tcPr>
            <w:tcW w:type="dxa" w:w="312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3120"/>
            <w:shd w:fill="2F559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Rol Técnico en el Proyecto</w:t>
            </w:r>
          </w:p>
        </w:tc>
      </w:tr>
      <w:tr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3.12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Lenguaje base para estructuración algorítmica y orquestación.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SimPy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4.1.2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Motor de simulación de eventos discretos (entidades, recursos y procesos).</w:t>
            </w:r>
          </w:p>
        </w:tc>
      </w:tr>
      <w:tr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Pandas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2.2+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Procesamiento de 8.852 escalas, agregación temporal y exportación.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NumPy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1.26+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Tratamiento matricial y generación estocástica pseudoaleatoria.</w:t>
            </w:r>
          </w:p>
        </w:tc>
      </w:tr>
      <w:tr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SciPy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1.13+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Ajuste de distribuciones y cálculo analítico de Erlang C y Allen-Cunneen.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Statsmodels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0.14+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Ejecución del Test de Comparaciones Múltiples de Tukey HSD y ANOVA.</w:t>
            </w:r>
          </w:p>
        </w:tc>
      </w:tr>
      <w:tr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Matplotlib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3.8+</w:t>
            </w:r>
          </w:p>
        </w:tc>
        <w:tc>
          <w:tcPr>
            <w:tcW w:type="dxa" w:w="312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Generación de gráficos analíticos a 300 DPI insertados en el informe.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