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D4B3F"/>
          <w:spacing w:val="10"/>
          <w:sz w:val="16"/>
          <w:szCs w:val="16"/>
        </w:rPr>
        <w:t xml:space="preserve">PROYECTO INTEGRADOR · CIENCIA DE DATOS 2026 · UTN FRM</w:t>
      </w:r>
    </w:p>
    <w:p>
      <w:pPr>
        <w:pStyle w:val="Title"/>
        <w:spacing w:after="120"/>
      </w:pPr>
      <w:r>
        <w:rPr>
          <w:rFonts w:ascii="Georgia" w:cs="Georgia" w:eastAsia="Georgia" w:hAnsi="Georgia"/>
          <w:b/>
          <w:bCs/>
          <w:color w:val="20241F"/>
          <w:sz w:val="40"/>
          <w:szCs w:val="40"/>
        </w:rPr>
        <w:t xml:space="preserve">Dos propuestas: sector inmobiliario</w:t>
      </w:r>
    </w:p>
    <w:p>
      <w:pPr>
        <w:spacing w:after="140" w:line="290"/>
      </w:pPr>
      <w:r>
        <w:rPr>
          <w:rFonts w:ascii="Calibri" w:cs="Calibri" w:eastAsia="Calibri" w:hAnsi="Calibri"/>
          <w:color w:val="20241F"/>
          <w:sz w:val="20"/>
          <w:szCs w:val="20"/>
        </w:rPr>
        <w:t xml:space="preserve">El Proyecto Integrador exige un problema propio, con fuente de datos validada por la cátedra, que cumpla los siete criterios del Kit de arranque — con una restricción puntual del grupo: no puede ser una predicción de precios de Airbnb, porque otro grupo ya la propuso.</w:t>
      </w:r>
    </w:p>
    <w:p>
      <w:pPr>
        <w:spacing w:after="140" w:line="290"/>
      </w:pPr>
      <w:r>
        <w:rPr>
          <w:rFonts w:ascii="Calibri" w:cs="Calibri" w:eastAsia="Calibri" w:hAnsi="Calibri"/>
          <w:color w:val="20241F"/>
          <w:sz w:val="20"/>
          <w:szCs w:val="20"/>
        </w:rPr>
        <w:t xml:space="preserve">A partir de ahí se armaron dos propuestas independientes. Comparten la misma fuente de datos, pero responden preguntas distintas con métodos distintos: la primera juzga una propiedad puntual; la segunda, una zona completa. Ninguna de las dos entrega el precio como resultado final. Se presentan ambas para que la cátedra elija una, o indique ajustes.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D4B3F"/>
          <w:spacing w:val="10"/>
          <w:sz w:val="18"/>
          <w:szCs w:val="18"/>
        </w:rPr>
        <w:t xml:space="preserve">PROPUESTA 1</w:t>
      </w:r>
    </w:p>
    <w:p>
      <w:pPr>
        <w:pStyle w:val="Heading1"/>
        <w:pBdr>
          <w:bottom w:val="single" w:color="1D4B3F" w:sz="8" w:space="6"/>
        </w:pBdr>
        <w:spacing w:after="160" w:before="200"/>
      </w:pPr>
      <w:r>
        <w:rPr>
          <w:rFonts w:ascii="Georgia" w:cs="Georgia" w:eastAsia="Georgia" w:hAnsi="Georgia"/>
          <w:b/>
          <w:bCs/>
          <w:color w:val="1D4B3F"/>
          <w:sz w:val="32"/>
          <w:szCs w:val="32"/>
        </w:rPr>
        <w:t xml:space="preserve">Brújula Inmobiliaria</w:t>
      </w:r>
    </w:p>
    <w:p>
      <w:pPr>
        <w:spacing w:after="140" w:line="290"/>
      </w:pPr>
      <w:r>
        <w:rPr>
          <w:rFonts w:ascii="Calibri" w:cs="Calibri" w:eastAsia="Calibri" w:hAnsi="Calibri"/>
          <w:i/>
          <w:iCs/>
          <w:color w:val="5B6158"/>
          <w:sz w:val="20"/>
          <w:szCs w:val="20"/>
        </w:rPr>
        <w:t xml:space="preserve">¿Esta propiedad está bien tasada respecto al mercado?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/>
          <w:bCs/>
          <w:color w:val="20241F"/>
          <w:sz w:val="21"/>
          <w:szCs w:val="21"/>
        </w:rPr>
        <w:t xml:space="preserve">Pregunta de investigación</w:t>
      </w:r>
    </w:p>
    <w:p>
      <w:pPr>
        <w:spacing w:after="140" w:line="290"/>
      </w:pPr>
      <w:r>
        <w:rPr>
          <w:rFonts w:ascii="Calibri" w:cs="Calibri" w:eastAsia="Calibri" w:hAnsi="Calibri"/>
          <w:color w:val="20241F"/>
          <w:sz w:val="20"/>
          <w:szCs w:val="20"/>
        </w:rPr>
        <w:t xml:space="preserve">Dada una propiedad en venta (o en alquiler, según se defina) en Mendoza, ¿su precio está alineado con el de propiedades comparables de su misma zona y características, o se aparta de forma significativa?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/>
          <w:bCs/>
          <w:color w:val="20241F"/>
          <w:sz w:val="21"/>
          <w:szCs w:val="21"/>
        </w:rPr>
        <w:t xml:space="preserve">Qué queremos lograr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0241F"/>
          <w:sz w:val="20"/>
          <w:szCs w:val="20"/>
        </w:rPr>
        <w:t xml:space="preserve">Un clasificador que, dado un aviso, devuelve un veredicto simple: sobrevalorado, de mercado, u oportunidad.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/>
          <w:bCs/>
          <w:color w:val="20241F"/>
          <w:sz w:val="21"/>
          <w:szCs w:val="21"/>
        </w:rPr>
        <w:t xml:space="preserve">Unidad de análisis</w:t>
      </w:r>
    </w:p>
    <w:p>
      <w:pPr>
        <w:spacing w:after="140" w:line="290"/>
      </w:pPr>
      <w:r>
        <w:rPr>
          <w:rFonts w:ascii="Calibri" w:cs="Calibri" w:eastAsia="Calibri" w:hAnsi="Calibri"/>
          <w:color w:val="20241F"/>
          <w:sz w:val="20"/>
          <w:szCs w:val="20"/>
        </w:rPr>
        <w:t xml:space="preserve">Un aviso publicado. Coincide de forma directa con la pregunta: cada fila es la propiedad que se está evaluando.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/>
          <w:bCs/>
          <w:color w:val="20241F"/>
          <w:sz w:val="21"/>
          <w:szCs w:val="21"/>
        </w:rPr>
        <w:t xml:space="preserve">Tipo de modelo</w:t>
      </w:r>
    </w:p>
    <w:p>
      <w:pPr>
        <w:spacing w:after="140" w:line="290"/>
      </w:pPr>
      <w:r>
        <w:rPr>
          <w:rFonts w:ascii="Calibri" w:cs="Calibri" w:eastAsia="Calibri" w:hAnsi="Calibri"/>
          <w:b/>
          <w:bCs/>
          <w:color w:val="20241F"/>
          <w:sz w:val="20"/>
          <w:szCs w:val="20"/>
        </w:rPr>
        <w:t xml:space="preserve">Supervisado — </w:t>
      </w:r>
      <w:r>
        <w:rPr>
          <w:rFonts w:ascii="Calibri" w:cs="Calibri" w:eastAsia="Calibri" w:hAnsi="Calibri"/>
          <w:color w:val="20241F"/>
          <w:sz w:val="20"/>
          <w:szCs w:val="20"/>
        </w:rPr>
        <w:t xml:space="preserve">regresión que estima el precio esperado por m² a partir de los atributos del aviso (ambientes, superficie, antigüedad, zona, amenities). El residuo — precio real menos precio esperado — clasifica cada aviso en sobrevalorado, de mercado, u oportunidad.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/>
          <w:bCs/>
          <w:color w:val="20241F"/>
          <w:sz w:val="21"/>
          <w:szCs w:val="21"/>
        </w:rPr>
        <w:t xml:space="preserve">Variables esperadas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0241F"/>
          <w:sz w:val="20"/>
          <w:szCs w:val="20"/>
        </w:rPr>
        <w:t xml:space="preserve">Precio y moneda, superficie cubierta y total, ambientes/dormitorios/baños, antigüedad (numéricas)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0241F"/>
          <w:sz w:val="20"/>
          <w:szCs w:val="20"/>
        </w:rPr>
        <w:t xml:space="preserve">Barrio o zona, tipo de propiedad, amenities (categóricas)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0241F"/>
          <w:sz w:val="20"/>
          <w:szCs w:val="20"/>
        </w:rPr>
        <w:t xml:space="preserve">Fecha de publicación (fecha) · descripción en texto libre (texto)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/>
          <w:bCs/>
          <w:color w:val="20241F"/>
          <w:sz w:val="21"/>
          <w:szCs w:val="21"/>
        </w:rPr>
        <w:t xml:space="preserve">Preguntas que puede hacer el profesor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i/>
          <w:iCs/>
          <w:color w:val="20241F"/>
          <w:sz w:val="20"/>
          <w:szCs w:val="20"/>
        </w:rPr>
        <w:t xml:space="preserve">P: ¿Esto no es lo mismo que predecir precios de Airbnb?</w:t>
      </w:r>
    </w:p>
    <w:p>
      <w:pPr>
        <w:spacing w:after="100"/>
      </w:pPr>
      <w:r>
        <w:rPr>
          <w:rFonts w:ascii="Calibri" w:cs="Calibri" w:eastAsia="Calibri" w:hAnsi="Calibri"/>
          <w:color w:val="5B6158"/>
          <w:sz w:val="20"/>
          <w:szCs w:val="20"/>
        </w:rPr>
        <w:t xml:space="preserve">R: No: el resultado que se comunica es el veredicto (sobrevalorado / de mercado / oportunidad), no el precio en sí, y el mercado es venta o alquiler tradicional, no alquiler turístico de corto plazo.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i/>
          <w:iCs/>
          <w:color w:val="20241F"/>
          <w:sz w:val="20"/>
          <w:szCs w:val="20"/>
        </w:rPr>
        <w:t xml:space="preserve">P: ¿Qué pasa si una zona tiene pocos avisos?</w:t>
      </w:r>
    </w:p>
    <w:p>
      <w:pPr>
        <w:spacing w:after="100"/>
      </w:pPr>
      <w:r>
        <w:rPr>
          <w:rFonts w:ascii="Calibri" w:cs="Calibri" w:eastAsia="Calibri" w:hAnsi="Calibri"/>
          <w:color w:val="5B6158"/>
          <w:sz w:val="20"/>
          <w:szCs w:val="20"/>
        </w:rPr>
        <w:t xml:space="preserve">R: El precio esperado para ese grupo sale poco confiable. Se mitiga con un modelo de regresión general en vez de comparables armados a mano, y agrupando zonas chicas si hace falta.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i/>
          <w:iCs/>
          <w:color w:val="20241F"/>
          <w:sz w:val="20"/>
          <w:szCs w:val="20"/>
        </w:rPr>
        <w:t xml:space="preserve">P: ¿Van a mezclar venta y alquiler?</w:t>
      </w:r>
    </w:p>
    <w:p>
      <w:pPr>
        <w:spacing w:after="100"/>
      </w:pPr>
      <w:r>
        <w:rPr>
          <w:rFonts w:ascii="Calibri" w:cs="Calibri" w:eastAsia="Calibri" w:hAnsi="Calibri"/>
          <w:color w:val="5B6158"/>
          <w:sz w:val="20"/>
          <w:szCs w:val="20"/>
        </w:rPr>
        <w:t xml:space="preserve">R: No — son mercados con dinámicas de precio distintas. El grupo define uno solo antes de scrapear.</w:t>
      </w:r>
    </w:p>
    <w:p>
      <w:pPr>
        <w:pStyle w:val="Heading3"/>
        <w:keepNext/>
        <w:pageBreakBefore/>
        <w:spacing w:after="80" w:before="190"/>
      </w:pPr>
      <w:r>
        <w:rPr>
          <w:rFonts w:ascii="Calibri" w:cs="Calibri" w:eastAsia="Calibri" w:hAnsi="Calibri"/>
          <w:b/>
          <w:bCs/>
          <w:color w:val="20241F"/>
          <w:sz w:val="21"/>
          <w:szCs w:val="21"/>
        </w:rPr>
        <w:t xml:space="preserve">Fuentes de datos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500"/>
      </w:tblGrid>
      <w:tr>
        <w:trPr>
          <w:cantSplit w:val="false"/>
          <w:tblHeader/>
        </w:trPr>
        <w:tc>
          <w:tcPr>
            <w:tcW w:type="dxa" w:w="2000"/>
            <w:shd w:fill="1D4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FUENTE</w:t>
            </w:r>
          </w:p>
        </w:tc>
        <w:tc>
          <w:tcPr>
            <w:tcW w:type="dxa" w:w="1700"/>
            <w:shd w:fill="1D4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ROL</w:t>
            </w:r>
          </w:p>
        </w:tc>
        <w:tc>
          <w:tcPr>
            <w:tcW w:type="dxa" w:w="5500"/>
            <w:shd w:fill="1D4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QUÉ SE VERIFICÓ</w:t>
            </w:r>
          </w:p>
        </w:tc>
      </w:tr>
      <w:tr>
        <w:trPr>
          <w:cantSplit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41F"/>
                <w:sz w:val="18"/>
                <w:szCs w:val="18"/>
              </w:rPr>
              <w:t xml:space="preserve">Inmoclick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41F"/>
                <w:sz w:val="17"/>
                <w:szCs w:val="17"/>
              </w:rPr>
              <w:t xml:space="preserve">Principal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hyperlink w:history="1" r:id="rId2eta-ukjuszvhey4kbz3l">
              <w:r>
                <w:rPr>
                  <w:rStyle w:val="Hyperlink"/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www.inmoclick.com</w:t>
              </w:r>
            </w:hyperlink>
          </w:p>
          <w:p>
            <w:r>
              <w:rPr>
                <w:rFonts w:ascii="Calibri" w:cs="Calibri" w:eastAsia="Calibri" w:hAnsi="Calibri"/>
                <w:color w:val="5B6158"/>
                <w:sz w:val="16"/>
                <w:szCs w:val="16"/>
              </w:rPr>
              <w:t xml:space="preserve">Verificado hoy: robots.txt sin restricciones; el HTML trae precio, dirección, localidad, m², ambientes, baños y tipo sin necesitar JavaScript. 1.265 departamentos en venta y 715 en alquiler solo en Mendoza (más sumando casas, lotes y locales).</w:t>
            </w:r>
          </w:p>
        </w:tc>
      </w:tr>
      <w:tr>
        <w:trPr>
          <w:cantSplit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41F"/>
                <w:sz w:val="18"/>
                <w:szCs w:val="18"/>
              </w:rPr>
              <w:t xml:space="preserve">Argenprop / ZonaProp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41F"/>
                <w:sz w:val="17"/>
                <w:szCs w:val="17"/>
              </w:rPr>
              <w:t xml:space="preserve">Respaldo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hyperlink w:history="1" r:id="rId8dq-6ep_biwtw4sx-vf_n">
              <w:r>
                <w:rPr>
                  <w:rStyle w:val="Hyperlink"/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argenprop.com · zonaprop.com.ar</w:t>
              </w:r>
            </w:hyperlink>
          </w:p>
          <w:p>
            <w:r>
              <w:rPr>
                <w:rFonts w:ascii="Calibri" w:cs="Calibri" w:eastAsia="Calibri" w:hAnsi="Calibri"/>
                <w:color w:val="5B6158"/>
                <w:sz w:val="16"/>
                <w:szCs w:val="16"/>
              </w:rPr>
              <w:t xml:space="preserve">robots.txt permite las fichas de propiedad y los sitemaps completos, pero limita a 3–5 páginas la paginación de resultados de búsqueda — el pipeline debe armarse desde el sitemap.</w:t>
            </w:r>
          </w:p>
        </w:tc>
      </w:tr>
      <w:tr>
        <w:trPr>
          <w:cantSplit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41F"/>
                <w:sz w:val="18"/>
                <w:szCs w:val="18"/>
              </w:rPr>
              <w:t xml:space="preserve">Mercado Libre Inmuebles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41F"/>
                <w:sz w:val="17"/>
                <w:szCs w:val="17"/>
              </w:rPr>
              <w:t xml:space="preserve">Opcional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hyperlink w:history="1" r:id="rIdaen9yzhhtfut4_tinrbrx">
              <w:r>
                <w:rPr>
                  <w:rStyle w:val="Hyperlink"/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developers.mercadolibre.com.ar</w:t>
              </w:r>
            </w:hyperlink>
          </w:p>
          <w:p>
            <w:r>
              <w:rPr>
                <w:rFonts w:ascii="Calibri" w:cs="Calibri" w:eastAsia="Calibri" w:hAnsi="Calibri"/>
                <w:color w:val="5B6158"/>
                <w:sz w:val="16"/>
                <w:szCs w:val="16"/>
              </w:rPr>
              <w:t xml:space="preserve">Tiene API oficial documentada, pero una consulta de prueba sin token devolvió 403 forbidden — requiere registrar una app gratuita antes de poder usarla.</w:t>
            </w:r>
          </w:p>
        </w:tc>
      </w:tr>
      <w:tr>
        <w:trPr>
          <w:cantSplit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41F"/>
                <w:sz w:val="18"/>
                <w:szCs w:val="18"/>
              </w:rPr>
              <w:t xml:space="preserve">Properati (Kaggle)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41F"/>
                <w:sz w:val="17"/>
                <w:szCs w:val="17"/>
              </w:rPr>
              <w:t xml:space="preserve">Emergencia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hyperlink w:history="1" r:id="rIdg9xwcrru2u08xgfcxss7y">
              <w:r>
                <w:rPr>
                  <w:rStyle w:val="Hyperlink"/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kaggle.com/datasets/properati-data</w:t>
              </w:r>
            </w:hyperlink>
          </w:p>
          <w:p>
            <w:r>
              <w:rPr>
                <w:rFonts w:ascii="Calibri" w:cs="Calibri" w:eastAsia="Calibri" w:hAnsi="Calibri"/>
                <w:color w:val="5B6158"/>
                <w:sz w:val="16"/>
                <w:szCs w:val="16"/>
              </w:rPr>
              <w:t xml:space="preserve">~1,5 M de avisos de Latinoamérica, descarga automatizada por API de Kaggle. Probablemente desactualizado — usar solo si el scraping en vivo no llega a tiempo.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A5A3A"/>
          <w:spacing w:val="10"/>
          <w:sz w:val="18"/>
          <w:szCs w:val="18"/>
        </w:rPr>
        <w:t xml:space="preserve">PROPUESTA 2</w:t>
      </w:r>
    </w:p>
    <w:p>
      <w:pPr>
        <w:pStyle w:val="Heading1"/>
        <w:pBdr>
          <w:bottom w:val="single" w:color="7A5A3A" w:sz="8" w:space="6"/>
        </w:pBdr>
        <w:spacing w:after="160" w:before="200"/>
      </w:pPr>
      <w:r>
        <w:rPr>
          <w:rFonts w:ascii="Georgia" w:cs="Georgia" w:eastAsia="Georgia" w:hAnsi="Georgia"/>
          <w:b/>
          <w:bCs/>
          <w:color w:val="7A5A3A"/>
          <w:sz w:val="32"/>
          <w:szCs w:val="32"/>
        </w:rPr>
        <w:t xml:space="preserve">Mapa del Inversor</w:t>
      </w:r>
    </w:p>
    <w:p>
      <w:pPr>
        <w:spacing w:after="140" w:line="290"/>
      </w:pPr>
      <w:r>
        <w:rPr>
          <w:rFonts w:ascii="Calibri" w:cs="Calibri" w:eastAsia="Calibri" w:hAnsi="Calibri"/>
          <w:i/>
          <w:iCs/>
          <w:color w:val="5B6158"/>
          <w:sz w:val="20"/>
          <w:szCs w:val="20"/>
        </w:rPr>
        <w:t xml:space="preserve">¿Qué zonas de Mendoza conviene mirar para invertir?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/>
          <w:bCs/>
          <w:color w:val="20241F"/>
          <w:sz w:val="21"/>
          <w:szCs w:val="21"/>
        </w:rPr>
        <w:t xml:space="preserve">Pregunta de investigación</w:t>
      </w:r>
    </w:p>
    <w:p>
      <w:pPr>
        <w:spacing w:after="140" w:line="290"/>
      </w:pPr>
      <w:r>
        <w:rPr>
          <w:rFonts w:ascii="Calibri" w:cs="Calibri" w:eastAsia="Calibri" w:hAnsi="Calibri"/>
          <w:color w:val="20241F"/>
          <w:sz w:val="20"/>
          <w:szCs w:val="20"/>
        </w:rPr>
        <w:t xml:space="preserve">¿Qué zonas de Mendoza ofrecen mejores condiciones para invertir en inmuebles, considerando precio, liquidez, tipo de oferta y mezcla de propiedades disponibles?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/>
          <w:bCs/>
          <w:color w:val="20241F"/>
          <w:sz w:val="21"/>
          <w:szCs w:val="21"/>
        </w:rPr>
        <w:t xml:space="preserve">Qué queremos lograr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0241F"/>
          <w:sz w:val="20"/>
          <w:szCs w:val="20"/>
        </w:rPr>
        <w:t xml:space="preserve">Un ranking de zonas de Mendoza por perfil de inversión, con la lógica detrás documentada.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/>
          <w:bCs/>
          <w:color w:val="20241F"/>
          <w:sz w:val="21"/>
          <w:szCs w:val="21"/>
        </w:rPr>
        <w:t xml:space="preserve">Unidad de análisis</w:t>
      </w:r>
    </w:p>
    <w:p>
      <w:pPr>
        <w:spacing w:after="140" w:line="290"/>
      </w:pPr>
      <w:r>
        <w:rPr>
          <w:rFonts w:ascii="Calibri" w:cs="Calibri" w:eastAsia="Calibri" w:hAnsi="Calibri"/>
          <w:color w:val="20241F"/>
          <w:sz w:val="20"/>
          <w:szCs w:val="20"/>
        </w:rPr>
        <w:t xml:space="preserve">También un aviso publicado — el mismo dataset base que la Propuesta 1. La conclusión final es por zona, pero se construye agregando avisos individuales; nunca se parte de datos ya agregados por zona (ese es justamente el error que señala el Kit de arranque).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/>
          <w:bCs/>
          <w:color w:val="20241F"/>
          <w:sz w:val="21"/>
          <w:szCs w:val="21"/>
        </w:rPr>
        <w:t xml:space="preserve">Tipo de modelo</w:t>
      </w:r>
    </w:p>
    <w:p>
      <w:pPr>
        <w:spacing w:after="140" w:line="290"/>
      </w:pPr>
      <w:r>
        <w:rPr>
          <w:rFonts w:ascii="Calibri" w:cs="Calibri" w:eastAsia="Calibri" w:hAnsi="Calibri"/>
          <w:b/>
          <w:bCs/>
          <w:color w:val="20241F"/>
          <w:sz w:val="20"/>
          <w:szCs w:val="20"/>
        </w:rPr>
        <w:t xml:space="preserve">No supervisado — </w:t>
      </w:r>
      <w:r>
        <w:rPr>
          <w:rFonts w:ascii="Calibri" w:cs="Calibri" w:eastAsia="Calibri" w:hAnsi="Calibri"/>
          <w:color w:val="20241F"/>
          <w:sz w:val="20"/>
          <w:szCs w:val="20"/>
        </w:rPr>
        <w:t xml:space="preserve">clustering (K-means o jerárquico) de zonas según variables agregadas por barrio o departamento: precio/m² promedio, dispersión de precios, volumen de avisos activos (proxy de liquidez), antigüedad promedio, mezcla de tipologías, porcentaje con amenities. Agrupa las zonas en perfiles — por ejemplo "premium consolidada", "en expansión y accesible", "madura de alta rotación", "estancada" — y se ordenan por atractivo de inversión.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/>
          <w:bCs/>
          <w:color w:val="20241F"/>
          <w:sz w:val="21"/>
          <w:szCs w:val="21"/>
        </w:rPr>
        <w:t xml:space="preserve">Variables esperadas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0241F"/>
          <w:sz w:val="20"/>
          <w:szCs w:val="20"/>
        </w:rPr>
        <w:t xml:space="preserve">Precio/m² promedio y desvío estándar por zona, cantidad de avisos activos, antigüedad promedio (numéricas)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0241F"/>
          <w:sz w:val="20"/>
          <w:szCs w:val="20"/>
        </w:rPr>
        <w:t xml:space="preserve">Mezcla de tipologías, % con amenities relevantes (categóricas agregadas)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20241F"/>
          <w:sz w:val="20"/>
          <w:szCs w:val="20"/>
        </w:rPr>
        <w:t xml:space="preserve">Identificador de zona / barrio / departamento (clave de agregación)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/>
          <w:bCs/>
          <w:color w:val="20241F"/>
          <w:sz w:val="21"/>
          <w:szCs w:val="21"/>
        </w:rPr>
        <w:t xml:space="preserve">Preguntas que puede hacer el profesor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i/>
          <w:iCs/>
          <w:color w:val="20241F"/>
          <w:sz w:val="20"/>
          <w:szCs w:val="20"/>
        </w:rPr>
        <w:t xml:space="preserve">P: ¿No es lo mismo que la Propuesta 1?</w:t>
      </w:r>
    </w:p>
    <w:p>
      <w:pPr>
        <w:spacing w:after="100"/>
      </w:pPr>
      <w:r>
        <w:rPr>
          <w:rFonts w:ascii="Calibri" w:cs="Calibri" w:eastAsia="Calibri" w:hAnsi="Calibri"/>
          <w:color w:val="5B6158"/>
          <w:sz w:val="20"/>
          <w:szCs w:val="20"/>
        </w:rPr>
        <w:t xml:space="preserve">R: No: la unidad de conclusión es distinta (zona, no propiedad) y el modelo también — acá es no supervisado, mientras que la Propuesta 1 usa uno supervisado. Pueden combinarse más adelante, pero son dos proyectos completos por separado.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i/>
          <w:iCs/>
          <w:color w:val="20241F"/>
          <w:sz w:val="20"/>
          <w:szCs w:val="20"/>
        </w:rPr>
        <w:t xml:space="preserve">P: ¿No están usando datos ya agregados, lo que el Kit marca como error?</w:t>
      </w:r>
    </w:p>
    <w:p>
      <w:pPr>
        <w:spacing w:after="100"/>
      </w:pPr>
      <w:r>
        <w:rPr>
          <w:rFonts w:ascii="Calibri" w:cs="Calibri" w:eastAsia="Calibri" w:hAnsi="Calibri"/>
          <w:color w:val="5B6158"/>
          <w:sz w:val="20"/>
          <w:szCs w:val="20"/>
        </w:rPr>
        <w:t xml:space="preserve">R: No: se parte de avisos individuales y la agregación por zona la hace el propio grupo como paso de análisis — el error que señala el Kit es partir de una fuente que ya viene agregada de origen.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i/>
          <w:iCs/>
          <w:color w:val="20241F"/>
          <w:sz w:val="20"/>
          <w:szCs w:val="20"/>
        </w:rPr>
        <w:t xml:space="preserve">P: ¿De dónde sale el criterio de qué zona es "mejor"?</w:t>
      </w:r>
    </w:p>
    <w:p>
      <w:pPr>
        <w:spacing w:after="100"/>
      </w:pPr>
      <w:r>
        <w:rPr>
          <w:rFonts w:ascii="Calibri" w:cs="Calibri" w:eastAsia="Calibri" w:hAnsi="Calibri"/>
          <w:color w:val="5B6158"/>
          <w:sz w:val="20"/>
          <w:szCs w:val="20"/>
        </w:rPr>
        <w:t xml:space="preserve">R: De los pesos que el equipo defina sobre precio, liquidez y oferta — se documentan y se ajustan en la Unidad 2, una vez visto cómo separan realmente a las zonas.</w:t>
      </w:r>
    </w:p>
    <w:p>
      <w:pPr>
        <w:pStyle w:val="Heading3"/>
        <w:keepNext/>
        <w:pageBreakBefore/>
        <w:spacing w:after="80" w:before="190"/>
      </w:pPr>
      <w:r>
        <w:rPr>
          <w:rFonts w:ascii="Calibri" w:cs="Calibri" w:eastAsia="Calibri" w:hAnsi="Calibri"/>
          <w:b/>
          <w:bCs/>
          <w:color w:val="20241F"/>
          <w:sz w:val="21"/>
          <w:szCs w:val="21"/>
        </w:rPr>
        <w:t xml:space="preserve">Fuentes de datos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500"/>
      </w:tblGrid>
      <w:tr>
        <w:trPr>
          <w:cantSplit w:val="false"/>
          <w:tblHeader/>
        </w:trPr>
        <w:tc>
          <w:tcPr>
            <w:tcW w:type="dxa" w:w="2000"/>
            <w:shd w:fill="1D4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FUENTE</w:t>
            </w:r>
          </w:p>
        </w:tc>
        <w:tc>
          <w:tcPr>
            <w:tcW w:type="dxa" w:w="1700"/>
            <w:shd w:fill="1D4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ROL</w:t>
            </w:r>
          </w:p>
        </w:tc>
        <w:tc>
          <w:tcPr>
            <w:tcW w:type="dxa" w:w="5500"/>
            <w:shd w:fill="1D4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QUÉ SE VERIFICÓ</w:t>
            </w:r>
          </w:p>
        </w:tc>
      </w:tr>
      <w:tr>
        <w:trPr>
          <w:cantSplit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41F"/>
                <w:sz w:val="18"/>
                <w:szCs w:val="18"/>
              </w:rPr>
              <w:t xml:space="preserve">Inmoclick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41F"/>
                <w:sz w:val="17"/>
                <w:szCs w:val="17"/>
              </w:rPr>
              <w:t xml:space="preserve">Principal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hyperlink w:history="1" r:id="rIdax0lsu6kkxsaznprjra5z">
              <w:r>
                <w:rPr>
                  <w:rStyle w:val="Hyperlink"/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www.inmoclick.com</w:t>
              </w:r>
            </w:hyperlink>
          </w:p>
          <w:p>
            <w:r>
              <w:rPr>
                <w:rFonts w:ascii="Calibri" w:cs="Calibri" w:eastAsia="Calibri" w:hAnsi="Calibri"/>
                <w:color w:val="5B6158"/>
                <w:sz w:val="16"/>
                <w:szCs w:val="16"/>
              </w:rPr>
              <w:t xml:space="preserve">Verificado hoy: robots.txt sin restricciones; el HTML trae precio, dirección, localidad, m², ambientes, baños y tipo sin necesitar JavaScript. 1.265 departamentos en venta y 715 en alquiler solo en Mendoza (más sumando casas, lotes y locales).</w:t>
            </w:r>
          </w:p>
        </w:tc>
      </w:tr>
      <w:tr>
        <w:trPr>
          <w:cantSplit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41F"/>
                <w:sz w:val="18"/>
                <w:szCs w:val="18"/>
              </w:rPr>
              <w:t xml:space="preserve">Argenprop / ZonaProp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41F"/>
                <w:sz w:val="17"/>
                <w:szCs w:val="17"/>
              </w:rPr>
              <w:t xml:space="preserve">Respaldo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hyperlink w:history="1" r:id="rIdzw9sl-sthtbyus9c7god6">
              <w:r>
                <w:rPr>
                  <w:rStyle w:val="Hyperlink"/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argenprop.com · zonaprop.com.ar</w:t>
              </w:r>
            </w:hyperlink>
          </w:p>
          <w:p>
            <w:r>
              <w:rPr>
                <w:rFonts w:ascii="Calibri" w:cs="Calibri" w:eastAsia="Calibri" w:hAnsi="Calibri"/>
                <w:color w:val="5B6158"/>
                <w:sz w:val="16"/>
                <w:szCs w:val="16"/>
              </w:rPr>
              <w:t xml:space="preserve">robots.txt permite las fichas de propiedad y los sitemaps completos, pero limita a 3–5 páginas la paginación de resultados de búsqueda — el pipeline debe armarse desde el sitemap.</w:t>
            </w:r>
          </w:p>
        </w:tc>
      </w:tr>
      <w:tr>
        <w:trPr>
          <w:cantSplit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41F"/>
                <w:sz w:val="18"/>
                <w:szCs w:val="18"/>
              </w:rPr>
              <w:t xml:space="preserve">Mercado Libre Inmuebles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41F"/>
                <w:sz w:val="17"/>
                <w:szCs w:val="17"/>
              </w:rPr>
              <w:t xml:space="preserve">Opcional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hyperlink w:history="1" r:id="rIdt6z4fxle70qrgeokuuoo8">
              <w:r>
                <w:rPr>
                  <w:rStyle w:val="Hyperlink"/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developers.mercadolibre.com.ar</w:t>
              </w:r>
            </w:hyperlink>
          </w:p>
          <w:p>
            <w:r>
              <w:rPr>
                <w:rFonts w:ascii="Calibri" w:cs="Calibri" w:eastAsia="Calibri" w:hAnsi="Calibri"/>
                <w:color w:val="5B6158"/>
                <w:sz w:val="16"/>
                <w:szCs w:val="16"/>
              </w:rPr>
              <w:t xml:space="preserve">Tiene API oficial documentada, pero una consulta de prueba sin token devolvió 403 forbidden — requiere registrar una app gratuita antes de poder usarla.</w:t>
            </w:r>
          </w:p>
        </w:tc>
      </w:tr>
      <w:tr>
        <w:trPr>
          <w:cantSplit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41F"/>
                <w:sz w:val="18"/>
                <w:szCs w:val="18"/>
              </w:rPr>
              <w:t xml:space="preserve">Properati (Kaggle)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41F"/>
                <w:sz w:val="17"/>
                <w:szCs w:val="17"/>
              </w:rPr>
              <w:t xml:space="preserve">Emergencia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hyperlink w:history="1" r:id="rIdntzi2yynqy9sitjn_y_h6">
              <w:r>
                <w:rPr>
                  <w:rStyle w:val="Hyperlink"/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kaggle.com/datasets/properati-data</w:t>
              </w:r>
            </w:hyperlink>
          </w:p>
          <w:p>
            <w:r>
              <w:rPr>
                <w:rFonts w:ascii="Calibri" w:cs="Calibri" w:eastAsia="Calibri" w:hAnsi="Calibri"/>
                <w:color w:val="5B6158"/>
                <w:sz w:val="16"/>
                <w:szCs w:val="16"/>
              </w:rPr>
              <w:t xml:space="preserve">~1,5 M de avisos de Latinoamérica, descarga automatizada por API de Kaggle. Probablemente desactualizado — usar solo si el scraping en vivo no llega a tiempo.</w:t>
            </w:r>
          </w:p>
        </w:tc>
      </w:tr>
      <w:tr>
        <w:trPr>
          <w:cantSplit w:val="false"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0241F"/>
                <w:sz w:val="18"/>
                <w:szCs w:val="18"/>
              </w:rPr>
              <w:t xml:space="preserve">Datos Abiertos Mendoza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0241F"/>
                <w:sz w:val="17"/>
                <w:szCs w:val="17"/>
              </w:rPr>
              <w:t xml:space="preserve">Complemento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hyperlink w:history="1" r:id="rIdpybols-jstean2dwmf0bu">
              <w:r>
                <w:rPr>
                  <w:rStyle w:val="Hyperlink"/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datos.ciudaddemendoza.gob.ar (catastro)</w:t>
              </w:r>
            </w:hyperlink>
          </w:p>
          <w:p>
            <w:r>
              <w:rPr>
                <w:rFonts w:ascii="Calibri" w:cs="Calibri" w:eastAsia="Calibri" w:hAnsi="Calibri"/>
                <w:color w:val="5B6158"/>
                <w:sz w:val="16"/>
                <w:szCs w:val="16"/>
              </w:rPr>
              <w:t xml:space="preserve">Solo para esta propuesta: límites oficiales de barrios y departamentos, para validar la granularidad de "zona" que traiga el scraping.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158"/>
        <w:sz w:val="13"/>
        <w:szCs w:val="13"/>
      </w:rPr>
      <w:t xml:space="preserve">Página </w:t>
    </w:r>
    <w:r>
      <w:rPr>
        <w:rFonts w:ascii="Calibri" w:cs="Calibri" w:eastAsia="Calibri" w:hAnsi="Calibri"/>
        <w:color w:val="5B615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158"/>
        <w:sz w:val="13"/>
        <w:szCs w:val="13"/>
      </w:rPr>
      <w:t xml:space="preserve"> de </w:t>
    </w:r>
    <w:r>
      <w:rPr>
        <w:rFonts w:ascii="Calibri" w:cs="Calibri" w:eastAsia="Calibri" w:hAnsi="Calibri"/>
        <w:color w:val="5B615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158"/>
        <w:sz w:val="13"/>
        <w:szCs w:val="13"/>
      </w:rPr>
      <w:t xml:space="preserve">Dos propuestas: sector inmobiliario — Proyecto Integrador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4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eta-ukjuszvhey4kbz3l" Type="http://schemas.openxmlformats.org/officeDocument/2006/relationships/hyperlink" Target="https://inmoclick.com" TargetMode="External"/><Relationship Id="rId8dq-6ep_biwtw4sx-vf_n" Type="http://schemas.openxmlformats.org/officeDocument/2006/relationships/hyperlink" Target="https://www.argenprop.com" TargetMode="External"/><Relationship Id="rIdaen9yzhhtfut4_tinrbrx" Type="http://schemas.openxmlformats.org/officeDocument/2006/relationships/hyperlink" Target="https://developers.mercadolibre.com.ar" TargetMode="External"/><Relationship Id="rIdg9xwcrru2u08xgfcxss7y" Type="http://schemas.openxmlformats.org/officeDocument/2006/relationships/hyperlink" Target="https://www.kaggle.com/datasets/properati-data/properties" TargetMode="External"/><Relationship Id="rIdax0lsu6kkxsaznprjra5z" Type="http://schemas.openxmlformats.org/officeDocument/2006/relationships/hyperlink" Target="https://inmoclick.com" TargetMode="External"/><Relationship Id="rIdzw9sl-sthtbyus9c7god6" Type="http://schemas.openxmlformats.org/officeDocument/2006/relationships/hyperlink" Target="https://www.argenprop.com" TargetMode="External"/><Relationship Id="rIdt6z4fxle70qrgeokuuoo8" Type="http://schemas.openxmlformats.org/officeDocument/2006/relationships/hyperlink" Target="https://developers.mercadolibre.com.ar" TargetMode="External"/><Relationship Id="rIdntzi2yynqy9sitjn_y_h6" Type="http://schemas.openxmlformats.org/officeDocument/2006/relationships/hyperlink" Target="https://www.kaggle.com/datasets/properati-data/properties" TargetMode="External"/><Relationship Id="rIdpybols-jstean2dwmf0bu" Type="http://schemas.openxmlformats.org/officeDocument/2006/relationships/hyperlink" Target="https://datos.ciudaddemendoza.gob.ar/dataset?organization=catastro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2026-08-31T18:20:07.773Z</dcterms:created>
  <dcterms:modified xsi:type="dcterms:W3CDTF">2026-08-31T18:20:07.773Z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