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A3A5C"/>
          <w:sz w:val="64"/>
          <w:szCs w:val="64"/>
        </w:rPr>
        <w:t>FAROLINK</w:t>
      </w:r>
    </w:p>
    <w:p>
      <w:pPr>
        <w:spacing w:after="60" w:before="0"/>
        <w:jc w:val="center"/>
      </w:pPr>
      <w:r>
        <w:rPr>
          <w:rFonts w:ascii="Arial" w:cs="Arial" w:eastAsia="Arial" w:hAnsi="Arial"/>
          <w:color w:val="2D6FA8"/>
          <w:sz w:val="28"/>
          <w:szCs w:val="28"/>
        </w:rPr>
        <w:t>The Omnichain Liquidity &amp; Compliance Engine for Pharos Network</w:t>
      </w:r>
    </w:p>
    <w:p>
      <w:pPr>
        <w:pBdr>
          <w:bottom w:val="single" w:color="2D6FA8" w:sz="12" w:space="12"/>
        </w:pBdr>
        <w:spacing w:after="200" w:before="40"/>
        <w:jc w:val="center"/>
      </w:pPr>
      <w:r>
        <w:rPr>
          <w:sz w:val="22"/>
          <w:szCs w:val="22"/>
        </w:rPr>
        <w:t xml:space="preserve"/>
      </w:r>
    </w:p>
    <w:p>
      <w:pPr>
        <w:spacing w:after="0" w:before="80"/>
      </w:pPr>
      <w:r>
        <w:t xml:space="preserve"/>
      </w:r>
    </w:p>
    <w:p>
      <w:pPr>
        <w:spacing w:after="60" w:before="0"/>
        <w:jc w:val="center"/>
      </w:pPr>
      <w:r>
        <w:rPr>
          <w:rFonts w:ascii="Arial" w:cs="Arial" w:eastAsia="Arial" w:hAnsi="Arial"/>
          <w:color w:val="888888"/>
          <w:sz w:val="22"/>
          <w:szCs w:val="22"/>
        </w:rPr>
        <w:t>Grant Application — Native to Pharos Incubator Program</w:t>
      </w:r>
    </w:p>
    <w:p>
      <w:pPr>
        <w:spacing w:after="60" w:before="0"/>
        <w:jc w:val="center"/>
      </w:pPr>
      <w:r>
        <w:rPr>
          <w:rFonts w:ascii="Arial" w:cs="Arial" w:eastAsia="Arial" w:hAnsi="Arial"/>
          <w:color w:val="888888"/>
          <w:sz w:val="22"/>
          <w:szCs w:val="22"/>
        </w:rPr>
        <w:t>May 2026</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FA8" w:sz="20"/>
              <w:left w:val="single" w:color="2D6FA8" w:sz="20"/>
              <w:bottom w:val="single" w:color="2D6FA8" w:sz="4"/>
              <w:right w:val="single" w:color="2D6FA8" w:sz="4"/>
            </w:tcBorders>
            <w:shd w:fill="F0F6FF" w:val="clear"/>
            <w:tcMar>
              <w:top w:type="dxa" w:w="280"/>
              <w:left w:type="dxa" w:w="360"/>
              <w:bottom w:type="dxa" w:w="280"/>
              <w:right w:type="dxa" w:w="360"/>
            </w:tcMar>
          </w:tcPr>
          <w:p>
            <w:pPr>
              <w:spacing w:after="100" w:before="0"/>
            </w:pPr>
            <w:r>
              <w:rPr>
                <w:rFonts w:ascii="Arial" w:cs="Arial" w:eastAsia="Arial" w:hAnsi="Arial"/>
                <w:b/>
                <w:bCs/>
                <w:caps/>
                <w:color w:val="2D6FA8"/>
                <w:sz w:val="22"/>
                <w:szCs w:val="22"/>
              </w:rPr>
              <w:t>EXECUTIVE SUMMARY</w:t>
            </w:r>
          </w:p>
          <w:p>
            <w:pPr>
              <w:spacing w:after="80" w:before="0"/>
              <w:jc w:val="both"/>
            </w:pPr>
            <w:r>
              <w:rPr>
                <w:rFonts w:ascii="Arial" w:cs="Arial" w:eastAsia="Arial" w:hAnsi="Arial"/>
                <w:color w:val="222222"/>
                <w:sz w:val="22"/>
                <w:szCs w:val="22"/>
              </w:rPr>
              <w:t>FaroLink is the routing intelligence layer that Pharos Network needs but has not yet built. It sits above Pharos’ native SPN Interoperability Protocol and transforms raw cross-chain infrastructure into a developer-ready execution engine: a unified API that routes assets across SPNs and external EVM chains with built-in KYC/AML compliance portability.</w:t>
            </w:r>
          </w:p>
          <w:p>
            <w:pPr>
              <w:spacing w:after="0" w:before="0"/>
              <w:jc w:val="both"/>
            </w:pPr>
            <w:r>
              <w:rPr>
                <w:rFonts w:ascii="Arial" w:cs="Arial" w:eastAsia="Arial" w:hAnsi="Arial"/>
                <w:color w:val="222222"/>
                <w:sz w:val="22"/>
                <w:szCs w:val="22"/>
              </w:rPr>
              <w:t>We are requesting a grant from the Native to Pharos Incubator Program to fund smart contract auditing, infrastructure costs, and ecosystem integration work. FaroLink will be open-source at the contract and SDK layer, driving developer adoption while generating sustainable protocol revenue through a 5 bps execution fee, enterprise API licensing, and Compliance-as-a-Service.</w:t>
            </w:r>
          </w:p>
        </w:tc>
      </w:tr>
    </w:tbl>
    <w:p>
      <w:pPr>
        <w:spacing w:after="0" w:before="400"/>
      </w:pPr>
      <w:r>
        <w:t xml:space="preserve"/>
      </w:r>
    </w:p>
    <w:p>
      <w:pPr>
        <w:pStyle w:val="Heading1"/>
        <w:pBdr>
          <w:bottom w:val="single" w:color="2D6FA8" w:sz="8" w:space="6"/>
        </w:pBdr>
        <w:spacing w:after="160" w:before="360"/>
      </w:pPr>
      <w:r>
        <w:rPr>
          <w:rFonts w:ascii="Arial" w:cs="Arial" w:eastAsia="Arial" w:hAnsi="Arial"/>
          <w:b/>
          <w:bCs/>
          <w:color w:val="1A3A5C"/>
          <w:sz w:val="30"/>
          <w:szCs w:val="30"/>
        </w:rPr>
        <w:t>1.  The Problem FaroLink Solves</w:t>
      </w:r>
    </w:p>
    <w:p>
      <w:pPr>
        <w:spacing w:after="120" w:before="80"/>
        <w:jc w:val="both"/>
      </w:pPr>
      <w:r>
        <w:rPr>
          <w:rFonts w:ascii="Arial" w:cs="Arial" w:eastAsia="Arial" w:hAnsi="Arial"/>
          <w:color w:val="222222"/>
          <w:sz w:val="22"/>
          <w:szCs w:val="22"/>
        </w:rPr>
        <w:t>Pharos Network has built exceptional infrastructure: 30,000–130,000 TPS, sub-second finality, native ZK-KYC compliance, and a modular SPN architecture purpose-built for institutional RWAs. The mainnet launched April 28, 2026.</w:t>
      </w:r>
    </w:p>
    <w:p>
      <w:pPr>
        <w:spacing w:after="120" w:before="80"/>
        <w:jc w:val="both"/>
      </w:pPr>
      <w:r>
        <w:rPr>
          <w:rFonts w:ascii="Arial" w:cs="Arial" w:eastAsia="Arial" w:hAnsi="Arial"/>
          <w:color w:val="222222"/>
          <w:sz w:val="22"/>
          <w:szCs w:val="22"/>
        </w:rPr>
        <w:t>The infrastructure is ready. The liquidity is not.</w:t>
      </w:r>
    </w:p>
    <w:p>
      <w:pPr>
        <w:spacing w:after="0" w:before="80"/>
      </w:pPr>
      <w:r>
        <w:t xml:space="preserve"/>
      </w:r>
    </w:p>
    <w:p>
      <w:pPr>
        <w:pStyle w:val="Heading2"/>
        <w:spacing w:after="120" w:before="280"/>
      </w:pPr>
      <w:r>
        <w:rPr>
          <w:rFonts w:ascii="Arial" w:cs="Arial" w:eastAsia="Arial" w:hAnsi="Arial"/>
          <w:b/>
          <w:bCs/>
          <w:color w:val="2D6FA8"/>
          <w:sz w:val="24"/>
          <w:szCs w:val="24"/>
        </w:rPr>
        <w:t>1.1  Fragmented Liquidity</w:t>
      </w:r>
    </w:p>
    <w:p>
      <w:pPr>
        <w:spacing w:after="120" w:before="80"/>
        <w:jc w:val="both"/>
      </w:pPr>
      <w:r>
        <w:rPr>
          <w:rFonts w:ascii="Arial" w:cs="Arial" w:eastAsia="Arial" w:hAnsi="Arial"/>
          <w:color w:val="222222"/>
          <w:sz w:val="22"/>
          <w:szCs w:val="22"/>
        </w:rPr>
        <w:t>Institutional capital that should be flowing into Pharos RWA markets currently sits on Ethereum, Base, and Arbitrum. No production-grade routing layer exists to move it efficiently. Today, a fund manager who wants to allocate $5M into a Pharos RWA instrument must:</w:t>
      </w:r>
    </w:p>
    <w:p>
      <w:pPr>
        <w:pStyle w:val="ListParagraph"/>
        <w:numPr>
          <w:ilvl w:val="0"/>
          <w:numId w:val="2"/>
        </w:numPr>
        <w:spacing w:after="60" w:before="60"/>
      </w:pPr>
      <w:r>
        <w:rPr>
          <w:rFonts w:ascii="Arial" w:cs="Arial" w:eastAsia="Arial" w:hAnsi="Arial"/>
          <w:color w:val="222222"/>
          <w:sz w:val="22"/>
          <w:szCs w:val="22"/>
        </w:rPr>
        <w:t>Manually identify which bridge supports the relevant token pair</w:t>
      </w:r>
    </w:p>
    <w:p>
      <w:pPr>
        <w:pStyle w:val="ListParagraph"/>
        <w:numPr>
          <w:ilvl w:val="0"/>
          <w:numId w:val="2"/>
        </w:numPr>
        <w:spacing w:after="60" w:before="60"/>
      </w:pPr>
      <w:r>
        <w:rPr>
          <w:rFonts w:ascii="Arial" w:cs="Arial" w:eastAsia="Arial" w:hAnsi="Arial"/>
          <w:color w:val="222222"/>
          <w:sz w:val="22"/>
          <w:szCs w:val="22"/>
        </w:rPr>
        <w:t>Estimate slippage with no tooling designed for large RWA transfers</w:t>
      </w:r>
    </w:p>
    <w:p>
      <w:pPr>
        <w:pStyle w:val="ListParagraph"/>
        <w:numPr>
          <w:ilvl w:val="0"/>
          <w:numId w:val="2"/>
        </w:numPr>
        <w:spacing w:after="60" w:before="60"/>
      </w:pPr>
      <w:r>
        <w:rPr>
          <w:rFonts w:ascii="Arial" w:cs="Arial" w:eastAsia="Arial" w:hAnsi="Arial"/>
          <w:color w:val="222222"/>
          <w:sz w:val="22"/>
          <w:szCs w:val="22"/>
        </w:rPr>
        <w:t>Execute compliance verification separately, with no guarantee the result is portable to the destination SPN</w:t>
      </w:r>
    </w:p>
    <w:p>
      <w:pPr>
        <w:pStyle w:val="ListParagraph"/>
        <w:numPr>
          <w:ilvl w:val="0"/>
          <w:numId w:val="2"/>
        </w:numPr>
        <w:spacing w:after="60" w:before="60"/>
      </w:pPr>
      <w:r>
        <w:rPr>
          <w:rFonts w:ascii="Arial" w:cs="Arial" w:eastAsia="Arial" w:hAnsi="Arial"/>
          <w:color w:val="222222"/>
          <w:sz w:val="22"/>
          <w:szCs w:val="22"/>
        </w:rPr>
        <w:t>Manage gas tokens across multiple chains</w:t>
      </w:r>
    </w:p>
    <w:p>
      <w:pPr>
        <w:spacing w:after="0" w:before="80"/>
      </w:pPr>
      <w:r>
        <w:t xml:space="preserve"/>
      </w:r>
    </w:p>
    <w:p>
      <w:pPr>
        <w:spacing w:after="120" w:before="80"/>
        <w:jc w:val="both"/>
      </w:pPr>
      <w:r>
        <w:rPr>
          <w:rFonts w:ascii="Arial" w:cs="Arial" w:eastAsia="Arial" w:hAnsi="Arial"/>
          <w:color w:val="222222"/>
          <w:sz w:val="22"/>
          <w:szCs w:val="22"/>
        </w:rPr>
        <w:t>This is not a user experience problem. It is a structural barrier to institutional capital entry.</w:t>
      </w:r>
    </w:p>
    <w:p>
      <w:pPr>
        <w:spacing w:after="0" w:before="80"/>
      </w:pPr>
      <w:r>
        <w:t xml:space="preserve"/>
      </w:r>
    </w:p>
    <w:p>
      <w:pPr>
        <w:pStyle w:val="Heading2"/>
        <w:spacing w:after="120" w:before="280"/>
      </w:pPr>
      <w:r>
        <w:rPr>
          <w:rFonts w:ascii="Arial" w:cs="Arial" w:eastAsia="Arial" w:hAnsi="Arial"/>
          <w:b/>
          <w:bCs/>
          <w:color w:val="2D6FA8"/>
          <w:sz w:val="24"/>
          <w:szCs w:val="24"/>
        </w:rPr>
        <w:t>1.2  SPN Interoperability Gap</w:t>
      </w:r>
    </w:p>
    <w:p>
      <w:pPr>
        <w:spacing w:after="120" w:before="80"/>
        <w:jc w:val="both"/>
      </w:pPr>
      <w:r>
        <w:rPr>
          <w:rFonts w:ascii="Arial" w:cs="Arial" w:eastAsia="Arial" w:hAnsi="Arial"/>
          <w:color w:val="222222"/>
          <w:sz w:val="22"/>
          <w:szCs w:val="22"/>
        </w:rPr>
        <w:t>As the Pharos ecosystem grows and enterprise partners deploy specialized SPNs, a second fragmentation problem emerges: assets inside SPN-A cannot move to SPN-B without custom integration work. Pharos’ native SPN Interoperability Protocol (Mailbox, Registry, Bridge) provides the low-level infrastructure, but no developer-facing abstraction exists above it. Every SPN builder currently faces the same integration problem from scratch.</w:t>
      </w:r>
    </w:p>
    <w:p>
      <w:pPr>
        <w:spacing w:after="0" w:before="80"/>
      </w:pPr>
      <w:r>
        <w:t xml:space="preserve"/>
      </w:r>
    </w:p>
    <w:p>
      <w:pPr>
        <w:pStyle w:val="Heading2"/>
        <w:spacing w:after="120" w:before="280"/>
      </w:pPr>
      <w:r>
        <w:rPr>
          <w:rFonts w:ascii="Arial" w:cs="Arial" w:eastAsia="Arial" w:hAnsi="Arial"/>
          <w:b/>
          <w:bCs/>
          <w:color w:val="2D6FA8"/>
          <w:sz w:val="24"/>
          <w:szCs w:val="24"/>
        </w:rPr>
        <w:t>1.3  Compliance Is Not Portable</w:t>
      </w:r>
    </w:p>
    <w:p>
      <w:pPr>
        <w:spacing w:after="120" w:before="80"/>
        <w:jc w:val="both"/>
      </w:pPr>
      <w:r>
        <w:rPr>
          <w:rFonts w:ascii="Arial" w:cs="Arial" w:eastAsia="Arial" w:hAnsi="Arial"/>
          <w:color w:val="222222"/>
          <w:sz w:val="22"/>
          <w:szCs w:val="22"/>
        </w:rPr>
        <w:t>Pharos’ built-in ZK-KYC is a meaningful competitive advantage. But KYC status verified on the source chain does not automatically propagate to the destination SPN. Institutions routing capital across chains must re-verify compliance at every hop, or route through bridges that ignore compliance entirely — neither of which is acceptable for regulated participants.</w:t>
      </w:r>
    </w:p>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2.  The FaroLink Solution</w:t>
      </w:r>
    </w:p>
    <w:p>
      <w:pPr>
        <w:spacing w:after="120" w:before="80"/>
        <w:jc w:val="both"/>
      </w:pPr>
      <w:r>
        <w:rPr>
          <w:rFonts w:ascii="Arial" w:cs="Arial" w:eastAsia="Arial" w:hAnsi="Arial"/>
          <w:color w:val="222222"/>
          <w:sz w:val="22"/>
          <w:szCs w:val="22"/>
        </w:rPr>
        <w:t>FaroLink is not a bridge. Bridges move tokens. FaroLink decides how, where, and in what sequence tokens move — and then handles the execution. The distinction matters: bridges are commoditised and dominated by large players. Routing intelligence above those bridges is where value accretes, and it does not yet exist on Pharos.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FA8" w:sz="12"/>
              <w:left w:val="single" w:color="2D6FA8" w:sz="12"/>
              <w:bottom w:val="single" w:color="CCCCCC" w:sz="1"/>
              <w:right w:val="single" w:color="CCCCCC" w:sz="1"/>
            </w:tcBorders>
            <w:shd w:fill="EEF4FA" w:val="clear"/>
            <w:tcMar>
              <w:top w:type="dxa" w:w="160"/>
              <w:left w:type="dxa" w:w="240"/>
              <w:bottom w:type="dxa" w:w="160"/>
              <w:right w:type="dxa" w:w="240"/>
            </w:tcMar>
          </w:tcPr>
          <w:p>
            <w:pPr>
              <w:spacing w:after="60" w:before="0"/>
            </w:pPr>
            <w:r>
              <w:rPr>
                <w:rFonts w:ascii="Arial" w:cs="Arial" w:eastAsia="Arial" w:hAnsi="Arial"/>
                <w:b/>
                <w:bCs/>
                <w:color w:val="2D6FA8"/>
                <w:sz w:val="20"/>
                <w:szCs w:val="20"/>
              </w:rPr>
              <w:t>POSITIONING</w:t>
            </w:r>
          </w:p>
          <w:p>
            <w:pPr>
              <w:spacing w:after="0" w:before="0"/>
              <w:jc w:val="both"/>
            </w:pPr>
            <w:r>
              <w:rPr>
                <w:rFonts w:ascii="Arial" w:cs="Arial" w:eastAsia="Arial" w:hAnsi="Arial"/>
                <w:color w:val="333333"/>
                <w:sz w:val="22"/>
                <w:szCs w:val="22"/>
              </w:rPr>
              <w:t>FaroLink is to Pharos what 1inch is to Ethereum — but with the compliance and cross-SPN layers that institutional RWA participants actually require. The closest comparable in the broader ecosystem is Li.Fi, but Li.Fi has no Pharos integration and no compliance layer. FaroLink is purpose-built for this chain from day one.</w:t>
            </w:r>
          </w:p>
        </w:tc>
      </w:tr>
    </w:tbl>
    <w:p>
      <w:pPr>
        <w:spacing w:after="0" w:before="160"/>
      </w:pPr>
      <w:r>
        <w:t xml:space="preserve"/>
      </w:r>
    </w:p>
    <w:p>
      <w:pPr>
        <w:pStyle w:val="Heading2"/>
        <w:spacing w:after="120" w:before="280"/>
      </w:pPr>
      <w:r>
        <w:rPr>
          <w:rFonts w:ascii="Arial" w:cs="Arial" w:eastAsia="Arial" w:hAnsi="Arial"/>
          <w:b/>
          <w:bCs/>
          <w:color w:val="2D6FA8"/>
          <w:sz w:val="24"/>
          <w:szCs w:val="24"/>
        </w:rPr>
        <w:t>2.1  Four-Layer Architecture</w:t>
      </w:r>
    </w:p>
    <w:p>
      <w:pPr>
        <w:spacing w:after="120" w:before="80"/>
        <w:jc w:val="both"/>
      </w:pPr>
      <w:r>
        <w:rPr>
          <w:rFonts w:ascii="Arial" w:cs="Arial" w:eastAsia="Arial" w:hAnsi="Arial"/>
          <w:color w:val="222222"/>
          <w:sz w:val="22"/>
          <w:szCs w:val="22"/>
        </w:rPr>
        <w:t>FaroLink is built as four composable microservices, each independently deployable and horizontally scalable: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Layer</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Service</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Function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L1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Indexer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Real-time liquidity state ingestion across Pharos, Ethereum, and Base. Writes to Redis with 2-second polling intervals.</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L2</w:t>
            </w:r>
          </w:p>
        </w:tc>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Routing Engine</w:t>
            </w:r>
          </w:p>
        </w:tc>
        <w:tc>
          <w:tcPr>
            <w:tcW w:type="dxa" w:w="6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Graph-based pathfinder (Dijkstra with a min-heap) that maximises output across multi-hop SPN and cross-chain routes, with simultaneous slippage, latency, and compliance weighting.</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L3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Executor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On-chain transaction orchestration via audited FaroLinkRouter.sol smart contract. Handles fee collection, slippage protection, bridge abstraction, and parallel order splitting.</w:t>
            </w:r>
          </w:p>
        </w:tc>
      </w:tr>
      <w:tr>
        <w:tc>
          <w:tcPr>
            <w:tcW w:type="dxa" w:w="14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L4</w:t>
            </w:r>
          </w:p>
        </w:tc>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Developer API</w:t>
            </w:r>
          </w:p>
        </w:tc>
        <w:tc>
          <w:tcPr>
            <w:tcW w:type="dxa" w:w="6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Public REST API, TypeScript SDK (@farolink/sdk on npm), and webhook system. The integration surface that every Pharos dApp uses.</w:t>
            </w:r>
          </w:p>
        </w:tc>
      </w:tr>
    </w:tbl>
    <w:p>
      <w:pPr>
        <w:spacing w:after="0" w:before="160"/>
      </w:pPr>
      <w:r>
        <w:t xml:space="preserve"/>
      </w:r>
    </w:p>
    <w:p>
      <w:pPr>
        <w:pStyle w:val="Heading2"/>
        <w:spacing w:after="120" w:before="280"/>
      </w:pPr>
      <w:r>
        <w:rPr>
          <w:rFonts w:ascii="Arial" w:cs="Arial" w:eastAsia="Arial" w:hAnsi="Arial"/>
          <w:b/>
          <w:bCs/>
          <w:color w:val="2D6FA8"/>
          <w:sz w:val="24"/>
          <w:szCs w:val="24"/>
        </w:rPr>
        <w:t>2.2  Compliance Portability (The Institutional Differentiator)</w:t>
      </w:r>
    </w:p>
    <w:p>
      <w:pPr>
        <w:spacing w:after="120" w:before="80"/>
        <w:jc w:val="both"/>
      </w:pPr>
      <w:r>
        <w:rPr>
          <w:rFonts w:ascii="Arial" w:cs="Arial" w:eastAsia="Arial" w:hAnsi="Arial"/>
          <w:color w:val="222222"/>
          <w:sz w:val="22"/>
          <w:szCs w:val="22"/>
        </w:rPr>
        <w:t>Before any route is executed, FaroLink’s ComplianceGate runs five sequential checks against Pharos’ native ZK-KYC module:</w:t>
      </w:r>
    </w:p>
    <w:p>
      <w:pPr>
        <w:pStyle w:val="ListParagraph"/>
        <w:numPr>
          <w:ilvl w:val="0"/>
          <w:numId w:val="2"/>
        </w:numPr>
        <w:spacing w:after="60" w:before="60"/>
      </w:pPr>
      <w:r>
        <w:rPr>
          <w:rFonts w:ascii="Arial" w:cs="Arial" w:eastAsia="Arial" w:hAnsi="Arial"/>
          <w:color w:val="222222"/>
          <w:sz w:val="22"/>
          <w:szCs w:val="22"/>
        </w:rPr>
        <w:t>Sender AML blocklist check (instant, Redis-cached, no API call)</w:t>
      </w:r>
    </w:p>
    <w:p>
      <w:pPr>
        <w:pStyle w:val="ListParagraph"/>
        <w:numPr>
          <w:ilvl w:val="0"/>
          <w:numId w:val="2"/>
        </w:numPr>
        <w:spacing w:after="60" w:before="60"/>
      </w:pPr>
      <w:r>
        <w:rPr>
          <w:rFonts w:ascii="Arial" w:cs="Arial" w:eastAsia="Arial" w:hAnsi="Arial"/>
          <w:color w:val="222222"/>
          <w:sz w:val="22"/>
          <w:szCs w:val="22"/>
        </w:rPr>
        <w:t>Source chain KYC status verification</w:t>
      </w:r>
    </w:p>
    <w:p>
      <w:pPr>
        <w:pStyle w:val="ListParagraph"/>
        <w:numPr>
          <w:ilvl w:val="0"/>
          <w:numId w:val="2"/>
        </w:numPr>
        <w:spacing w:after="60" w:before="60"/>
      </w:pPr>
      <w:r>
        <w:rPr>
          <w:rFonts w:ascii="Arial" w:cs="Arial" w:eastAsia="Arial" w:hAnsi="Arial"/>
          <w:color w:val="222222"/>
          <w:sz w:val="22"/>
          <w:szCs w:val="22"/>
        </w:rPr>
        <w:t>Destination SPN jurisdiction compatibility</w:t>
      </w:r>
    </w:p>
    <w:p>
      <w:pPr>
        <w:pStyle w:val="ListParagraph"/>
        <w:numPr>
          <w:ilvl w:val="0"/>
          <w:numId w:val="2"/>
        </w:numPr>
        <w:spacing w:after="60" w:before="60"/>
      </w:pPr>
      <w:r>
        <w:rPr>
          <w:rFonts w:ascii="Arial" w:cs="Arial" w:eastAsia="Arial" w:hAnsi="Arial"/>
          <w:color w:val="222222"/>
          <w:sz w:val="22"/>
          <w:szCs w:val="22"/>
        </w:rPr>
        <w:t>Asset-level compliance (RWA token tier requirements)</w:t>
      </w:r>
    </w:p>
    <w:p>
      <w:pPr>
        <w:pStyle w:val="ListParagraph"/>
        <w:numPr>
          <w:ilvl w:val="0"/>
          <w:numId w:val="2"/>
        </w:numPr>
        <w:spacing w:after="60" w:before="60"/>
      </w:pPr>
      <w:r>
        <w:rPr>
          <w:rFonts w:ascii="Arial" w:cs="Arial" w:eastAsia="Arial" w:hAnsi="Arial"/>
          <w:color w:val="222222"/>
          <w:sz w:val="22"/>
          <w:szCs w:val="22"/>
        </w:rPr>
        <w:t>AML risk level assessment with configurable blocking thresholds</w:t>
      </w:r>
    </w:p>
    <w:p>
      <w:pPr>
        <w:spacing w:after="0" w:before="80"/>
      </w:pPr>
      <w:r>
        <w:t xml:space="preserve"/>
      </w:r>
    </w:p>
    <w:p>
      <w:pPr>
        <w:spacing w:after="120" w:before="80"/>
        <w:jc w:val="both"/>
      </w:pPr>
      <w:r>
        <w:rPr>
          <w:rFonts w:ascii="Arial" w:cs="Arial" w:eastAsia="Arial" w:hAnsi="Arial"/>
          <w:color w:val="222222"/>
          <w:sz w:val="22"/>
          <w:szCs w:val="22"/>
        </w:rPr>
        <w:t>Crucially, FaroLink caches compliance results with a 300-second TTL and propagates them across hops. An institution verified once does not re-verify at every bridge. This is not possible with any existing bridge or aggregator.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FA8" w:sz="12"/>
              <w:left w:val="single" w:color="2D6FA8" w:sz="12"/>
              <w:bottom w:val="single" w:color="CCCCCC" w:sz="1"/>
              <w:right w:val="single" w:color="CCCCCC" w:sz="1"/>
            </w:tcBorders>
            <w:shd w:fill="EEF4FA" w:val="clear"/>
            <w:tcMar>
              <w:top w:type="dxa" w:w="160"/>
              <w:left w:type="dxa" w:w="240"/>
              <w:bottom w:type="dxa" w:w="160"/>
              <w:right w:type="dxa" w:w="240"/>
            </w:tcMar>
          </w:tcPr>
          <w:p>
            <w:pPr>
              <w:spacing w:after="60" w:before="0"/>
            </w:pPr>
            <w:r>
              <w:rPr>
                <w:rFonts w:ascii="Arial" w:cs="Arial" w:eastAsia="Arial" w:hAnsi="Arial"/>
                <w:b/>
                <w:bCs/>
                <w:color w:val="2D6FA8"/>
                <w:sz w:val="20"/>
                <w:szCs w:val="20"/>
              </w:rPr>
              <w:t>FAIL-OPEN DESIGN</w:t>
            </w:r>
          </w:p>
          <w:p>
            <w:pPr>
              <w:spacing w:after="0" w:before="0"/>
              <w:jc w:val="both"/>
            </w:pPr>
            <w:r>
              <w:rPr>
                <w:rFonts w:ascii="Arial" w:cs="Arial" w:eastAsia="Arial" w:hAnsi="Arial"/>
                <w:color w:val="333333"/>
                <w:sz w:val="22"/>
                <w:szCs w:val="22"/>
              </w:rPr>
              <w:t>If the Pharos KYC API is temporarily unreachable, FaroLink defaults to approving the transaction with a flagged warning rather than blocking it. Infrastructure failures must never freeze institutional capital. This design choice reflects how regulated financial systems actually work.</w:t>
            </w:r>
          </w:p>
        </w:tc>
      </w:tr>
    </w:tbl>
    <w:p>
      <w:pPr>
        <w:spacing w:after="0" w:before="160"/>
      </w:pPr>
      <w:r>
        <w:t xml:space="preserve"/>
      </w:r>
    </w:p>
    <w:p>
      <w:pPr>
        <w:pStyle w:val="Heading2"/>
        <w:spacing w:after="120" w:before="280"/>
      </w:pPr>
      <w:r>
        <w:rPr>
          <w:rFonts w:ascii="Arial" w:cs="Arial" w:eastAsia="Arial" w:hAnsi="Arial"/>
          <w:b/>
          <w:bCs/>
          <w:color w:val="2D6FA8"/>
          <w:sz w:val="24"/>
          <w:szCs w:val="24"/>
        </w:rPr>
        <w:t>2.3  MEV Protection</w:t>
      </w:r>
    </w:p>
    <w:p>
      <w:pPr>
        <w:spacing w:after="120" w:before="80"/>
        <w:jc w:val="both"/>
      </w:pPr>
      <w:r>
        <w:rPr>
          <w:rFonts w:ascii="Arial" w:cs="Arial" w:eastAsia="Arial" w:hAnsi="Arial"/>
          <w:color w:val="222222"/>
          <w:sz w:val="22"/>
          <w:szCs w:val="22"/>
        </w:rPr>
        <w:t>Pharos SPNs are natively MEV-resistant by virtue of AsyncBFT consensus — there is no public mempool to front-run. FaroLink’s MEVShield module activates only on route legs that pass through Ethereum or Base public mempools, applying order-splitting, timing jitter, and private RPC routing (Flashbots) where warranted. For routes that stay entirely within the Pharos ecosystem, MEV risk is zero.</w:t>
      </w:r>
    </w:p>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3.  Alignment With the Native to Pharos Program</w:t>
      </w:r>
    </w:p>
    <w:p>
      <w:pPr>
        <w:spacing w:after="120" w:before="80"/>
        <w:jc w:val="both"/>
      </w:pPr>
      <w:r>
        <w:rPr>
          <w:rFonts w:ascii="Arial" w:cs="Arial" w:eastAsia="Arial" w:hAnsi="Arial"/>
          <w:color w:val="222222"/>
          <w:sz w:val="22"/>
          <w:szCs w:val="22"/>
        </w:rPr>
        <w:t>The Native to Pharos Incubator explicitly prioritises “RWA compliance tooling” and “interoperability tools essential for the RWA and DeFi sectors.” FaroLink directly addresses both categories.</w:t>
      </w:r>
    </w:p>
    <w:p>
      <w:pPr>
        <w:spacing w:after="0" w:before="80"/>
      </w:pPr>
      <w:r>
        <w:t xml:space="preserve"/>
      </w:r>
    </w:p>
    <w:p>
      <w:pPr>
        <w:pStyle w:val="Heading2"/>
        <w:spacing w:after="120" w:before="280"/>
      </w:pPr>
      <w:r>
        <w:rPr>
          <w:rFonts w:ascii="Arial" w:cs="Arial" w:eastAsia="Arial" w:hAnsi="Arial"/>
          <w:b/>
          <w:bCs/>
          <w:color w:val="2D6FA8"/>
          <w:sz w:val="24"/>
          <w:szCs w:val="24"/>
        </w:rPr>
        <w:t>3.1  Infrastructure, Not Application</w:t>
      </w:r>
    </w:p>
    <w:p>
      <w:pPr>
        <w:spacing w:after="120" w:before="80"/>
        <w:jc w:val="both"/>
      </w:pPr>
      <w:r>
        <w:rPr>
          <w:rFonts w:ascii="Arial" w:cs="Arial" w:eastAsia="Arial" w:hAnsi="Arial"/>
          <w:color w:val="222222"/>
          <w:sz w:val="22"/>
          <w:szCs w:val="22"/>
        </w:rPr>
        <w:t>Most incubator applicants build applications on top of Pharos. FaroLink builds the layer those applications depend on. Every DEX, lending protocol, yield vault, and RWA marketplace that launches on Pharos will face the same liquidity routing and compliance portability problems. FaroLink solves those problems once, for the entire ecosystem.</w:t>
      </w:r>
    </w:p>
    <w:p>
      <w:pPr>
        <w:spacing w:after="0" w:before="80"/>
      </w:pPr>
      <w:r>
        <w:t xml:space="preserve"/>
      </w:r>
    </w:p>
    <w:p>
      <w:pPr>
        <w:pStyle w:val="Heading2"/>
        <w:spacing w:after="120" w:before="280"/>
      </w:pPr>
      <w:r>
        <w:rPr>
          <w:rFonts w:ascii="Arial" w:cs="Arial" w:eastAsia="Arial" w:hAnsi="Arial"/>
          <w:b/>
          <w:bCs/>
          <w:color w:val="2D6FA8"/>
          <w:sz w:val="24"/>
          <w:szCs w:val="24"/>
        </w:rPr>
        <w:t>3.2  Driving $PROS Utility</w:t>
      </w:r>
    </w:p>
    <w:p>
      <w:pPr>
        <w:spacing w:after="120" w:before="80"/>
        <w:jc w:val="both"/>
      </w:pPr>
      <w:r>
        <w:rPr>
          <w:rFonts w:ascii="Arial" w:cs="Arial" w:eastAsia="Arial" w:hAnsi="Arial"/>
          <w:color w:val="222222"/>
          <w:sz w:val="22"/>
          <w:szCs w:val="22"/>
        </w:rPr>
        <w:t>FaroLink routes institutional capital into Pharos SPNs. More capital flowing in means higher TVL, more transaction fees, and greater $PROS staking demand. The protocol’s success is structurally aligned with the chain’s success. There is no tension between FaroLink’s commercial interests and Pharos Network’s growth objectives.</w:t>
      </w:r>
    </w:p>
    <w:p>
      <w:pPr>
        <w:spacing w:after="0" w:before="80"/>
      </w:pPr>
      <w:r>
        <w:t xml:space="preserve"/>
      </w:r>
    </w:p>
    <w:p>
      <w:pPr>
        <w:pStyle w:val="Heading2"/>
        <w:spacing w:after="120" w:before="280"/>
      </w:pPr>
      <w:r>
        <w:rPr>
          <w:rFonts w:ascii="Arial" w:cs="Arial" w:eastAsia="Arial" w:hAnsi="Arial"/>
          <w:b/>
          <w:bCs/>
          <w:color w:val="2D6FA8"/>
          <w:sz w:val="24"/>
          <w:szCs w:val="24"/>
        </w:rPr>
        <w:t>3.3  Open Source Where It Matters</w:t>
      </w:r>
    </w:p>
    <w:p>
      <w:pPr>
        <w:spacing w:after="120" w:before="80"/>
        <w:jc w:val="both"/>
      </w:pPr>
      <w:r>
        <w:rPr>
          <w:rFonts w:ascii="Arial" w:cs="Arial" w:eastAsia="Arial" w:hAnsi="Arial"/>
          <w:color w:val="222222"/>
          <w:sz w:val="22"/>
          <w:szCs w:val="22"/>
        </w:rPr>
        <w:t>FaroLink will open-source two components:</w:t>
      </w:r>
    </w:p>
    <w:p>
      <w:pPr>
        <w:pStyle w:val="ListParagraph"/>
        <w:numPr>
          <w:ilvl w:val="0"/>
          <w:numId w:val="2"/>
        </w:numPr>
        <w:spacing w:after="60" w:before="60"/>
      </w:pPr>
      <w:r>
        <w:rPr>
          <w:rFonts w:ascii="Arial" w:cs="Arial" w:eastAsia="Arial" w:hAnsi="Arial"/>
          <w:color w:val="222222"/>
          <w:sz w:val="22"/>
          <w:szCs w:val="22"/>
        </w:rPr>
        <w:t>FaroLinkRouter.sol and FeeCollector.sol — the execution contracts. Institutions will not route funds through unaudited, closed-source contracts. Open source plus a third-party audit is the only credible path to institutional adoption.</w:t>
      </w:r>
    </w:p>
    <w:p>
      <w:pPr>
        <w:pStyle w:val="ListParagraph"/>
        <w:numPr>
          <w:ilvl w:val="0"/>
          <w:numId w:val="2"/>
        </w:numPr>
        <w:spacing w:after="60" w:before="60"/>
      </w:pPr>
      <w:r>
        <w:rPr>
          <w:rFonts w:ascii="Arial" w:cs="Arial" w:eastAsia="Arial" w:hAnsi="Arial"/>
          <w:color w:val="222222"/>
          <w:sz w:val="22"/>
          <w:szCs w:val="22"/>
        </w:rPr>
        <w:t>@farolink/sdk npm package — the developer integration library. Open-sourcing the client creates distribution. Every developer who installs it is a potential API subscriber.</w:t>
      </w:r>
    </w:p>
    <w:p>
      <w:pPr>
        <w:spacing w:after="0" w:before="80"/>
      </w:pPr>
      <w:r>
        <w:t xml:space="preserve"/>
      </w:r>
    </w:p>
    <w:p>
      <w:pPr>
        <w:spacing w:after="120" w:before="80"/>
        <w:jc w:val="both"/>
      </w:pPr>
      <w:r>
        <w:rPr>
          <w:rFonts w:ascii="Arial" w:cs="Arial" w:eastAsia="Arial" w:hAnsi="Arial"/>
          <w:color w:val="222222"/>
          <w:sz w:val="22"/>
          <w:szCs w:val="22"/>
        </w:rPr>
        <w:t>The Routing Engine, Indexer, and ComplianceGate remain proprietary. This is the standard model for sustainable developer infrastructure: open client, closed intelligence.</w:t>
      </w:r>
    </w:p>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4.  Grant Request &amp; Use of Funds</w:t>
      </w:r>
    </w:p>
    <w:p>
      <w:pPr>
        <w:spacing w:after="120" w:before="80"/>
        <w:jc w:val="both"/>
      </w:pPr>
      <w:r>
        <w:rPr>
          <w:rFonts w:ascii="Arial" w:cs="Arial" w:eastAsia="Arial" w:hAnsi="Arial"/>
          <w:color w:val="222222"/>
          <w:sz w:val="22"/>
          <w:szCs w:val="22"/>
        </w:rPr>
        <w:t>We are requesting a grant from the Native to Pharos Incubator Program. Funds will be deployed across three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Category</w:t>
            </w:r>
          </w:p>
        </w:tc>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Amount (USD)</w:t>
            </w:r>
          </w:p>
        </w:tc>
        <w:tc>
          <w:tcPr>
            <w:tcW w:type="dxa" w:w="4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Detail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Smart Contract Audit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$35,000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Independent audit of FaroLinkRouter.sol and FeeCollector.sol by a recognised security firm. Non-negotiable for institutional adoption.</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Infrastructure (12 months)</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$18,000</w:t>
            </w:r>
          </w:p>
        </w:tc>
        <w:tc>
          <w:tcPr>
            <w:tcW w:type="dxa" w:w="4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Cloud Run compute, Redis, PostgreSQL, and RPC node costs for production API service.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Ecosystem Integration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$12,000</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Developer relations, documentation, and direct integration support for the first 5 Pharos protocol partners.</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Total</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$65,000</w:t>
            </w:r>
          </w:p>
        </w:tc>
        <w:tc>
          <w:tcPr>
            <w:tcW w:type="dxa" w:w="43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All funds deployed within 6 months of grant award.</w:t>
            </w:r>
          </w:p>
        </w:tc>
      </w:tr>
    </w:tbl>
    <w:p>
      <w:pPr>
        <w:spacing w:after="0" w:before="80"/>
      </w:pPr>
      <w:r>
        <w:t xml:space="preserve"/>
      </w:r>
    </w:p>
    <w:p>
      <w:pPr>
        <w:spacing w:after="120" w:before="80"/>
        <w:jc w:val="both"/>
      </w:pPr>
      <w:r>
        <w:rPr>
          <w:rFonts w:ascii="Arial" w:cs="Arial" w:eastAsia="Arial" w:hAnsi="Arial"/>
          <w:color w:val="222222"/>
          <w:sz w:val="22"/>
          <w:szCs w:val="22"/>
        </w:rPr>
        <w:t>We are not requesting operating capital or token allocation. The grant funds a specific set of deliverables that benefit the entire Pharos ecosystem, not just FaroLink.</w:t>
      </w:r>
    </w:p>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5.  Revenue Model &amp; Sustainability</w:t>
      </w:r>
    </w:p>
    <w:p>
      <w:pPr>
        <w:spacing w:after="120" w:before="80"/>
        <w:jc w:val="both"/>
      </w:pPr>
      <w:r>
        <w:rPr>
          <w:rFonts w:ascii="Arial" w:cs="Arial" w:eastAsia="Arial" w:hAnsi="Arial"/>
          <w:color w:val="222222"/>
          <w:sz w:val="22"/>
          <w:szCs w:val="22"/>
        </w:rPr>
        <w:t>FaroLink is designed to be self-sustaining within 6–12 months of mainnet deployment. The three revenue streams are: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Revenue Stream</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0"/>
                <w:szCs w:val="20"/>
              </w:rPr>
              <w:t>Structure &amp; Projections</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1A3A5C"/>
                <w:sz w:val="20"/>
                <w:szCs w:val="20"/>
              </w:rPr>
              <w:t>Protocol Fee (5 bps)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$1M daily volume = $182k/year. $10M daily volume = $1.8M/year. Auto-deducted from execution output at the smart contract layer. Zero marginal cost.</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1A3A5C"/>
                <w:sz w:val="20"/>
                <w:szCs w:val="20"/>
              </w:rPr>
              <w:t>Enterprise API Keys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Free tier (100 req/day). Builder at $99/mo. Pro at $499/mo. Enterprise custom pricing. 20 Pro customers = $120k ARR.</w:t>
            </w:r>
          </w:p>
        </w:tc>
      </w:tr>
      <w:tr>
        <w:tc>
          <w:tcPr>
            <w:tcW w:type="dxa" w:w="3000"/>
            <w:tcBorders>
              <w:top w:val="single" w:color="CCCCCC" w:sz="1"/>
              <w:left w:val="single" w:color="CCCCCC" w:sz="1"/>
              <w:bottom w:val="single" w:color="CCCCCC" w:sz="1"/>
              <w:right w:val="single" w:color="CCCCCC" w:sz="1"/>
            </w:tcBorders>
            <w:shd w:fill="F5F8FC" w:val="clear"/>
            <w:tcMar>
              <w:top w:type="dxa" w:w="100"/>
              <w:left w:type="dxa" w:w="160"/>
              <w:bottom w:type="dxa" w:w="100"/>
              <w:right w:type="dxa" w:w="160"/>
            </w:tcMar>
          </w:tcPr>
          <w:p>
            <w:r>
              <w:rPr>
                <w:rFonts w:ascii="Arial" w:cs="Arial" w:eastAsia="Arial" w:hAnsi="Arial"/>
                <w:b w:val="false"/>
                <w:bCs w:val="false"/>
                <w:color w:val="1A3A5C"/>
                <w:sz w:val="20"/>
                <w:szCs w:val="20"/>
              </w:rPr>
              <w:t>Compliance-as-a-Service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Per-check pricing at $0.05–0.10 for protocols needing KYC portability without building it themselves. Other Pharos protocols are the primary customers.</w:t>
            </w:r>
          </w:p>
        </w:tc>
      </w:tr>
    </w:tbl>
    <w:p>
      <w:pPr>
        <w:spacing w:after="0" w:before="80"/>
      </w:pPr>
      <w:r>
        <w:t xml:space="preserve"/>
      </w:r>
    </w:p>
    <w:p>
      <w:pPr>
        <w:spacing w:after="120" w:before="80"/>
        <w:jc w:val="both"/>
      </w:pPr>
      <w:r>
        <w:rPr>
          <w:rFonts w:ascii="Arial" w:cs="Arial" w:eastAsia="Arial" w:hAnsi="Arial"/>
          <w:color w:val="222222"/>
          <w:sz w:val="22"/>
          <w:szCs w:val="22"/>
        </w:rPr>
        <w:t>These streams are intentionally conservative. They are sized for the Pharos ecosystem as it exists today, not speculative future volume. As Pharos TVL grows, protocol fee revenue scales automatically without any additional sales or marketing effort.</w:t>
      </w:r>
    </w:p>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6.  Delivery Milestones</w:t>
      </w:r>
    </w:p>
    <w:p>
      <w:pPr>
        <w:spacing w:after="120" w:before="80"/>
        <w:jc w:val="both"/>
      </w:pPr>
      <w:r>
        <w:rPr>
          <w:rFonts w:ascii="Arial" w:cs="Arial" w:eastAsia="Arial" w:hAnsi="Arial"/>
          <w:color w:val="222222"/>
          <w:sz w:val="22"/>
          <w:szCs w:val="22"/>
        </w:rPr>
        <w:t>FaroLink will deliver against the following milestones within 8 weeks of grant award: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Milestone</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Timeline</w:t>
            </w:r>
          </w:p>
        </w:tc>
        <w:tc>
          <w:tcPr>
            <w:tcW w:type="dxa" w:w="55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20"/>
                <w:szCs w:val="20"/>
              </w:rPr>
              <w:t>Deliverable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M1: Indexer + Route API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Week 1–2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Live API returning optimal route quotes across Pharos and Ethereum. Public endpoint.</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M2: Execution + SDK</w:t>
            </w:r>
          </w:p>
        </w:tc>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Week 3</w:t>
            </w:r>
          </w:p>
        </w:tc>
        <w:tc>
          <w:tcPr>
            <w:tcW w:type="dxa" w:w="5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FaroLinkRouter.sol deployed to Pharos testnet. @farolink/sdk published to npm.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M3: Compliance Gate + Fees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Week 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ZK-KYC integration live. Fee collection active. MEVShield enabled.</w:t>
            </w:r>
          </w:p>
        </w:tc>
      </w:tr>
      <w:tr>
        <w:tc>
          <w:tcPr>
            <w:tcW w:type="dxa" w:w="2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M4: Audit Submission</w:t>
            </w:r>
          </w:p>
        </w:tc>
        <w:tc>
          <w:tcPr>
            <w:tcW w:type="dxa" w:w="16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Week 5–6</w:t>
            </w:r>
          </w:p>
        </w:tc>
        <w:tc>
          <w:tcPr>
            <w:tcW w:type="dxa" w:w="55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b w:val="false"/>
                <w:bCs w:val="false"/>
                <w:color w:val="333333"/>
                <w:sz w:val="20"/>
                <w:szCs w:val="20"/>
              </w:rPr>
              <w:t>Smart contracts submitted to auditor. Full test suite (&gt;90% coverage) published.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M5: Mainnet Launch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Week 7–8</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Production deployment. First 3 ecosystem integrations live. Audit report published.</w:t>
            </w:r>
          </w:p>
        </w:tc>
      </w:tr>
    </w:tbl>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7.  Why This Team, Why Now</w:t>
      </w:r>
    </w:p>
    <w:p>
      <w:pPr>
        <w:spacing w:after="120" w:before="80"/>
        <w:jc w:val="both"/>
      </w:pPr>
      <w:r>
        <w:rPr>
          <w:rFonts w:ascii="Arial" w:cs="Arial" w:eastAsia="Arial" w:hAnsi="Arial"/>
          <w:color w:val="222222"/>
          <w:sz w:val="22"/>
          <w:szCs w:val="22"/>
        </w:rPr>
        <w:t>Pharos mainnet launched April 28, 2026 — twenty-four days ago as of this application. The window to establish foundational infrastructure is open for a matter of weeks, not months. As the ecosystem grows and more teams enter, the cost of being second is permanent.</w:t>
      </w:r>
    </w:p>
    <w:p>
      <w:pPr>
        <w:spacing w:after="0" w:before="80"/>
      </w:pPr>
      <w:r>
        <w:t xml:space="preserve"/>
      </w:r>
    </w:p>
    <w:p>
      <w:pPr>
        <w:spacing w:after="120" w:before="80"/>
        <w:jc w:val="both"/>
      </w:pPr>
      <w:r>
        <w:rPr>
          <w:rFonts w:ascii="Arial" w:cs="Arial" w:eastAsia="Arial" w:hAnsi="Arial"/>
          <w:color w:val="222222"/>
          <w:sz w:val="22"/>
          <w:szCs w:val="22"/>
        </w:rPr>
        <w:t>FaroLink is being built by an infrastructure-focused developer with a background in fintech systems and cross-chain MEV. The architectural decisions in this document are not aspirational — they reflect a working system already in development. The routing engine graph structure, compliance caching layer, and smart contract architecture are built. What the grant funds is the audit, the infrastructure, and the ecosystem integration work that turns a working system into a trusted one.</w:t>
      </w:r>
    </w:p>
    <w:p>
      <w:pPr/>
      <w:r>
        <w:t>The indexer is live and production-operational: 28,810 liquidity events indexed across 109 active pool pairs on Pharos Atlantic testnet as of May 2026. The routing engine has processed optimal pathfinding across all indexed pairs. This is a working system, not a proposal.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FA8" w:sz="12"/>
              <w:left w:val="single" w:color="2D6FA8" w:sz="12"/>
              <w:bottom w:val="single" w:color="CCCCCC" w:sz="1"/>
              <w:right w:val="single" w:color="CCCCCC" w:sz="1"/>
            </w:tcBorders>
            <w:shd w:fill="EEF4FA" w:val="clear"/>
            <w:tcMar>
              <w:top w:type="dxa" w:w="160"/>
              <w:left w:type="dxa" w:w="240"/>
              <w:bottom w:type="dxa" w:w="160"/>
              <w:right w:type="dxa" w:w="240"/>
            </w:tcMar>
          </w:tcPr>
          <w:p>
            <w:pPr>
              <w:spacing w:after="60" w:before="0"/>
            </w:pPr>
            <w:r>
              <w:rPr>
                <w:rFonts w:ascii="Arial" w:cs="Arial" w:eastAsia="Arial" w:hAnsi="Arial"/>
                <w:b/>
                <w:bCs/>
                <w:color w:val="2D6FA8"/>
                <w:sz w:val="20"/>
                <w:szCs w:val="20"/>
              </w:rPr>
              <w:t>THE CORE THESIS</w:t>
            </w:r>
          </w:p>
          <w:p>
            <w:pPr>
              <w:spacing w:after="0" w:before="0"/>
              <w:jc w:val="both"/>
            </w:pPr>
            <w:r>
              <w:rPr>
                <w:rFonts w:ascii="Arial" w:cs="Arial" w:eastAsia="Arial" w:hAnsi="Arial"/>
                <w:color w:val="333333"/>
                <w:sz w:val="22"/>
                <w:szCs w:val="22"/>
              </w:rPr>
              <w:t>Every protocol that launches on Pharos in the next 12 months will face the same three problems: how do I get liquidity in, how do I stay compliant across SPNs, and how do I give my developers a clean integration? FaroLink answers all three. Building it once as shared infrastructure is worth more to the ecosystem than every team solving it independently.</w:t>
            </w:r>
          </w:p>
        </w:tc>
      </w:tr>
    </w:tbl>
    <w:p>
      <w:pPr>
        <w:spacing w:after="0" w:before="200"/>
      </w:pPr>
      <w:r>
        <w:t xml:space="preserve"/>
      </w:r>
    </w:p>
    <w:p>
      <w:pPr>
        <w:pStyle w:val="Heading1"/>
        <w:pBdr>
          <w:bottom w:val="single" w:color="2D6FA8" w:sz="8" w:space="6"/>
        </w:pBdr>
        <w:spacing w:after="160" w:before="360"/>
      </w:pPr>
      <w:r>
        <w:rPr>
          <w:rFonts w:ascii="Arial" w:cs="Arial" w:eastAsia="Arial" w:hAnsi="Arial"/>
          <w:b/>
          <w:bCs/>
          <w:color w:val="1A3A5C"/>
          <w:sz w:val="30"/>
          <w:szCs w:val="30"/>
        </w:rPr>
        <w:t>8.  What We Are Asking the Foundation to Do</w:t>
      </w:r>
    </w:p>
    <w:p>
      <w:pPr>
        <w:spacing w:after="120" w:before="80"/>
        <w:jc w:val="both"/>
      </w:pPr>
      <w:r>
        <w:rPr>
          <w:rFonts w:ascii="Arial" w:cs="Arial" w:eastAsia="Arial" w:hAnsi="Arial"/>
          <w:color w:val="222222"/>
          <w:sz w:val="22"/>
          <w:szCs w:val="22"/>
        </w:rPr>
        <w:t>We are asking for three things, not one:</w:t>
      </w:r>
    </w:p>
    <w:p>
      <w:pPr>
        <w:spacing w:after="0" w:before="80"/>
      </w:pPr>
      <w:r>
        <w:t xml:space="preserve"/>
      </w:r>
    </w:p>
    <w:p>
      <w:pPr>
        <w:pStyle w:val="ListParagraph"/>
        <w:numPr>
          <w:ilvl w:val="0"/>
          <w:numId w:val="2"/>
        </w:numPr>
        <w:spacing w:after="60" w:before="60"/>
      </w:pPr>
      <w:r>
        <w:rPr>
          <w:rFonts w:ascii="Arial" w:cs="Arial" w:eastAsia="Arial" w:hAnsi="Arial"/>
          <w:color w:val="222222"/>
          <w:sz w:val="22"/>
          <w:szCs w:val="22"/>
        </w:rPr>
        <w:t>Fund the audit. The $35,000 audit cost is the single biggest barrier to institutional adoption. A grant that covers this unlocks the other two revenue streams immediately.</w:t>
      </w:r>
    </w:p>
    <w:p>
      <w:pPr>
        <w:pStyle w:val="ListParagraph"/>
        <w:numPr>
          <w:ilvl w:val="0"/>
          <w:numId w:val="2"/>
        </w:numPr>
        <w:spacing w:after="60" w:before="60"/>
      </w:pPr>
      <w:r>
        <w:rPr>
          <w:rFonts w:ascii="Arial" w:cs="Arial" w:eastAsia="Arial" w:hAnsi="Arial"/>
          <w:color w:val="222222"/>
          <w:sz w:val="22"/>
          <w:szCs w:val="22"/>
        </w:rPr>
        <w:t>Introduce us to the first three Pharos protocol partners who need liquidity routing. Direct introductions from the Foundation convert a cold outreach problem into a warm one. We will handle the integration.</w:t>
      </w:r>
    </w:p>
    <w:p>
      <w:pPr>
        <w:pStyle w:val="ListParagraph"/>
        <w:numPr>
          <w:ilvl w:val="0"/>
          <w:numId w:val="2"/>
        </w:numPr>
        <w:spacing w:after="60" w:before="60"/>
      </w:pPr>
      <w:r>
        <w:rPr>
          <w:rFonts w:ascii="Arial" w:cs="Arial" w:eastAsia="Arial" w:hAnsi="Arial"/>
          <w:color w:val="222222"/>
          <w:sz w:val="22"/>
          <w:szCs w:val="22"/>
        </w:rPr>
        <w:t>Link to the FaroLink SDK in Pharos developer documentation. This is worth more than the grant itself in terms of distribution. Developers who find Pharos find FaroLink at the same time.</w:t>
      </w:r>
    </w:p>
    <w:p>
      <w:pPr>
        <w:spacing w:after="0" w:before="80"/>
      </w:pPr>
      <w:r>
        <w:t xml:space="preserve"/>
      </w:r>
    </w:p>
    <w:p>
      <w:pPr>
        <w:spacing w:after="120" w:before="80"/>
        <w:jc w:val="both"/>
      </w:pPr>
      <w:r>
        <w:rPr>
          <w:rFonts w:ascii="Arial" w:cs="Arial" w:eastAsia="Arial" w:hAnsi="Arial"/>
          <w:color w:val="222222"/>
          <w:sz w:val="22"/>
          <w:szCs w:val="22"/>
        </w:rPr>
        <w:t>In return, FaroLink commits to: open-sourcing the contracts and SDK, publishing the audit report publicly, attributing the Native to Pharos program in all public materials, and reporting monthly on protocol volume, active integrations, and compliance checks processed.</w:t>
      </w:r>
    </w:p>
    <w:p>
      <w:pPr>
        <w:spacing w:after="0" w:before="200"/>
      </w:pPr>
      <w:r>
        <w:t xml:space="preserve"/>
      </w:r>
    </w:p>
    <w:p>
      <w:pPr>
        <w:pBdr>
          <w:top w:val="single" w:color="2D6FA8" w:sz="8" w:space="12"/>
        </w:pBdr>
        <w:spacing w:after="80" w:before="80"/>
        <w:jc w:val="center"/>
      </w:pPr>
      <w:r>
        <w:rPr>
          <w:rFonts w:ascii="Arial" w:cs="Arial" w:eastAsia="Arial" w:hAnsi="Arial"/>
          <w:b/>
          <w:bCs/>
          <w:color w:val="1A3A5C"/>
          <w:sz w:val="24"/>
          <w:szCs w:val="24"/>
        </w:rPr>
        <w:t>FaroLink — Built for Pharos. Built to Last.</w:t>
      </w:r>
    </w:p>
    <w:p>
      <w:pPr>
        <w:spacing w:after="0" w:before="0"/>
        <w:jc w:val="center"/>
      </w:pPr>
      <w:r>
        <w:rPr>
          <w:rFonts w:ascii="Arial" w:cs="Arial" w:eastAsia="Arial" w:hAnsi="Arial"/>
          <w:color w:val="888888"/>
          <w:sz w:val="20"/>
          <w:szCs w:val="20"/>
        </w:rPr>
        <w:t>Contact: 1996benti@gmail.com • GitHub: https://github.com/santionetwork/farolink • Demo API: https://api.farolink.xyz</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tabs>
        <w:tab w:val="right" w:pos="9026"/>
      </w:tabs>
      <w:spacing w:after="0" w:before="80"/>
    </w:pPr>
    <w:r>
      <w:rPr>
        <w:rFonts w:ascii="Arial" w:cs="Arial" w:eastAsia="Arial" w:hAnsi="Arial"/>
        <w:color w:val="888888"/>
        <w:sz w:val="18"/>
        <w:szCs w:val="18"/>
      </w:rPr>
      <w:t>Confidential — May 2026</w:t>
    </w:r>
    <w:r>
      <w:rPr>
        <w:rFonts w:ascii="Arial" w:cs="Arial" w:eastAsia="Arial" w:hAnsi="Arial"/>
        <w:color w:val="888888"/>
        <w:sz w:val="18"/>
        <w:szCs w:val="18"/>
      </w:rPr>
      <w:tab/>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FA8" w:sz="6" w:space="8"/>
      </w:pBdr>
      <w:tabs>
        <w:tab w:val="right" w:pos="9026"/>
      </w:tabs>
      <w:spacing w:after="120" w:before="0"/>
    </w:pPr>
    <w:r>
      <w:rPr>
        <w:rFonts w:ascii="Arial" w:cs="Arial" w:eastAsia="Arial" w:hAnsi="Arial"/>
        <w:b/>
        <w:bCs/>
        <w:color w:val="1A3A5C"/>
        <w:sz w:val="18"/>
        <w:szCs w:val="18"/>
      </w:rPr>
      <w:t>FaroLink — Grant Application</w:t>
    </w:r>
    <w:r>
      <w:rPr>
        <w:rFonts w:ascii="Arial" w:cs="Arial" w:eastAsia="Arial" w:hAnsi="Arial"/>
        <w:color w:val="888888"/>
        <w:sz w:val="18"/>
        <w:szCs w:val="18"/>
      </w:rPr>
      <w:tab/>
      <w:t>Native to Pharos Incubator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D6FA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2026-05-11T23:27:04.116Z</dcterms:created>
  <dcterms:modified xsi:type="dcterms:W3CDTF">2026-05-11T23:27:04.116Z</dcterms:modified>
</cp:coreProperties>
</file>

<file path=docProps/custom.xml><?xml version="1.0" encoding="utf-8"?>
<Properties xmlns="http://schemas.openxmlformats.org/officeDocument/2006/custom-properties" xmlns:vt="http://schemas.openxmlformats.org/officeDocument/2006/docPropsVTypes"/>
</file>