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p w14:paraId="CA001003" w14:textId="77777777" w:rsidR="00715D74" w:rsidRDefault="00715D74">
      <w:pPr>
        <w:spacing w:before="80" w:after="40"/>
        <w:jc w:val="center"/>
        <w:rPr>
          <w:i/>
          <w:sz w:val="20"/>
        </w:rPr>
      </w:pPr>
      <w:r>
        <w:rPr>
          <w:i/>
          <w:sz w:val="20"/>
        </w:rPr>
        <w:t>Tabla 3. Descriptive statistics for European pharmacy sales dataset (Dataset 1) — Weekly sales summary by ATC group (R03, R06) across 302 observations (2014–2019).</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p w14:paraId="CA001004" w14:textId="77777777" w:rsidR="00715D74" w:rsidRDefault="00715D74">
      <w:pPr>
        <w:spacing w:before="80" w:after="40"/>
        <w:jc w:val="center"/>
        <w:rPr>
          <w:i/>
          <w:sz w:val="20"/>
        </w:rPr>
      </w:pPr>
      <w:r>
        <w:rPr>
          <w:i/>
          <w:sz w:val="20"/>
        </w:rPr>
        <w:t>Tabla 4. Australia–Europe cross-correlation analysis results — Lag (weeks), Pearson r, and interpretation for the primary lead-lag relationship between Southern Hemisphere and European flu activity.</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(Tabla 5) summarises the complete evolution of model performance across all research phases, providing a clear narrative of how each data addition and methodological decision contributed to the final framework.</w:t>
      </w:r>
    </w:p>
    <w:p w14:paraId="CA001005" w14:textId="77777777" w:rsidR="00715D74" w:rsidRDefault="00715D74">
      <w:pPr>
        <w:spacing w:before="80" w:after="40"/>
        <w:jc w:val="center"/>
        <w:rPr>
          <w:i/>
          <w:sz w:val="20"/>
        </w:rPr>
      </w:pPr>
      <w:r>
        <w:rPr>
          <w:i/>
          <w:sz w:val="20"/>
        </w:rPr>
        <w:t>Tabla 5. Complete model evolution across all research phases — MAPE by phase from SARIMA baseline through seasonal switching rule, showing the incremental contribution of each methodological addition.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CA001001"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CA001002"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(ver Tabla 4).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(ver Tabla 7).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(ver Tabla 7):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(ver Tabla 2).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CA001003"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