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Predictive Analysis of Respiratory Medicine Inventory Demand:</w:t>
      </w:r>
    </w:p>
    <w:p/>
    <w:p>
      <w:pPr>
        <w:jc w:val="center"/>
      </w:pPr>
      <w:r>
        <w:rPr>
          <w:b/>
          <w:color w:val="2E75B6"/>
          <w:sz w:val="28"/>
        </w:rPr>
        <w:t>Historical and Seasonal Trends Using Real Epidemiological Data</w:t>
      </w:r>
    </w:p>
    <w:p/>
    <w:p>
      <w:pPr>
        <w:jc w:val="center"/>
      </w:pPr>
      <w:r>
        <w:rPr>
          <w:b/>
          <w:sz w:val="22"/>
        </w:rPr>
        <w:t xml:space="preserve">Degree:  </w:t>
      </w:r>
      <w:r>
        <w:rPr>
          <w:sz w:val="22"/>
        </w:rPr>
        <w:t>Business Intelligence &amp; Data Analytics</w:t>
      </w:r>
    </w:p>
    <w:p>
      <w:pPr>
        <w:jc w:val="center"/>
      </w:pPr>
      <w:r>
        <w:rPr>
          <w:b/>
          <w:sz w:val="22"/>
        </w:rPr>
        <w:t xml:space="preserve">Student:  </w:t>
      </w:r>
      <w:r>
        <w:rPr>
          <w:sz w:val="22"/>
        </w:rPr>
        <w:t>Santiago Rosales Betancourt</w:t>
      </w:r>
    </w:p>
    <w:p>
      <w:pPr>
        <w:jc w:val="center"/>
      </w:pPr>
      <w:r>
        <w:rPr>
          <w:b/>
          <w:sz w:val="22"/>
        </w:rPr>
        <w:t xml:space="preserve">Supervisor:  </w:t>
      </w:r>
      <w:r>
        <w:rPr>
          <w:sz w:val="22"/>
        </w:rPr>
        <w:t>Otilio Jose Rojas Ulacio</w:t>
      </w:r>
    </w:p>
    <w:p/>
    <w:p>
      <w:pPr>
        <w:jc w:val="center"/>
      </w:pPr>
      <w:r>
        <w:rPr>
          <w:i/>
          <w:sz w:val="18"/>
        </w:rPr>
        <w:t>Data sources: WHO FluNet (Global Influenza Programme), Australian PBS (Department of Health), Kaggle Pharma Sales Dataset (Zdravkovic, 2019), Open Medic AMELI France (Assurance Maladie, data.gouv.fr, 2014-2024).</w:t>
      </w:r>
    </w:p>
    <w:p>
      <w:r>
        <w:br w:type="page"/>
      </w:r>
    </w:p>
    <w:p>
      <w:pPr>
        <w:pStyle w:val="Heading1"/>
      </w:pPr>
      <w:r>
        <w:rPr>
          <w:color w:val="1F4E79"/>
          <w:sz w:val="32"/>
        </w:rPr>
        <w:t>Abstract</w:t>
      </w:r>
    </w:p>
    <w:p/>
    <w:p>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pPr>
        <w:spacing w:after="160"/>
      </w:pPr>
      <w:r>
        <w:t xml:space="preserve">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r>
        <w:br w:type="page"/>
      </w:r>
    </w:p>
    <w:p>
      <w:pPr>
        <w:pStyle w:val="Heading1"/>
      </w:pPr>
      <w:r>
        <w:rPr>
          <w:color w:val="1F4E79"/>
          <w:sz w:val="32"/>
        </w:rPr>
        <w:t>Table of Contents</w:t>
      </w:r>
    </w:p>
    <w:p/>
    <w:p>
      <w:pPr>
        <w:spacing w:after="40"/>
      </w:pPr>
      <w:r>
        <w:t>List of Figures</w:t>
      </w:r>
    </w:p>
    <w:p>
      <w:pPr>
        <w:spacing w:after="40"/>
      </w:pPr>
      <w:r>
        <w:t>List of Tables</w:t>
      </w:r>
    </w:p>
    <w:p>
      <w:pPr>
        <w:spacing w:after="40"/>
      </w:pPr>
      <w:r>
        <w:t>1. Introduction</w:t>
      </w:r>
    </w:p>
    <w:p>
      <w:pPr>
        <w:spacing w:after="40"/>
      </w:pPr>
      <w:r>
        <w:t xml:space="preserve">   1.1. Context and Motivation</w:t>
      </w:r>
    </w:p>
    <w:p>
      <w:pPr>
        <w:spacing w:after="40"/>
      </w:pPr>
      <w:r>
        <w:t xml:space="preserve">   1.2. Problem Statement</w:t>
      </w:r>
    </w:p>
    <w:p>
      <w:pPr>
        <w:spacing w:after="40"/>
      </w:pPr>
      <w:r>
        <w:t xml:space="preserve">   1.3. Objectives</w:t>
      </w:r>
    </w:p>
    <w:p>
      <w:pPr>
        <w:spacing w:after="40"/>
      </w:pPr>
      <w:r>
        <w:t>2. Literature Review</w:t>
      </w:r>
    </w:p>
    <w:p>
      <w:pPr>
        <w:spacing w:after="40"/>
      </w:pPr>
      <w:r>
        <w:t xml:space="preserve">   2.1. Pharmaceutical Inventory Management and Demand Forecasting</w:t>
      </w:r>
    </w:p>
    <w:p>
      <w:pPr>
        <w:spacing w:after="40"/>
      </w:pPr>
      <w:r>
        <w:t xml:space="preserve">   2.2. Seasonal Influenza Epidemiology and the Cross-Hemispheric Lead-Lag</w:t>
      </w:r>
    </w:p>
    <w:p>
      <w:pPr>
        <w:spacing w:after="40"/>
      </w:pPr>
      <w:r>
        <w:t xml:space="preserve">   2.3. Machine Learning Methods for Pharmaceutical and Healthcare Demand Forecasting</w:t>
      </w:r>
    </w:p>
    <w:p>
      <w:pPr>
        <w:spacing w:after="40"/>
      </w:pPr>
      <w:r>
        <w:t xml:space="preserve">   2.4. Research Gap and Thesis Contribution</w:t>
      </w:r>
    </w:p>
    <w:p>
      <w:pPr>
        <w:spacing w:after="40"/>
      </w:pPr>
      <w:r>
        <w:t>3. Background</w:t>
      </w:r>
    </w:p>
    <w:p>
      <w:pPr>
        <w:spacing w:after="40"/>
      </w:pPr>
      <w:r>
        <w:t xml:space="preserve">   3.1. Challenges in Pharmaceutical Supply Chain Management</w:t>
      </w:r>
    </w:p>
    <w:p>
      <w:pPr>
        <w:spacing w:after="40"/>
      </w:pPr>
      <w:r>
        <w:t xml:space="preserve">   3.2. Seasonality and the Lead-Lag Effect in Respiratory Medicine</w:t>
      </w:r>
    </w:p>
    <w:p>
      <w:pPr>
        <w:spacing w:after="40"/>
      </w:pPr>
      <w:r>
        <w:t xml:space="preserve">   3.3. Time Series Forecasting and Machine Learning</w:t>
      </w:r>
    </w:p>
    <w:p>
      <w:pPr>
        <w:spacing w:after="40"/>
      </w:pPr>
      <w:r>
        <w:t xml:space="preserve">   3.4. Business Intelligence and Decision Making</w:t>
      </w:r>
    </w:p>
    <w:p>
      <w:pPr>
        <w:spacing w:after="40"/>
      </w:pPr>
      <w:r>
        <w:t xml:space="preserve">   3.5. The Bullwhip Effect in the Pharmaceutical Supply Chain</w:t>
      </w:r>
    </w:p>
    <w:p>
      <w:pPr>
        <w:spacing w:after="40"/>
      </w:pPr>
      <w:r>
        <w:t xml:space="preserve">   3.6. Model Comparison: Statistical vs. Non-Linear Machine Learning</w:t>
      </w:r>
    </w:p>
    <w:p>
      <w:pPr>
        <w:spacing w:after="40"/>
      </w:pPr>
      <w:r>
        <w:t>4. Methodology</w:t>
      </w:r>
    </w:p>
    <w:p>
      <w:pPr>
        <w:spacing w:after="40"/>
      </w:pPr>
      <w:r>
        <w:t xml:space="preserve">   4.1. Data Understanding and Source Validation</w:t>
      </w:r>
    </w:p>
    <w:p>
      <w:pPr>
        <w:spacing w:after="40"/>
      </w:pPr>
      <w:r>
        <w:t xml:space="preserve">   4.2. Data Cleaning and Transformation</w:t>
      </w:r>
    </w:p>
    <w:p>
      <w:pPr>
        <w:spacing w:after="40"/>
      </w:pPr>
      <w:r>
        <w:t xml:space="preserve">   4.3. Methodological Correction: Elimination of the Synthetic Proxy</w:t>
      </w:r>
    </w:p>
    <w:p>
      <w:pPr>
        <w:spacing w:after="40"/>
      </w:pPr>
      <w:r>
        <w:t xml:space="preserve">   4.4. Dataset 4: Open Medic AMELI France (Market Validation)</w:t>
      </w:r>
    </w:p>
    <w:p>
      <w:pPr>
        <w:spacing w:after="40"/>
      </w:pPr>
      <w:r>
        <w:t>5. Exploratory Data Analysis (EDA)</w:t>
      </w:r>
    </w:p>
    <w:p>
      <w:pPr>
        <w:spacing w:after="40"/>
      </w:pPr>
      <w:r>
        <w:t xml:space="preserve">   5.1. Real Cross-Hemispheric Correlation Analysis</w:t>
      </w:r>
    </w:p>
    <w:p>
      <w:pPr>
        <w:spacing w:after="40"/>
      </w:pPr>
      <w:r>
        <w:t xml:space="preserve">   5.2. Time-Series Data Splitting and Prevention of Data Leakage</w:t>
      </w:r>
    </w:p>
    <w:p>
      <w:pPr>
        <w:spacing w:after="40"/>
      </w:pPr>
      <w:r>
        <w:t xml:space="preserve">   5.3. Advanced Data Processing: Outliers and Sparsity</w:t>
      </w:r>
    </w:p>
    <w:p>
      <w:pPr>
        <w:spacing w:after="40"/>
      </w:pPr>
      <w:r>
        <w:t xml:space="preserve">   5.4. Predictive Modelling Strategy</w:t>
      </w:r>
    </w:p>
    <w:p>
      <w:pPr>
        <w:spacing w:after="40"/>
      </w:pPr>
      <w:r>
        <w:t>6. Model Development and Optimisation</w:t>
      </w:r>
    </w:p>
    <w:p>
      <w:pPr>
        <w:spacing w:after="40"/>
      </w:pPr>
      <w:r>
        <w:t xml:space="preserve">   6.0. Research Journey: Iterative Data and Model Evolution</w:t>
      </w:r>
    </w:p>
    <w:p>
      <w:pPr>
        <w:spacing w:after="40"/>
      </w:pPr>
      <w:r>
        <w:t xml:space="preserve">   6.1. Mathematical Foundations of the XGBoost Algorithm</w:t>
      </w:r>
    </w:p>
    <w:p>
      <w:pPr>
        <w:spacing w:after="40"/>
      </w:pPr>
      <w:r>
        <w:t xml:space="preserve">   6.2. Step-by-Step Implementation with Real Data</w:t>
      </w:r>
    </w:p>
    <w:p>
      <w:pPr>
        <w:spacing w:after="40"/>
      </w:pPr>
      <w:r>
        <w:t xml:space="preserve">   6.3. Model Validation</w:t>
      </w:r>
    </w:p>
    <w:p>
      <w:pPr>
        <w:spacing w:after="40"/>
      </w:pPr>
      <w:r>
        <w:t xml:space="preserve">   6.4. Statistical Metrics</w:t>
      </w:r>
    </w:p>
    <w:p>
      <w:pPr>
        <w:spacing w:after="40"/>
      </w:pPr>
      <w:r>
        <w:t xml:space="preserve">   6.5. Use Case Simulation</w:t>
      </w:r>
    </w:p>
    <w:p>
      <w:pPr>
        <w:spacing w:after="40"/>
      </w:pPr>
      <w:r>
        <w:t xml:space="preserve">   6.6. Phase 2 Optimisation and Feature Engineering</w:t>
      </w:r>
    </w:p>
    <w:p>
      <w:pPr>
        <w:spacing w:after="40"/>
      </w:pPr>
      <w:r>
        <w:t xml:space="preserve">   6.7. SHAP Explainability Analysis</w:t>
      </w:r>
    </w:p>
    <w:p>
      <w:pPr>
        <w:spacing w:after="40"/>
      </w:pPr>
      <w:r>
        <w:t xml:space="preserve">   6.8. Walk-Forward Validation</w:t>
      </w:r>
    </w:p>
    <w:p>
      <w:pPr>
        <w:spacing w:after="40"/>
      </w:pPr>
      <w:r>
        <w:t xml:space="preserve">   6.9. SARIMA Baseline Comparison</w:t>
      </w:r>
    </w:p>
    <w:p>
      <w:pPr>
        <w:spacing w:after="40"/>
      </w:pPr>
      <w:r>
        <w:t xml:space="preserve">   6.10. Inventory Simulation</w:t>
      </w:r>
    </w:p>
    <w:p>
      <w:pPr>
        <w:spacing w:after="40"/>
      </w:pPr>
      <w:r>
        <w:t xml:space="preserve">   6.11. Southern Hemisphere Validation</w:t>
      </w:r>
    </w:p>
    <w:p>
      <w:pPr>
        <w:spacing w:after="40"/>
      </w:pPr>
      <w:r>
        <w:t xml:space="preserve">   6.12. R06 Model — Framework Generalisation</w:t>
      </w:r>
    </w:p>
    <w:p>
      <w:pPr>
        <w:spacing w:after="40"/>
      </w:pPr>
      <w:r>
        <w:t xml:space="preserve">   6.13. Advanced Experiments: Ensemble and Seasonal Switching Rule</w:t>
      </w:r>
    </w:p>
    <w:p>
      <w:pPr>
        <w:spacing w:after="40"/>
      </w:pPr>
      <w:r>
        <w:t xml:space="preserve">   6.14. Prophet Baseline: Third Model Comparison</w:t>
      </w:r>
    </w:p>
    <w:p>
      <w:pPr>
        <w:spacing w:after="40"/>
      </w:pPr>
      <w:r>
        <w:t>7. Business Intelligence Translation</w:t>
      </w:r>
    </w:p>
    <w:p>
      <w:pPr>
        <w:spacing w:after="40"/>
      </w:pPr>
      <w:r>
        <w:t xml:space="preserve">   7.1. From Reactive to Predictive Inventory Management</w:t>
      </w:r>
    </w:p>
    <w:p>
      <w:pPr>
        <w:spacing w:after="40"/>
      </w:pPr>
      <w:r>
        <w:t xml:space="preserve">   7.2. Operational Integration within the Supply Chain</w:t>
      </w:r>
    </w:p>
    <w:p>
      <w:pPr>
        <w:spacing w:after="40"/>
      </w:pPr>
      <w:r>
        <w:t xml:space="preserve">   7.3. Implemented Streamlit Decision-Support Dashboard</w:t>
      </w:r>
    </w:p>
    <w:p>
      <w:pPr>
        <w:spacing w:after="40"/>
      </w:pPr>
      <w:r>
        <w:t xml:space="preserve">   7.4. Change Management and User Adoption</w:t>
      </w:r>
    </w:p>
    <w:p>
      <w:pPr>
        <w:spacing w:after="40"/>
      </w:pPr>
      <w:r>
        <w:t xml:space="preserve">   7.5. Theoretical ROI and Financial Impact</w:t>
      </w:r>
    </w:p>
    <w:p>
      <w:pPr>
        <w:spacing w:after="40"/>
      </w:pPr>
      <w:r>
        <w:t>8. Conclusions</w:t>
      </w:r>
    </w:p>
    <w:p>
      <w:pPr>
        <w:spacing w:after="40"/>
      </w:pPr>
      <w:r>
        <w:t xml:space="preserve">   8.1. Study Limitations</w:t>
      </w:r>
    </w:p>
    <w:p>
      <w:pPr>
        <w:spacing w:after="40"/>
      </w:pPr>
      <w:r>
        <w:t xml:space="preserve">   8.2. Future Work</w:t>
      </w:r>
    </w:p>
    <w:p>
      <w:pPr>
        <w:spacing w:after="40"/>
      </w:pPr>
      <w:r>
        <w:t>9. Bibliography</w:t>
      </w:r>
    </w:p>
    <w:p>
      <w:pPr>
        <w:spacing w:after="40"/>
      </w:pPr>
      <w:r>
        <w:t>10. Appendices</w:t>
      </w:r>
    </w:p>
    <w:p>
      <w:r>
        <w:br w:type="page"/>
      </w:r>
    </w:p>
    <w:p>
      <w:pPr>
        <w:pStyle w:val="Heading1"/>
      </w:pPr>
      <w:r>
        <w:rPr>
          <w:color w:val="1F4E79"/>
          <w:sz w:val="32"/>
        </w:rPr>
        <w:t>List of Figures</w:t>
      </w:r>
    </w:p>
    <w:p/>
    <w:p>
      <w:pPr>
        <w:spacing w:after="80"/>
      </w:pPr>
      <w:r>
        <w:rPr>
          <w:b/>
          <w:sz w:val="20"/>
        </w:rPr>
        <w:t xml:space="preserve">Figure 1:  </w:t>
      </w:r>
      <w:r>
        <w:rPr>
          <w:sz w:val="20"/>
        </w:rPr>
        <w:t>Cross-Correlation Function: Australian vs European influenza activity (WHO FluNet, 1997-2026), with peak at lag -28 weeks (r = 0.70, p &lt; 0.001).</w:t>
      </w:r>
    </w:p>
    <w:p>
      <w:pPr>
        <w:spacing w:after="80"/>
      </w:pPr>
      <w:r>
        <w:rPr>
          <w:b/>
          <w:sz w:val="20"/>
        </w:rPr>
        <w:t xml:space="preserve">Figure 2:  </w:t>
      </w:r>
      <w:r>
        <w:rPr>
          <w:sz w:val="20"/>
        </w:rPr>
        <w:t>XGBoost Model B — test set predictions vs actual R03 demand (60-week holdout period) with residual analysis.</w:t>
      </w:r>
    </w:p>
    <w:p>
      <w:pPr>
        <w:spacing w:after="80"/>
      </w:pPr>
      <w:r>
        <w:rPr>
          <w:b/>
          <w:sz w:val="20"/>
        </w:rPr>
        <w:t xml:space="preserve">Figure 3:  </w:t>
      </w:r>
      <w:r>
        <w:rPr>
          <w:sz w:val="20"/>
        </w:rPr>
        <w:t>SHAP global feature importance — mean absolute SHAP values for all model features across the test set.</w:t>
      </w:r>
    </w:p>
    <w:p>
      <w:pPr>
        <w:spacing w:after="80"/>
      </w:pPr>
      <w:r>
        <w:rPr>
          <w:b/>
          <w:sz w:val="20"/>
        </w:rPr>
        <w:t xml:space="preserve">Figure 4:  </w:t>
      </w:r>
      <w:r>
        <w:rPr>
          <w:sz w:val="20"/>
        </w:rPr>
        <w:t>SHAP waterfall chart — individual prediction decomposition for the highest-demand observation in the test set.</w:t>
      </w:r>
    </w:p>
    <w:p>
      <w:pPr>
        <w:spacing w:after="80"/>
      </w:pPr>
      <w:r>
        <w:rPr>
          <w:b/>
          <w:sz w:val="20"/>
        </w:rPr>
        <w:t xml:space="preserve">Figure 5:  </w:t>
      </w:r>
      <w:r>
        <w:rPr>
          <w:sz w:val="20"/>
        </w:rPr>
        <w:t>SHAP dependence plot — contribution of the 26-week lagged Australian flu signal as a function of its value.</w:t>
      </w:r>
    </w:p>
    <w:p>
      <w:pPr>
        <w:spacing w:after="80"/>
      </w:pPr>
      <w:r>
        <w:rPr>
          <w:b/>
          <w:sz w:val="20"/>
        </w:rPr>
        <w:t xml:space="preserve">Figure 6:  </w:t>
      </w:r>
      <w:r>
        <w:rPr>
          <w:sz w:val="20"/>
        </w:rPr>
        <w:t>Walk-Forward Validation — 192 out-of-sample predictions across 48 expanding-window folds, with per-fold MAPE comparison between Model A and Model B.</w:t>
      </w:r>
    </w:p>
    <w:p>
      <w:pPr>
        <w:spacing w:after="80"/>
      </w:pPr>
      <w:r>
        <w:rPr>
          <w:b/>
          <w:sz w:val="20"/>
        </w:rPr>
        <w:t xml:space="preserve">Figure 7:  </w:t>
      </w:r>
      <w:r>
        <w:rPr>
          <w:sz w:val="20"/>
        </w:rPr>
        <w:t>SARIMA forecast comparison — out-of-sample predictions (SARIMA, XGBoost, naive baseline) against actual R03 demand, with SARIMA 80% confidence interval.</w:t>
      </w:r>
    </w:p>
    <w:p>
      <w:pPr>
        <w:spacing w:after="80"/>
      </w:pPr>
      <w:r>
        <w:rPr>
          <w:b/>
          <w:sz w:val="20"/>
        </w:rPr>
        <w:t xml:space="preserve">Figure 8:  </w:t>
      </w:r>
      <w:r>
        <w:rPr>
          <w:sz w:val="20"/>
        </w:rPr>
        <w:t>SARIMA residual diagnostics — residuals over time, distribution histogram, and Q-Q plot for SARIMA(0,1,1)(0,0,0,52).</w:t>
      </w:r>
    </w:p>
    <w:p>
      <w:pPr>
        <w:spacing w:after="80"/>
      </w:pPr>
      <w:r>
        <w:rPr>
          <w:b/>
          <w:sz w:val="20"/>
        </w:rPr>
        <w:t xml:space="preserve">Figure 9:  </w:t>
      </w:r>
      <w:r>
        <w:rPr>
          <w:sz w:val="20"/>
        </w:rPr>
        <w:t>(s,Q) Inventory Simulation — four-panel comparison of stock level evolution across Naive, XGBoost, SARIMA, and Perfect Foresight scenarios.</w:t>
      </w:r>
    </w:p>
    <w:p>
      <w:pPr>
        <w:spacing w:after="80"/>
      </w:pPr>
      <w:r>
        <w:rPr>
          <w:b/>
          <w:sz w:val="20"/>
        </w:rPr>
        <w:t xml:space="preserve">Figure 10:  </w:t>
      </w:r>
      <w:r>
        <w:rPr>
          <w:sz w:val="20"/>
        </w:rPr>
        <w:t>Southern Hemisphere CCF curves — cross-correlation functions for seven SH countries against European FluNet activity at lags 0-52 weeks.</w:t>
      </w:r>
    </w:p>
    <w:p>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r>
        <w:br w:type="page"/>
      </w:r>
    </w:p>
    <w:p>
      <w:pPr>
        <w:pStyle w:val="Heading1"/>
      </w:pPr>
      <w:r>
        <w:rPr>
          <w:color w:val="1F4E79"/>
          <w:sz w:val="32"/>
        </w:rPr>
        <w:t>List of Tables</w:t>
      </w:r>
    </w:p>
    <w:p/>
    <w:p>
      <w:pPr>
        <w:spacing w:after="80"/>
      </w:pPr>
      <w:r>
        <w:rPr>
          <w:b/>
          <w:sz w:val="20"/>
        </w:rPr>
        <w:t xml:space="preserve">Table 1:  </w:t>
      </w:r>
      <w:r>
        <w:rPr>
          <w:sz w:val="20"/>
        </w:rPr>
        <w:t>Cross-Correlation summary — Pearson r at selected lags between Australian and European FluNet series (n = 1,531).</w:t>
      </w:r>
    </w:p>
    <w:p>
      <w:pPr>
        <w:spacing w:after="80"/>
      </w:pPr>
      <w:r>
        <w:rPr>
          <w:b/>
          <w:sz w:val="20"/>
        </w:rPr>
        <w:t xml:space="preserve">Table 2:  </w:t>
      </w:r>
      <w:r>
        <w:rPr>
          <w:sz w:val="20"/>
        </w:rPr>
        <w:t>Feature engineering summary — autoregressive and exogenous features used in XGBoost Model A and Model B.</w:t>
      </w:r>
    </w:p>
    <w:p>
      <w:pPr>
        <w:spacing w:after="80"/>
      </w:pPr>
      <w:r>
        <w:rPr>
          <w:b/>
          <w:sz w:val="20"/>
        </w:rPr>
        <w:t xml:space="preserve">Table 3:  </w:t>
      </w:r>
      <w:r>
        <w:rPr>
          <w:sz w:val="20"/>
        </w:rPr>
        <w:t>Model performance comparison — MAE, RMSE, MAPE, R2 for all model variants on the 60-week test set.</w:t>
      </w:r>
    </w:p>
    <w:p>
      <w:pPr>
        <w:spacing w:after="80"/>
      </w:pPr>
      <w:r>
        <w:rPr>
          <w:b/>
          <w:sz w:val="20"/>
        </w:rPr>
        <w:t xml:space="preserve">Table 4:  </w:t>
      </w:r>
      <w:r>
        <w:rPr>
          <w:sz w:val="20"/>
        </w:rPr>
        <w:t>SHAP feature importance ranking — mean absolute SHAP value and percentage contribution per feature.</w:t>
      </w:r>
    </w:p>
    <w:p>
      <w:pPr>
        <w:spacing w:after="80"/>
      </w:pPr>
      <w:r>
        <w:rPr>
          <w:b/>
          <w:sz w:val="20"/>
        </w:rPr>
        <w:t xml:space="preserve">Table 5:  </w:t>
      </w:r>
      <w:r>
        <w:rPr>
          <w:sz w:val="20"/>
        </w:rPr>
        <w:t>Walk-Forward Validation summary — mean MAPE, median MAPE, and fold win rate for Model A vs Model B across 48 folds.</w:t>
      </w:r>
    </w:p>
    <w:p>
      <w:pPr>
        <w:spacing w:after="80"/>
      </w:pPr>
      <w:r>
        <w:rPr>
          <w:b/>
          <w:sz w:val="20"/>
        </w:rPr>
        <w:t xml:space="preserve">Table 6:  </w:t>
      </w:r>
      <w:r>
        <w:rPr>
          <w:sz w:val="20"/>
        </w:rPr>
        <w:t>SARIMA(0,1,1)(0,0,0,52) model selection — AIC, BIC, log-likelihood, and performance metrics vs XGBoost and naive baseline.</w:t>
      </w:r>
    </w:p>
    <w:p>
      <w:pPr>
        <w:spacing w:after="80"/>
      </w:pPr>
      <w:r>
        <w:rPr>
          <w:b/>
          <w:sz w:val="20"/>
        </w:rPr>
        <w:t xml:space="preserve">Table 7:  </w:t>
      </w:r>
      <w:r>
        <w:rPr>
          <w:sz w:val="20"/>
        </w:rPr>
        <w:t>Inventory simulation KPIs — service level, stockout weeks, average stock, orders placed, and cost breakdown per scenario.</w:t>
      </w:r>
    </w:p>
    <w:p>
      <w:pPr>
        <w:spacing w:after="80"/>
      </w:pPr>
      <w:r>
        <w:rPr>
          <w:b/>
          <w:sz w:val="20"/>
        </w:rPr>
        <w:t xml:space="preserve">Table 8:  </w:t>
      </w:r>
      <w:r>
        <w:rPr>
          <w:sz w:val="20"/>
        </w:rPr>
        <w:t>Southern Hemisphere multi-country CCF — peak correlation, optimal lag, p-value, and isolated-model MAPE for seven countries.</w:t>
      </w:r>
    </w:p>
    <w:p>
      <w:r>
        <w:br w:type="page"/>
      </w:r>
    </w:p>
    <w:p>
      <w:pPr>
        <w:pStyle w:val="Heading1"/>
      </w:pPr>
      <w:r>
        <w:rPr>
          <w:color w:val="1F4E79"/>
          <w:sz w:val="32"/>
        </w:rPr>
        <w:t>1. Introduction</w:t>
      </w:r>
    </w:p>
    <w:p/>
    <w:p>
      <w:pPr>
        <w:pStyle w:val="Heading2"/>
      </w:pPr>
      <w:r>
        <w:rPr>
          <w:color w:val="2E75B6"/>
          <w:sz w:val="26"/>
        </w:rPr>
        <w:t>1.1. Context and Motivation</w:t>
      </w:r>
    </w:p>
    <w:p>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pPr>
        <w:spacing w:after="160"/>
      </w:pPr>
      <w:r>
        <w:t>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pPr>
        <w:pStyle w:val="Heading2"/>
      </w:pPr>
      <w:r>
        <w:rPr>
          <w:color w:val="2E75B6"/>
          <w:sz w:val="26"/>
        </w:rPr>
        <w:t>1.2. Problem Statement</w:t>
      </w:r>
    </w:p>
    <w:p>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pPr>
        <w:pStyle w:val="ListBullet"/>
      </w:pPr>
      <w:r>
        <w:t>R03 (Drugs for Obstructive Airway Diseases): Includes bronchodilators and inhalers whose demand is tightly coupled to viral respiratory infection peaks and temperature-driven exacerbations of chronic conditions such as asthma and COPD.</w:t>
      </w:r>
    </w:p>
    <w:p>
      <w:pPr>
        <w:pStyle w:val="ListBullet"/>
      </w:pPr>
      <w:r>
        <w:t>R06 (Antihistamines for Systemic Use): Demand peaks during both the spring pollination season and the cold-and-flu season, when antihistamines are widely used for symptomatic congestion relief.</w:t>
      </w:r>
    </w:p>
    <w:p>
      <w:pPr>
        <w:spacing w:after="160"/>
      </w:pPr>
      <w:r>
        <w:t xml:space="preserve">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pPr>
        <w:pStyle w:val="Heading2"/>
      </w:pPr>
      <w:r>
        <w:rPr>
          <w:color w:val="2E75B6"/>
          <w:sz w:val="26"/>
        </w:rPr>
        <w:t>1.3. Objectives</w:t>
      </w:r>
    </w:p>
    <w:p>
      <w:pPr>
        <w:pStyle w:val="Heading3"/>
      </w:pPr>
      <w:r>
        <w:rPr>
          <w:b/>
          <w:color w:val="2E75B6"/>
          <w:sz w:val="24"/>
        </w:rPr>
        <w:t>1.3.1. General Objective</w:t>
      </w:r>
    </w:p>
    <w:p>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Australia–North America), other seasonal respiratory conditions, and future pandemic preparedness applications.</w:t>
      </w:r>
    </w:p>
    <w:p>
      <w:pPr>
        <w:pStyle w:val="Heading3"/>
      </w:pPr>
      <w:r>
        <w:rPr>
          <w:b/>
          <w:color w:val="2E75B6"/>
          <w:sz w:val="24"/>
        </w:rPr>
        <w:t>1.3.2. Specific Objectives</w:t>
      </w:r>
    </w:p>
    <w:p>
      <w:pPr>
        <w:pStyle w:val="ListNumber"/>
      </w:pPr>
      <w:r>
        <w:t>Real Data Engineering: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pPr>
        <w:pStyle w:val="ListNumber"/>
      </w:pPr>
      <w:r>
        <w:t>Methodological Correction: To formally identify, document, and correct the data leakage present in the original synthetic proxy approach, replacing it with a validated, independent cross-hemispheric signal.</w:t>
      </w:r>
    </w:p>
    <w:p>
      <w:pPr>
        <w:pStyle w:val="ListNumber"/>
      </w:pPr>
      <w:r>
        <w:t>Empirical Lead-Lag Validation: To quantify the hemispheric lead-lag using cross-correlation analysis on real WHO FluNet data spanning 1,531 weeks, establishing the empirical basis for the 26-28 week forecasting window.</w:t>
      </w:r>
    </w:p>
    <w:p>
      <w:pPr>
        <w:pStyle w:val="ListNumber"/>
      </w:pPr>
      <w:r>
        <w:t>Algorithm Development: To implement an XGBoost regression model that leverages the real epidemiological lag features alongside autoregressive variables, with strict chronological data splitting to prevent temporal leakage.</w:t>
      </w:r>
    </w:p>
    <w:p>
      <w:pPr>
        <w:pStyle w:val="ListNumber"/>
      </w:pPr>
      <w:r>
        <w:t>Business Intelligence Translation: To convert statistical forecasting outputs into actionable supply chain intelligence, enabling the transition from reactive to proactive inventory management within a pharmaceutical S&amp;OP framework.</w:t>
      </w:r>
    </w:p>
    <w:p>
      <w:r>
        <w:br w:type="page"/>
      </w:r>
    </w:p>
    <w:p>
      <w:pPr>
        <w:pStyle w:val="Heading1"/>
      </w:pPr>
      <w:r>
        <w:rPr>
          <w:color w:val="1F4E79"/>
          <w:sz w:val="32"/>
        </w:rPr>
        <w:t>2. Literature Review</w:t>
      </w:r>
    </w:p>
    <w:p/>
    <w:p>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pPr>
        <w:pStyle w:val="Heading2"/>
      </w:pPr>
      <w:r>
        <w:rPr>
          <w:color w:val="2E75B6"/>
          <w:sz w:val="26"/>
        </w:rPr>
        <w:t>2.1. Pharmaceutical Inventory Management and Demand Forecasting</w:t>
      </w:r>
    </w:p>
    <w:p>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pPr>
        <w:spacing w:after="160"/>
      </w:pPr>
      <w:r>
        <w:t>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pPr>
        <w:pStyle w:val="Heading2"/>
      </w:pPr>
      <w:r>
        <w:rPr>
          <w:color w:val="2E75B6"/>
          <w:sz w:val="26"/>
        </w:rPr>
        <w:t>2.2. Seasonal Influenza Epidemiology and the Cross-Hemispheric Lead-Lag</w:t>
      </w:r>
    </w:p>
    <w:p>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pPr>
        <w:spacing w:after="160"/>
      </w:pPr>
      <w:r>
        <w:t>Cross-correlation analysis conducted in this thesis on 1,531 aligned weekly observations of WHO FluNet data confirms that the hemispheric lead-lag is bidirectional with near-equal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pPr>
        <w:pStyle w:val="Heading2"/>
      </w:pPr>
      <w:r>
        <w:rPr>
          <w:color w:val="2E75B6"/>
          <w:sz w:val="26"/>
        </w:rPr>
        <w:t>2.3. Machine Learning Methods for Pharmaceutical and Healthcare Demand Forecasting</w:t>
      </w:r>
    </w:p>
    <w:p>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pPr>
        <w:spacing w:after="160"/>
      </w:pPr>
      <w:r>
        <w:t>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pPr>
        <w:spacing w:after="160"/>
      </w:pPr>
      <w:r>
        <w:t>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pPr>
        <w:pStyle w:val="Heading2"/>
      </w:pPr>
      <w:r>
        <w:rPr>
          <w:color w:val="2E75B6"/>
          <w:sz w:val="26"/>
        </w:rPr>
        <w:t>2.4. Research Gap and Thesis Contribution</w:t>
      </w:r>
    </w:p>
    <w:p>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pPr>
        <w:spacing w:after="160"/>
      </w:pPr>
      <w:r>
        <w:t>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and circular data use is easily obscured by the intuitive appeal of the hemispheric lag story.</w:t>
      </w:r>
    </w:p>
    <w:p>
      <w:r>
        <w:br w:type="page"/>
      </w:r>
    </w:p>
    <w:p>
      <w:pPr>
        <w:pStyle w:val="Heading1"/>
      </w:pPr>
      <w:r>
        <w:rPr>
          <w:color w:val="1F4E79"/>
          <w:sz w:val="32"/>
        </w:rPr>
        <w:t>3. Background</w:t>
      </w:r>
    </w:p>
    <w:p/>
    <w:p>
      <w:pPr>
        <w:pStyle w:val="Heading2"/>
      </w:pPr>
      <w:r>
        <w:rPr>
          <w:color w:val="2E75B6"/>
          <w:sz w:val="26"/>
        </w:rPr>
        <w:t>3.1. Challenges in Pharmaceutical Supply Chain Management</w:t>
      </w:r>
    </w:p>
    <w:p>
      <w:pPr>
        <w:spacing w:after="160"/>
      </w:pPr>
      <w:r>
        <w:t>The pharmaceutical inventory ecosystem is characterised by extreme operational complexity that distinguishes it fundamentally from standard retail supply chain management. This complexity arises from the convergence of three structural pressures: strict regulatory frameworks, the physical perishability of pharmaceutical products, and the critical, often life-sustaining nature of patient demand (Kelle et al., 2012).</w:t>
      </w:r>
    </w:p>
    <w:p>
      <w:pPr>
        <w:spacing w:after="160"/>
      </w:pPr>
      <w:r>
        <w:t>Regulatory frameworks impose hard constraints on inventory management behaviour. In Spain, the Law on Guarantees and Rational Use of Medicines and Medical Devices (Royal Legislative Decree 1/2015) legally mandates that pharmacies and distributors maintain minimum stock levels sufficient to guarantee continuous patient access. At the European level, the European Medicines Agency (EMA, 2023) has issued explicit guidance on the management of shortages of critical medicinal products, establishing a regulatory obligation to prevent supply chain failures for essential respiratory treatments.</w:t>
      </w:r>
    </w:p>
    <w:p>
      <w:pPr>
        <w:spacing w:after="160"/>
      </w:pPr>
      <w:r>
        <w:t>These regulatory imperatives create what Dutta et al. (2020) characterise as a 'dual risk' dilemma for inventory managers: insufficient demand forecasting creates life-threatening shortages and regulatory penalties, while aggressive overstocking to ensure compliance generates product expiration, capital waste, and expensive hazardous disposal procedures. For the R03 group — which encompasses life-saving asthma and COPD interventions such as bronchodilator inhalers — a stockout during a winter respiratory peak can result in hospitalisations or fatalities (Pauwels et al., 2001).</w:t>
      </w:r>
    </w:p>
    <w:p>
      <w:pPr>
        <w:spacing w:after="160"/>
      </w:pPr>
      <w:r>
        <w:t xml:space="preserve">The inventory compliance challenge is not geographically specific to Spain or Europe. Analogous regulatory frameworks operate globally: in the United States, the Food and Drug Administration (FDA) enforces drug shortage reporting obligations under the Food and Drug Administration Safety and Innovation Act (FDASIA, 2012), requiring manufacturers to notify the FDA at least six months before any permanent discontinuation or significant interruption of production. In Australia, the Therapeutic Goods Administration (TGA) maintains a Medicine Shortage Reporting Protocol that compels sponsors to report anticipated supply disruptions affecting public health. These international parallels confirm that pharmaceutical inventory compliance under seasonal demand uncertainty is a structural challenge across all major regulatory jurisdictions — not a Spain-specific or Europe-specific problem — and therefore a research target with globally generalisable value.</w:t>
      </w:r>
    </w:p>
    <w:p>
      <w:pPr>
        <w:spacing w:after="160"/>
      </w:pPr>
      <w:r>
        <w:t xml:space="preserve">A critical question for contextualising this research is whether current pharmaceutical inventory management methods actually succeed in meeting these regulatory requirements. The evidence suggests they do so imperfectly and reactively. Tucker et al. (2020), in a scoping review of 685 shortage-related publications spanning 2001–2019, found that drug shortage events continued to increase in frequency and severity throughout the review period despite tightening regulatory obligations — indicating that compliance is achieved through reactive emergency procurement rather than robust forward planning. In Spain specifically, the Agencia Española de Medicamentos y Productos Sanitarios (AEMPS) has documented recurring seasonal shortfalls in respiratory medication supply during peak influenza winters, with pharmacies sourcing alternative products or issuing partial dispensations during high-demand weeks. The fundamental diagnosis is consistent across geographies: existing forecasting methods provide insufficient advance warning of seasonal demand spikes, forcing supply chains into reactive mode precisely when regulatory compliance is most critical. It is this compliance gap — not a theoretical deficiency but a documented operational failure — that the predictive framework developed in this study is designed to close.</w:t>
      </w:r>
    </w:p>
    <w:p>
      <w:pPr>
        <w:pStyle w:val="Heading2"/>
      </w:pPr>
      <w:r>
        <w:rPr>
          <w:color w:val="2E75B6"/>
          <w:sz w:val="26"/>
        </w:rPr>
        <w:t>3.2. Seasonality and the Lead-Lag Effect in Respiratory Medicine</w:t>
      </w:r>
    </w:p>
    <w:p>
      <w:pPr>
        <w:spacing w:after="160"/>
      </w:pPr>
      <w:r>
        <w:t>The epidemiological basis of the hemispheric lead-lag relationship is introduced in Section 1.1 and situated within its global multi-directional context; a comprehensive review of the academic literature supporting it is provided in Section 2.2. This background section focuses on its operational consequences for pharmaceutical demand planning.</w:t>
      </w:r>
    </w:p>
    <w:p>
      <w:pPr>
        <w:spacing w:after="160"/>
      </w:pPr>
      <w:r>
        <w:t>The 26–28 week lead time between Australian winter influenza peaks (June–August) and European demand peaks (December–February) translates directly into two distinct demand signatures. For the R03 therapeutic class (drugs for obstructive airway diseases, principally inhalers and bronchodilators), viral respiratory peaks and temperature-driven cold air exposure trigger exacerbations in patients with chronic conditions, producing a sharp, predictable demand surge during December–February that is poorly captured by univariate historical models (Pauwels et al., 2001; Syntetos et al., 2016). For the R06 class (systemic antihistamines), a secondary cold-and-flu season peak compounds the primary spring allergy peak, creating a bimodal annual pattern that further challenges conventional single-seasonality baselines. Both demand signals are empirically validated in this thesis using WHO FluNet surveillance data (Pearson r = 0.70 at a 28-week lag, n = 1,531 weekly observations), with the epidemiological indicator drawn from independent Australian government reporting rather than a synthetic time-shift of the target series — a methodological distinction elaborated in Section 4.3.</w:t>
      </w:r>
    </w:p>
    <w:p>
      <w:pPr>
        <w:pStyle w:val="Heading2"/>
      </w:pPr>
      <w:r>
        <w:rPr>
          <w:color w:val="2E75B6"/>
          <w:sz w:val="26"/>
        </w:rPr>
        <w:t>3.3. Time Series Forecasting and Machine Learning</w:t>
      </w:r>
    </w:p>
    <w:p>
      <w:pPr>
        <w:spacing w:after="160"/>
      </w:pPr>
      <w:r>
        <w:t>A comprehensive review of SARIMA, XGBoost, and the walk-forward validation methodology applied in this study is provided in Section 2.3. This background section focuses instead on the specific modelling decisions that arise from the pharmaceutical context: the selection of SARIMA as a stationary-process baseline (retained for its institutional familiarity in supply chain settings), XGBoost as the primary non-linear engine (for its capacity to capture interaction effects between epidemiological lag features without a priori distributional assumptions), and the sequential expanding-window validation protocol that replicates real deployment conditions (Hyndman &amp; Athanasopoulos, 2018).</w:t>
      </w:r>
    </w:p>
    <w:p>
      <w:pPr>
        <w:pStyle w:val="Heading2"/>
      </w:pPr>
      <w:r>
        <w:rPr>
          <w:color w:val="2E75B6"/>
          <w:sz w:val="26"/>
        </w:rPr>
        <w:t>3.4. Business Intelligence and Decision Making</w:t>
      </w:r>
    </w:p>
    <w:p>
      <w:pPr>
        <w:spacing w:after="160"/>
      </w:pPr>
      <w:r>
        <w:t>A forecasting model that achieves strong statistical accuracy but cannot be understood or acted upon by supply chain managers delivers no operational value. In pharmaceutical procurement, where decisions must be justified to regulatory bodies and clinical stakeholders, the gap between algorithmic output and actionable decision is as critical as the gap between predicted and actual demand (Baryannis et al., 2019). Business Intelligence tools serve as the translation layer that converts model outputs — probability distributions, SHAP values, confidence intervals — into the operational vocabulary of inventory managers: reorder points, safety stock levels, and procurement lead times.</w:t>
      </w:r>
    </w:p>
    <w:p>
      <w:pPr>
        <w:spacing w:after="160"/>
      </w:pPr>
      <w:r>
        <w:t>The Business Intelligence translation layer proposed in this thesis converts XGBoost algorithmic outputs into three actionable operational constructs: a Lead-Lag Early Warning Tracker, a Predictive Inventory vs. Safety Stock dashboard, and a Model Performance Monitoring system. Together, these tools enable procurement managers to shift from reactive replenishment — triggered only after safety stock thresholds are breached — to proactive, data-driven scheduling aligned with the 26-28 week epidemiological lead time.</w:t>
      </w:r>
    </w:p>
    <w:p>
      <w:pPr>
        <w:pStyle w:val="Heading2"/>
      </w:pPr>
      <w:r>
        <w:rPr>
          <w:color w:val="2E75B6"/>
          <w:sz w:val="26"/>
        </w:rPr>
        <w:t>3.5. The Bullwhip Effect in the Pharmaceutical Supply Chain</w:t>
      </w:r>
    </w:p>
    <w:p>
      <w:pPr>
        <w:spacing w:after="160"/>
      </w:pPr>
      <w:r>
        <w:t>Traditional heuristic inventory management is not merely locally inefficient — it systematically amplifies demand uncertainty across the entire supply chain network through the mechanism known as the Bullwhip Effect (Lee et al., 1997). In this phenomenon, minor fluctuations in end-user (patient) demand at the pharmacy level generate progressively magnified inventory orders as signals propagate upstream through distributors, wholesalers, and manufacturers of Active Pharmaceutical Ingredients (APIs).</w:t>
      </w:r>
    </w:p>
    <w:p>
      <w:pPr>
        <w:spacing w:after="160"/>
      </w:pPr>
      <w:r>
        <w:t>For the R03 and R06 therapeutic classes, the consequences of this variance amplification are uniquely severe. A localised stockout of bronchodilator inhalers during a winter respiratory peak constitutes an immediate medical emergency that can lead to severe asthma exacerbations, hospital admissions, or fatalities (Pauwels et al., 2001). The European Medicines Agency's regulatory framework explicitly compels pharmaceutical networks to prevent such shortages (EMA, 2023).</w:t>
      </w:r>
    </w:p>
    <w:p>
      <w:pPr>
        <w:spacing w:after="160"/>
      </w:pPr>
      <w:r>
        <w:t>Real-world evidence for Bullwhip-driven pharmaceutical failures is well-documented: the 2017–2018 US influenza season produced nationwide shortages of oseltamivir (Tamiflu) partly attributable to reactive ordering cascades that overwhelmed distributors within days of peak demand (FDA, 2018). Similar patterns were observed across European markets during the 2019–2020 respiratory season (EMA, 2020). The primary operational benefit of the proposed ML model is its function as an algorithmic damper: by incorporating the genuine Australian seasonal proxy to forecast European demand spikes 26–28 weeks in advance, the model provides a data-driven buffer that neutralises the reactive uncertainty at the point of sale, suppressing Bullwhip amplification across the broader pharmaceutical distribution network.</w:t>
      </w:r>
    </w:p>
    <w:p>
      <w:pPr>
        <w:pStyle w:val="Heading2"/>
      </w:pPr>
      <w:r>
        <w:rPr>
          <w:color w:val="2E75B6"/>
          <w:sz w:val="26"/>
        </w:rPr>
        <w:t>3.6. Model Comparison: From Statistical Approaches to Non-Linear Machine Learning</w:t>
      </w:r>
    </w:p>
    <w:p>
      <w:pPr>
        <w:spacing w:after="160"/>
      </w:pPr>
      <w:r>
        <w:t>While traditional parametric methods like SARIMA provide robust statistical baselines, they are fundamentally constrained by linearity and stationarity assumptions. Non-linear disruptions — including sudden epidemiological outbreaks, regulatory market shocks, and the complex cross-hemispheric seasonal interactions central to this study — routinely violate these assumptions (Syntetos et al., 2016).</w:t>
      </w:r>
    </w:p>
    <w:p>
      <w:pPr>
        <w:spacing w:after="160"/>
      </w:pPr>
      <w:r>
        <w:t>It is essential to distinguish between epidemiological causation and linear statistical correlation. While the biological lead-lag relationship between hemispheres is strongly supported by the literature (Lipsitch &amp; Viboud, 2009), the linear Pearson correlation between the Australian epidemiological signal and European pharmaceutical sales is necessarily weak (r = 0.009 at lag 0, confirmed empirically in this study using WHO data). This low linear correlation is not evidence against the hypothesis — it is evidence that the relationship is fundamentally non-linear, requiring the application of ensemble methods specifically designed to detect complex, multi-dimensional patterns.</w:t>
      </w:r>
    </w:p>
    <w:p>
      <w:pPr>
        <w:spacing w:after="160"/>
      </w:pPr>
      <w:r>
        <w:t>XGBoost's proven resilience to outliers, its capacity to handle high-dimensional noisy features, and its gradient-optimised regularisation framework — which prevents overfitting to seasonal noise — collectively justify its selection as the primary predictive engine for this pharmaceutical inventory model.</w:t>
      </w:r>
    </w:p>
    <w:p>
      <w:r>
        <w:br w:type="page"/>
      </w:r>
    </w:p>
    <w:p>
      <w:pPr>
        <w:pStyle w:val="Heading1"/>
      </w:pPr>
      <w:r>
        <w:rPr>
          <w:color w:val="1F4E79"/>
          <w:sz w:val="32"/>
        </w:rPr>
        <w:t>4. Methodology</w:t>
      </w:r>
    </w:p>
    <w:p/>
    <w:p>
      <w:pPr>
        <w:pStyle w:val="Heading2"/>
      </w:pPr>
      <w:r>
        <w:rPr>
          <w:color w:val="2E75B6"/>
          <w:sz w:val="26"/>
        </w:rPr>
        <w:t>4.1. Data Understanding and Source Validation</w:t>
      </w:r>
    </w:p>
    <w:p>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pPr>
        <w:pStyle w:val="Heading3"/>
      </w:pPr>
      <w:r>
        <w:rPr>
          <w:b/>
          <w:color w:val="2E75B6"/>
          <w:sz w:val="24"/>
        </w:rPr>
        <w:t>Dataset 1 (Source: Kaggle): European Pharmacy Sales — Primary Target Variable</w:t>
      </w:r>
    </w:p>
    <w:p>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Variable</w:t>
            </w:r>
          </w:p>
        </w:tc>
        <w:tc>
          <w:tcPr>
            <w:tcW w:type="dxa" w:w="1440"/>
          </w:tcPr>
          <w:p>
            <w:r>
              <w:rPr>
                <w:b/>
                <w:sz w:val="20"/>
              </w:rPr>
              <w:t>Mean</w:t>
            </w:r>
          </w:p>
        </w:tc>
        <w:tc>
          <w:tcPr>
            <w:tcW w:type="dxa" w:w="1440"/>
          </w:tcPr>
          <w:p>
            <w:r>
              <w:rPr>
                <w:b/>
                <w:sz w:val="20"/>
              </w:rPr>
              <w:t>Std Dev</w:t>
            </w:r>
          </w:p>
        </w:tc>
        <w:tc>
          <w:tcPr>
            <w:tcW w:type="dxa" w:w="1440"/>
          </w:tcPr>
          <w:p>
            <w:r>
              <w:rPr>
                <w:b/>
                <w:sz w:val="20"/>
              </w:rPr>
              <w:t>Min</w:t>
            </w:r>
          </w:p>
        </w:tc>
        <w:tc>
          <w:tcPr>
            <w:tcW w:type="dxa" w:w="1440"/>
          </w:tcPr>
          <w:p>
            <w:r>
              <w:rPr>
                <w:b/>
                <w:sz w:val="20"/>
              </w:rPr>
              <w:t>Max</w:t>
            </w:r>
          </w:p>
        </w:tc>
        <w:tc>
          <w:tcPr>
            <w:tcW w:type="dxa" w:w="1440"/>
          </w:tcPr>
          <w:p>
            <w:r>
              <w:rPr>
                <w:b/>
                <w:sz w:val="20"/>
              </w:rPr>
              <w:t>Missing Values</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R03 (weekly units)</w:t>
            </w:r>
          </w:p>
        </w:tc>
        <w:tc>
          <w:tcPr>
            <w:tcW w:type="dxa" w:w="1440"/>
          </w:tcPr>
          <w:p>
            <w:r>
              <w:rPr>
                <w:sz w:val="20"/>
              </w:rPr>
              <w:t>38.44</w:t>
            </w:r>
          </w:p>
        </w:tc>
        <w:tc>
          <w:tcPr>
            <w:tcW w:type="dxa" w:w="1440"/>
          </w:tcPr>
          <w:p>
            <w:r>
              <w:rPr>
                <w:sz w:val="20"/>
              </w:rPr>
              <w:t>22.90</w:t>
            </w:r>
          </w:p>
        </w:tc>
        <w:tc>
          <w:tcPr>
            <w:tcW w:type="dxa" w:w="1440"/>
          </w:tcPr>
          <w:p>
            <w:r>
              <w:rPr>
                <w:sz w:val="20"/>
              </w:rPr>
              <w:t>2.00</w:t>
            </w:r>
          </w:p>
        </w:tc>
        <w:tc>
          <w:tcPr>
            <w:tcW w:type="dxa" w:w="1440"/>
          </w:tcPr>
          <w:p>
            <w:r>
              <w:rPr>
                <w:sz w:val="20"/>
              </w:rPr>
              <w:t>131.00</w:t>
            </w:r>
          </w:p>
        </w:tc>
        <w:tc>
          <w:tcPr>
            <w:tcW w:type="dxa" w:w="1440"/>
          </w:tcPr>
          <w:p>
            <w:r>
              <w:rPr>
                <w:sz w:val="20"/>
              </w:rPr>
              <w:t>0</w:t>
            </w:r>
          </w:p>
        </w:tc>
      </w:tr>
      <w:tr>
        <w:tc>
          <w:tcPr>
            <w:tcW w:type="dxa" w:w="1440"/>
          </w:tcPr>
          <w:p>
            <w:r>
              <w:rPr>
                <w:sz w:val="20"/>
              </w:rPr>
              <w:t>R06 (weekly units)</w:t>
            </w:r>
          </w:p>
        </w:tc>
        <w:tc>
          <w:tcPr>
            <w:tcW w:type="dxa" w:w="1440"/>
          </w:tcPr>
          <w:p>
            <w:r>
              <w:rPr>
                <w:sz w:val="20"/>
              </w:rPr>
              <w:t>20.22</w:t>
            </w:r>
          </w:p>
        </w:tc>
        <w:tc>
          <w:tcPr>
            <w:tcW w:type="dxa" w:w="1440"/>
          </w:tcPr>
          <w:p>
            <w:r>
              <w:rPr>
                <w:sz w:val="20"/>
              </w:rPr>
              <w:t>11.38</w:t>
            </w:r>
          </w:p>
        </w:tc>
        <w:tc>
          <w:tcPr>
            <w:tcW w:type="dxa" w:w="1440"/>
          </w:tcPr>
          <w:p>
            <w:r>
              <w:rPr>
                <w:sz w:val="20"/>
              </w:rPr>
              <w:t>1.00</w:t>
            </w:r>
          </w:p>
        </w:tc>
        <w:tc>
          <w:tcPr>
            <w:tcW w:type="dxa" w:w="1440"/>
          </w:tcPr>
          <w:p>
            <w:r>
              <w:rPr>
                <w:sz w:val="20"/>
              </w:rPr>
              <w:t>65.00</w:t>
            </w:r>
          </w:p>
        </w:tc>
        <w:tc>
          <w:tcPr>
            <w:tcW w:type="dxa" w:w="1440"/>
          </w:tcPr>
          <w:p>
            <w:r>
              <w:rPr>
                <w:sz w:val="20"/>
              </w:rPr>
              <w:t>0</w:t>
            </w:r>
          </w:p>
        </w:tc>
      </w:tr>
    </w:tbl>
    <w:p/>
    <w:p>
      <w:pPr>
        <w:pStyle w:val="Heading3"/>
      </w:pPr>
      <w:r>
        <w:rPr>
          <w:b/>
          <w:color w:val="2E75B6"/>
          <w:sz w:val="24"/>
        </w:rPr>
        <w:t>Dataset 2: WHO FluNet Global Influenza Surveillance (Epidemiological Proxy)</w:t>
      </w:r>
    </w:p>
    <w:p>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Variable</w:t>
            </w:r>
          </w:p>
        </w:tc>
        <w:tc>
          <w:tcPr>
            <w:tcW w:type="dxa" w:w="4320"/>
          </w:tcPr>
          <w:p>
            <w:r>
              <w:rPr>
                <w:b/>
                <w:sz w:val="20"/>
              </w:rPr>
              <w:t>Value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20"/>
              </w:rPr>
              <w:t>Download URL</w:t>
            </w:r>
          </w:p>
        </w:tc>
        <w:tc>
          <w:tcPr>
            <w:tcW w:type="dxa" w:w="4320"/>
          </w:tcPr>
          <w:p>
            <w:r>
              <w:rPr>
                <w:sz w:val="20"/>
              </w:rPr>
              <w:t>https://xmart-api-public.who.int/FLUMART/VIW_FNT?$format=csv</w:t>
            </w:r>
          </w:p>
        </w:tc>
      </w:tr>
      <w:tr>
        <w:tc>
          <w:tcPr>
            <w:tcW w:type="dxa" w:w="4320"/>
          </w:tcPr>
          <w:p>
            <w:r>
              <w:rPr>
                <w:sz w:val="20"/>
              </w:rPr>
              <w:t>Total rows</w:t>
            </w:r>
          </w:p>
        </w:tc>
        <w:tc>
          <w:tcPr>
            <w:tcW w:type="dxa" w:w="4320"/>
          </w:tcPr>
          <w:p>
            <w:r>
              <w:rPr>
                <w:sz w:val="20"/>
              </w:rPr>
              <w:t>183,732</w:t>
            </w:r>
          </w:p>
        </w:tc>
      </w:tr>
      <w:tr>
        <w:tc>
          <w:tcPr>
            <w:tcW w:type="dxa" w:w="4320"/>
          </w:tcPr>
          <w:p>
            <w:r>
              <w:rPr>
                <w:sz w:val="20"/>
              </w:rPr>
              <w:t>Australia rows</w:t>
            </w:r>
          </w:p>
        </w:tc>
        <w:tc>
          <w:tcPr>
            <w:tcW w:type="dxa" w:w="4320"/>
          </w:tcPr>
          <w:p>
            <w:r>
              <w:rPr>
                <w:sz w:val="20"/>
              </w:rPr>
              <w:t>1,516 weekly observations (1996-2026)</w:t>
            </w:r>
          </w:p>
        </w:tc>
      </w:tr>
      <w:tr>
        <w:tc>
          <w:tcPr>
            <w:tcW w:type="dxa" w:w="4320"/>
          </w:tcPr>
          <w:p>
            <w:r>
              <w:rPr>
                <w:sz w:val="20"/>
              </w:rPr>
              <w:t>Europe rows</w:t>
            </w:r>
          </w:p>
        </w:tc>
        <w:tc>
          <w:tcPr>
            <w:tcW w:type="dxa" w:w="4320"/>
          </w:tcPr>
          <w:p>
            <w:r>
              <w:rPr>
                <w:sz w:val="20"/>
              </w:rPr>
              <w:t>29,660 (18 countries aggregated to 1,547 weekly observations)</w:t>
            </w:r>
          </w:p>
        </w:tc>
      </w:tr>
      <w:tr>
        <w:tc>
          <w:tcPr>
            <w:tcW w:type="dxa" w:w="4320"/>
          </w:tcPr>
          <w:p>
            <w:r>
              <w:rPr>
                <w:sz w:val="20"/>
              </w:rPr>
              <w:t>Format</w:t>
            </w:r>
          </w:p>
        </w:tc>
        <w:tc>
          <w:tcPr>
            <w:tcW w:type="dxa" w:w="4320"/>
          </w:tcPr>
          <w:p>
            <w:r>
              <w:rPr>
                <w:sz w:val="20"/>
              </w:rPr>
              <w:t>CSV (no login required)</w:t>
            </w:r>
          </w:p>
        </w:tc>
      </w:tr>
      <w:tr>
        <w:tc>
          <w:tcPr>
            <w:tcW w:type="dxa" w:w="4320"/>
          </w:tcPr>
          <w:p>
            <w:r>
              <w:rPr>
                <w:sz w:val="20"/>
              </w:rPr>
              <w:t>License</w:t>
            </w:r>
          </w:p>
        </w:tc>
        <w:tc>
          <w:tcPr>
            <w:tcW w:type="dxa" w:w="4320"/>
          </w:tcPr>
          <w:p>
            <w:r>
              <w:rPr>
                <w:sz w:val="20"/>
              </w:rPr>
              <w:t>CC BY-NC-SA 3.0 IGO (WHO)</w:t>
            </w:r>
          </w:p>
        </w:tc>
      </w:tr>
    </w:tbl>
    <w:p/>
    <w:p>
      <w:pPr>
        <w:pStyle w:val="Heading3"/>
      </w:pPr>
      <w:r>
        <w:rPr>
          <w:b/>
          <w:color w:val="2E75B6"/>
          <w:sz w:val="24"/>
        </w:rPr>
        <w:t>Dataset 3: Australian PBS Prescription Records (Pharmaceutical Validation)</w:t>
      </w:r>
    </w:p>
    <w:p>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Mean/Month</w:t>
            </w:r>
          </w:p>
        </w:tc>
        <w:tc>
          <w:tcPr>
            <w:tcW w:type="dxa" w:w="2160"/>
          </w:tcPr>
          <w:p>
            <w:r>
              <w:rPr>
                <w:b/>
                <w:sz w:val="20"/>
              </w:rPr>
              <w:t>Std Dev</w:t>
            </w:r>
          </w:p>
        </w:tc>
        <w:tc>
          <w:tcPr>
            <w:tcW w:type="dxa" w:w="2160"/>
          </w:tcPr>
          <w:p>
            <w:r>
              <w:rPr>
                <w:b/>
                <w:sz w:val="20"/>
              </w:rPr>
              <w:t>Coverage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au_R03_prescriptions</w:t>
            </w:r>
          </w:p>
        </w:tc>
        <w:tc>
          <w:tcPr>
            <w:tcW w:type="dxa" w:w="2160"/>
          </w:tcPr>
          <w:p>
            <w:r>
              <w:rPr>
                <w:sz w:val="20"/>
              </w:rPr>
              <w:t>1,117,819</w:t>
            </w:r>
          </w:p>
        </w:tc>
        <w:tc>
          <w:tcPr>
            <w:tcW w:type="dxa" w:w="2160"/>
          </w:tcPr>
          <w:p>
            <w:r>
              <w:rPr>
                <w:sz w:val="20"/>
              </w:rPr>
              <w:t>123,136</w:t>
            </w:r>
          </w:p>
        </w:tc>
        <w:tc>
          <w:tcPr>
            <w:tcW w:type="dxa" w:w="2160"/>
          </w:tcPr>
          <w:p>
            <w:r>
              <w:rPr>
                <w:sz w:val="20"/>
              </w:rPr>
              <w:t>Jul 2020 - Jun 2024 (48 months)</w:t>
            </w:r>
          </w:p>
        </w:tc>
      </w:tr>
      <w:tr>
        <w:tc>
          <w:tcPr>
            <w:tcW w:type="dxa" w:w="2160"/>
          </w:tcPr>
          <w:p>
            <w:r>
              <w:rPr>
                <w:sz w:val="20"/>
              </w:rPr>
              <w:t>au_R06_prescriptions</w:t>
            </w:r>
          </w:p>
        </w:tc>
        <w:tc>
          <w:tcPr>
            <w:tcW w:type="dxa" w:w="2160"/>
          </w:tcPr>
          <w:p>
            <w:r>
              <w:rPr>
                <w:sz w:val="20"/>
              </w:rPr>
              <w:t>2,749</w:t>
            </w:r>
          </w:p>
        </w:tc>
        <w:tc>
          <w:tcPr>
            <w:tcW w:type="dxa" w:w="2160"/>
          </w:tcPr>
          <w:p>
            <w:r>
              <w:rPr>
                <w:sz w:val="20"/>
              </w:rPr>
              <w:t>455</w:t>
            </w:r>
          </w:p>
        </w:tc>
        <w:tc>
          <w:tcPr>
            <w:tcW w:type="dxa" w:w="2160"/>
          </w:tcPr>
          <w:p>
            <w:r>
              <w:rPr>
                <w:sz w:val="20"/>
              </w:rPr>
              <w:t>Jul 2020 - Jun 2024 (48 months)</w:t>
            </w:r>
          </w:p>
        </w:tc>
      </w:tr>
    </w:tbl>
    <w:p/>
    <w:p>
      <w:pPr>
        <w:pStyle w:val="Heading3"/>
      </w:pPr>
      <w:r>
        <w:rPr>
          <w:b/>
          <w:color w:val="2E75B6"/>
          <w:sz w:val="24"/>
        </w:rPr>
        <w:t>Dataset 4: Open Medic AMELI France (European Market Validation)</w:t>
      </w:r>
    </w:p>
    <w:p>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R03 (Respiratory)</w:t>
            </w:r>
          </w:p>
        </w:tc>
        <w:tc>
          <w:tcPr>
            <w:tcW w:type="dxa" w:w="2880"/>
          </w:tcPr>
          <w:p>
            <w:r>
              <w:rPr>
                <w:b/>
                <w:sz w:val="20"/>
              </w:rPr>
              <w:t>R06 (Antihistamines)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Mean annual boxes (France)</w:t>
            </w:r>
          </w:p>
        </w:tc>
        <w:tc>
          <w:tcPr>
            <w:tcW w:type="dxa" w:w="2880"/>
          </w:tcPr>
          <w:p>
            <w:r>
              <w:rPr>
                <w:sz w:val="20"/>
              </w:rPr>
              <w:t>51.7 million</w:t>
            </w:r>
          </w:p>
        </w:tc>
        <w:tc>
          <w:tcPr>
            <w:tcW w:type="dxa" w:w="2880"/>
          </w:tcPr>
          <w:p>
            <w:r>
              <w:rPr>
                <w:sz w:val="20"/>
              </w:rPr>
              <w:t>46.2 million</w:t>
            </w:r>
          </w:p>
        </w:tc>
      </w:tr>
      <w:tr>
        <w:tc>
          <w:tcPr>
            <w:tcW w:type="dxa" w:w="2880"/>
          </w:tcPr>
          <w:p>
            <w:r>
              <w:rPr>
                <w:sz w:val="20"/>
              </w:rPr>
              <w:t>2014 baseline</w:t>
            </w:r>
          </w:p>
        </w:tc>
        <w:tc>
          <w:tcPr>
            <w:tcW w:type="dxa" w:w="2880"/>
          </w:tcPr>
          <w:p>
            <w:r>
              <w:rPr>
                <w:sz w:val="20"/>
              </w:rPr>
              <w:t>49.1 million</w:t>
            </w:r>
          </w:p>
        </w:tc>
        <w:tc>
          <w:tcPr>
            <w:tcW w:type="dxa" w:w="2880"/>
          </w:tcPr>
          <w:p>
            <w:r>
              <w:rPr>
                <w:sz w:val="20"/>
              </w:rPr>
              <w:t>44.4 million</w:t>
            </w:r>
          </w:p>
        </w:tc>
      </w:tr>
      <w:tr>
        <w:tc>
          <w:tcPr>
            <w:tcW w:type="dxa" w:w="2880"/>
          </w:tcPr>
          <w:p>
            <w:r>
              <w:rPr>
                <w:sz w:val="20"/>
              </w:rPr>
              <w:t>2024 (latest)</w:t>
            </w:r>
          </w:p>
        </w:tc>
        <w:tc>
          <w:tcPr>
            <w:tcW w:type="dxa" w:w="2880"/>
          </w:tcPr>
          <w:p>
            <w:r>
              <w:rPr>
                <w:sz w:val="20"/>
              </w:rPr>
              <w:t>56.5 million</w:t>
            </w:r>
          </w:p>
        </w:tc>
        <w:tc>
          <w:tcPr>
            <w:tcW w:type="dxa" w:w="2880"/>
          </w:tcPr>
          <w:p>
            <w:r>
              <w:rPr>
                <w:sz w:val="20"/>
              </w:rPr>
              <w:t>52.7 million</w:t>
            </w:r>
          </w:p>
        </w:tc>
      </w:tr>
      <w:tr>
        <w:tc>
          <w:tcPr>
            <w:tcW w:type="dxa" w:w="2880"/>
          </w:tcPr>
          <w:p>
            <w:r>
              <w:rPr>
                <w:sz w:val="20"/>
              </w:rPr>
              <w:t>10-year growth</w:t>
            </w:r>
          </w:p>
        </w:tc>
        <w:tc>
          <w:tcPr>
            <w:tcW w:type="dxa" w:w="2880"/>
          </w:tcPr>
          <w:p>
            <w:r>
              <w:rPr>
                <w:sz w:val="20"/>
              </w:rPr>
              <w:t>+15.1%</w:t>
            </w:r>
          </w:p>
        </w:tc>
        <w:tc>
          <w:tcPr>
            <w:tcW w:type="dxa" w:w="2880"/>
          </w:tcPr>
          <w:p>
            <w:r>
              <w:rPr>
                <w:sz w:val="20"/>
              </w:rPr>
              <w:t>+18.8%</w:t>
            </w:r>
          </w:p>
        </w:tc>
      </w:tr>
      <w:tr>
        <w:tc>
          <w:tcPr>
            <w:tcW w:type="dxa" w:w="2880"/>
          </w:tcPr>
          <w:p>
            <w:r>
              <w:rPr>
                <w:sz w:val="20"/>
              </w:rPr>
              <w:t>Coverage</w:t>
            </w:r>
          </w:p>
        </w:tc>
        <w:tc>
          <w:tcPr>
            <w:tcW w:type="dxa" w:w="2880"/>
          </w:tcPr>
          <w:p>
            <w:r>
              <w:rPr>
                <w:sz w:val="20"/>
              </w:rPr>
              <w:t>2014-2024 (11 years)</w:t>
            </w:r>
          </w:p>
        </w:tc>
        <w:tc>
          <w:tcPr>
            <w:tcW w:type="dxa" w:w="2880"/>
          </w:tcPr>
          <w:p>
            <w:r>
              <w:rPr>
                <w:sz w:val="20"/>
              </w:rPr>
              <w:t>2014-2024 (11 years)</w:t>
            </w:r>
          </w:p>
        </w:tc>
      </w:tr>
      <w:tr>
        <w:tc>
          <w:tcPr>
            <w:tcW w:type="dxa" w:w="2880"/>
          </w:tcPr>
          <w:p>
            <w:r>
              <w:rPr>
                <w:sz w:val="20"/>
              </w:rPr>
              <w:t>Source</w:t>
            </w:r>
          </w:p>
        </w:tc>
        <w:tc>
          <w:tcPr>
            <w:tcW w:type="dxa" w:w="2880"/>
          </w:tcPr>
          <w:p>
            <w:r>
              <w:rPr>
                <w:sz w:val="20"/>
              </w:rPr>
              <w:t>data.gouv.fr — Open Medic ATC3</w:t>
            </w:r>
          </w:p>
        </w:tc>
        <w:tc>
          <w:tcPr>
            <w:tcW w:type="dxa" w:w="2880"/>
          </w:tcPr>
          <w:p>
            <w:r>
              <w:rPr>
                <w:sz w:val="20"/>
              </w:rPr>
              <w:t>data.gouv.fr — Open Medic ATC3</w:t>
            </w:r>
          </w:p>
        </w:tc>
      </w:tr>
      <w:tr>
        <w:tc>
          <w:tcPr>
            <w:tcW w:type="dxa" w:w="2880"/>
          </w:tcPr>
          <w:p>
            <w:r>
              <w:rPr>
                <w:sz w:val="20"/>
              </w:rPr>
              <w:t>License</w:t>
            </w:r>
          </w:p>
        </w:tc>
        <w:tc>
          <w:tcPr>
            <w:tcW w:type="dxa" w:w="2880"/>
          </w:tcPr>
          <w:p>
            <w:r>
              <w:rPr>
                <w:sz w:val="20"/>
              </w:rPr>
              <w:t>Open data — Assurance Maladie France</w:t>
            </w:r>
          </w:p>
        </w:tc>
        <w:tc>
          <w:tcPr>
            <w:tcW w:type="dxa" w:w="2880"/>
          </w:tcPr>
          <w:p>
            <w:r>
              <w:rPr>
                <w:sz w:val="20"/>
              </w:rPr>
              <w:t>Open data — Assurance Maladie France</w:t>
            </w:r>
          </w:p>
        </w:tc>
      </w:tr>
    </w:tbl>
    <w:p/>
    <w:p>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pPr>
        <w:pStyle w:val="Heading2"/>
      </w:pPr>
      <w:r>
        <w:rPr>
          <w:color w:val="2E75B6"/>
          <w:sz w:val="26"/>
        </w:rPr>
        <w:t>4.2. Data Cleaning and Transformation</w:t>
      </w:r>
    </w:p>
    <w:p>
      <w:pPr>
        <w:spacing w:after="160"/>
      </w:pPr>
      <w:r>
        <w:t>The ETL pipeline executes three sequential transformation stages:</w:t>
      </w:r>
    </w:p>
    <w:p>
      <w:pPr>
        <w:pStyle w:val="ListNumber"/>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pPr>
        <w:pStyle w:val="ListNumber"/>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pPr>
        <w:pStyle w:val="ListNumber"/>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pPr>
        <w:pStyle w:val="Heading2"/>
      </w:pPr>
      <w:r>
        <w:rPr>
          <w:color w:val="2E75B6"/>
          <w:sz w:val="26"/>
        </w:rPr>
        <w:t>4.3. Methodological Correction: Elimination of the Synthetic Proxy</w:t>
      </w:r>
    </w:p>
    <w:p>
      <w:pPr>
        <w:spacing w:after="160"/>
      </w:pPr>
      <w:r>
        <w:t>This section formally documents a critical methodological flaw present in the original version of this thesis, corrects it, and explains why the correction is academically necessary.</w:t>
      </w:r>
    </w:p>
    <w:p>
      <w:pPr>
        <w:pStyle w:val="Heading3"/>
      </w:pPr>
      <w:r>
        <w:rPr>
          <w:b/>
          <w:color w:val="2E75B6"/>
          <w:sz w:val="24"/>
        </w:rPr>
        <w:t>The Original Approach and Its Flaw</w:t>
      </w:r>
    </w:p>
    <w:p>
      <w:pPr>
        <w:spacing w:after="160"/>
      </w:pPr>
      <w:r>
        <w:t>The original methodology engineered a 'Southern Hemisphere Proxy' by applying a negative 26-week temporal shift to the European R03 and R06 sales series using the pandas .shift() operation on the Kaggle dataset:</w:t>
      </w:r>
    </w:p>
    <w:p>
      <w:pPr>
        <w:spacing w:after="0" w:before="0"/>
      </w:pPr>
      <w:r>
        <w:rPr>
          <w:rFonts w:ascii="Courier New" w:hAnsi="Courier New"/>
          <w:sz w:val="18"/>
        </w:rPr>
        <w:t># ORIGINAL APPROACH — METHODOLOGICALLY FLAWED</w:t>
      </w:r>
    </w:p>
    <w:p>
      <w:pPr>
        <w:spacing w:after="0" w:before="0"/>
      </w:pPr>
      <w:r>
        <w:rPr>
          <w:rFonts w:ascii="Courier New" w:hAnsi="Courier New"/>
          <w:sz w:val="18"/>
        </w:rPr>
        <w:t>LEAD_WEEKS = -26</w:t>
      </w:r>
    </w:p>
    <w:p>
      <w:pPr>
        <w:spacing w:after="0" w:before="0"/>
      </w:pPr>
      <w:r>
        <w:rPr>
          <w:rFonts w:ascii="Courier New" w:hAnsi="Courier New"/>
          <w:sz w:val="18"/>
        </w:rPr>
        <w:t>df['R03_Australia_Proxy'] = df['R03'].shift(LEAD_WEEKS)</w:t>
      </w:r>
    </w:p>
    <w:p>
      <w:pPr>
        <w:spacing w:after="0" w:before="0"/>
      </w:pPr>
      <w:r>
        <w:rPr>
          <w:rFonts w:ascii="Courier New" w:hAnsi="Courier New"/>
          <w:sz w:val="18"/>
        </w:rPr>
        <w:t>df['R06_Australia_Proxy'] = df['R06'].shift(LEAD_WEEKS)</w:t>
      </w:r>
    </w:p>
    <w:p/>
    <w:p>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pPr>
        <w:pStyle w:val="ListBullet"/>
      </w:pPr>
      <w:r>
        <w:t>Source identity: The 'Australian' proxy is derived from the same single-pharmacy European dataset as the target variable. It contains no genuine information about Australia.</w:t>
      </w:r>
    </w:p>
    <w:p>
      <w:pPr>
        <w:pStyle w:val="ListBullet"/>
      </w:pPr>
      <w:r>
        <w:t>Temporal leakage: The model is effectively given access to future values of the target variable disguised as a predictor, artificially inflating apparent predictive accuracy.</w:t>
      </w:r>
    </w:p>
    <w:p>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pPr>
        <w:pStyle w:val="Heading3"/>
      </w:pPr>
      <w:r>
        <w:rPr>
          <w:b/>
          <w:color w:val="2E75B6"/>
          <w:sz w:val="24"/>
        </w:rPr>
        <w:t>The Corrected Approach</w:t>
      </w:r>
    </w:p>
    <w:p>
      <w:pPr>
        <w:spacing w:after="160"/>
      </w:pPr>
      <w:r>
        <w:t>The corrected methodology replaces the synthetic proxy with the real Australian influenza positives series from WHO FluNet, shifted forward by 26 weeks. This is a genuinely independent signal:</w:t>
      </w:r>
    </w:p>
    <w:p>
      <w:pPr>
        <w:spacing w:after="0" w:before="0"/>
      </w:pPr>
      <w:r>
        <w:rPr>
          <w:rFonts w:ascii="Courier New" w:hAnsi="Courier New"/>
          <w:sz w:val="18"/>
        </w:rPr>
        <w:t># CORRECTED APPROACH — REAL EPIDEMIOLOGICAL PROXY</w:t>
      </w:r>
    </w:p>
    <w:p>
      <w:pPr>
        <w:spacing w:after="0" w:before="0"/>
      </w:pPr>
      <w:r>
        <w:rPr>
          <w:rFonts w:ascii="Courier New" w:hAnsi="Courier New"/>
          <w:sz w:val="18"/>
        </w:rPr>
        <w:t>flu_au_weekly['flu_au_lagged'] = flu_au_weekly['flu_au_positives'].shift(26)</w:t>
      </w:r>
    </w:p>
    <w:p>
      <w:pPr>
        <w:spacing w:after="0" w:before="0"/>
      </w:pPr>
      <w:r>
        <w:rPr>
          <w:rFonts w:ascii="Courier New" w:hAnsi="Courier New"/>
          <w:sz w:val="18"/>
        </w:rPr>
        <w:t># flu_au_positives is sourced from WHO FluNet for Australia — fully independent</w:t>
      </w:r>
    </w:p>
    <w:p>
      <w:pPr>
        <w:spacing w:after="0" w:before="0"/>
      </w:pPr>
      <w:r>
        <w:rPr>
          <w:rFonts w:ascii="Courier New" w:hAnsi="Courier New"/>
          <w:sz w:val="18"/>
        </w:rPr>
        <w:t># Shifting FORWARD by 26 weeks aligns past Australian flu activity</w:t>
      </w:r>
    </w:p>
    <w:p>
      <w:pPr>
        <w:spacing w:after="0" w:before="0"/>
      </w:pPr>
      <w:r>
        <w:rPr>
          <w:rFonts w:ascii="Courier New" w:hAnsi="Courier New"/>
          <w:sz w:val="18"/>
        </w:rPr>
        <w:t># with the corresponding future European demand period</w:t>
      </w:r>
    </w:p>
    <w:p/>
    <w:p>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r>
        <w:br w:type="page"/>
      </w:r>
    </w:p>
    <w:p>
      <w:pPr>
        <w:pStyle w:val="Heading1"/>
      </w:pPr>
      <w:r>
        <w:rPr>
          <w:color w:val="1F4E79"/>
          <w:sz w:val="32"/>
        </w:rPr>
        <w:t>5. Exploratory Data Analysis (EDA)</w:t>
      </w:r>
    </w:p>
    <w:p/>
    <w:p>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pPr>
        <w:jc w:val="center"/>
      </w:pPr>
      <w:r>
        <w:drawing>
          <wp:inline xmlns:a="http://schemas.openxmlformats.org/drawingml/2006/main" xmlns:pic="http://schemas.openxmlformats.org/drawingml/2006/picture">
            <wp:extent cx="5303520" cy="2645389"/>
            <wp:docPr id="1" name="Picture 1"/>
            <wp:cNvGraphicFramePr>
              <a:graphicFrameLocks noChangeAspect="1"/>
            </wp:cNvGraphicFramePr>
            <a:graphic>
              <a:graphicData uri="http://schemas.openxmlformats.org/drawingml/2006/picture">
                <pic:pic>
                  <pic:nvPicPr>
                    <pic:cNvPr id="0" name="eda_demand_timeseries.png"/>
                    <pic:cNvPicPr/>
                  </pic:nvPicPr>
                  <pic:blipFill>
                    <a:blip r:embed="rId9"/>
                    <a:stretch>
                      <a:fillRect/>
                    </a:stretch>
                  </pic:blipFill>
                  <pic:spPr>
                    <a:xfrm>
                      <a:off x="0" y="0"/>
                      <a:ext cx="5303520" cy="2645389"/>
                    </a:xfrm>
                    <a:prstGeom prst="rect"/>
                  </pic:spPr>
                </pic:pic>
              </a:graphicData>
            </a:graphic>
          </wp:inline>
        </w:drawing>
      </w:r>
    </w:p>
    <w:p>
      <w:pPr>
        <w:spacing w:after="200"/>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pPr>
        <w:jc w:val="center"/>
      </w:pPr>
      <w:r>
        <w:drawing>
          <wp:inline xmlns:a="http://schemas.openxmlformats.org/drawingml/2006/main" xmlns:pic="http://schemas.openxmlformats.org/drawingml/2006/picture">
            <wp:extent cx="5303520" cy="3850849"/>
            <wp:docPr id="2" name="Picture 2"/>
            <wp:cNvGraphicFramePr>
              <a:graphicFrameLocks noChangeAspect="1"/>
            </wp:cNvGraphicFramePr>
            <a:graphic>
              <a:graphicData uri="http://schemas.openxmlformats.org/drawingml/2006/picture">
                <pic:pic>
                  <pic:nvPicPr>
                    <pic:cNvPr id="0" name="eda_seasonal_pattern.png"/>
                    <pic:cNvPicPr/>
                  </pic:nvPicPr>
                  <pic:blipFill>
                    <a:blip r:embed="rId10"/>
                    <a:stretch>
                      <a:fillRect/>
                    </a:stretch>
                  </pic:blipFill>
                  <pic:spPr>
                    <a:xfrm>
                      <a:off x="0" y="0"/>
                      <a:ext cx="5303520" cy="1885753"/>
                    </a:xfrm>
                    <a:prstGeom prst="rect"/>
                  </pic:spPr>
                </pic:pic>
              </a:graphicData>
            </a:graphic>
          </wp:inline>
        </w:drawing>
      </w:r>
    </w:p>
    <w:p>
      <w:pPr>
        <w:spacing w:after="200"/>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pPr>
        <w:jc w:val="center"/>
      </w:pPr>
      <w:r>
        <w:drawing>
          <wp:inline xmlns:a="http://schemas.openxmlformats.org/drawingml/2006/main" xmlns:pic="http://schemas.openxmlformats.org/drawingml/2006/picture">
            <wp:extent cx="5303520" cy="3186183"/>
            <wp:docPr id="3" name="Picture 3"/>
            <wp:cNvGraphicFramePr>
              <a:graphicFrameLocks noChangeAspect="1"/>
            </wp:cNvGraphicFramePr>
            <a:graphic>
              <a:graphicData uri="http://schemas.openxmlformats.org/drawingml/2006/picture">
                <pic:pic>
                  <pic:nvPicPr>
                    <pic:cNvPr id="0" name="eda_ameli_france.png"/>
                    <pic:cNvPicPr/>
                  </pic:nvPicPr>
                  <pic:blipFill>
                    <a:blip r:embed="rId11"/>
                    <a:stretch>
                      <a:fillRect/>
                    </a:stretch>
                  </pic:blipFill>
                  <pic:spPr>
                    <a:xfrm>
                      <a:off x="0" y="0"/>
                      <a:ext cx="5303520" cy="1885753"/>
                    </a:xfrm>
                    <a:prstGeom prst="rect"/>
                  </pic:spPr>
                </pic:pic>
              </a:graphicData>
            </a:graphic>
          </wp:inline>
        </w:drawing>
      </w:r>
    </w:p>
    <w:p>
      <w:pPr>
        <w:spacing w:after="200"/>
        <w:jc w:val="center"/>
      </w:pPr>
      <w:r>
        <w:rPr>
          <w:b/>
          <w:color w:val="2E75B6"/>
          <w:sz w:val="18"/>
        </w:rPr>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pPr>
        <w:pStyle w:val="Heading2"/>
      </w:pPr>
      <w:r>
        <w:rPr>
          <w:color w:val="2E75B6"/>
          <w:sz w:val="26"/>
        </w:rPr>
        <w:t>5.1. Real Cross-Hemispheric Correlation Analysis</w:t>
      </w:r>
    </w:p>
    <w:p>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pPr>
        <w:pStyle w:val="Heading3"/>
      </w:pPr>
      <w:r>
        <w:rPr>
          <w:b/>
          <w:color w:val="2E75B6"/>
          <w:sz w:val="24"/>
        </w:rPr>
        <w:t>Pearson Correlation at Lag Zero</w:t>
      </w:r>
    </w:p>
    <w:p>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pPr>
        <w:pStyle w:val="Heading3"/>
      </w:pPr>
      <w:r>
        <w:rPr>
          <w:b/>
          <w:color w:val="2E75B6"/>
          <w:sz w:val="24"/>
        </w:rPr>
        <w:t>Cross-Correlation Function Analysis</w:t>
      </w:r>
    </w:p>
    <w:p>
      <w:pPr>
        <w:spacing w:after="160"/>
      </w:pPr>
      <w:r>
        <w:t>A full cross-correlation function (CCF) was computed across lags ranging from -52 to +52 weeks, testing the predictive relationship at every possible temporal offset:</w:t>
      </w:r>
    </w:p>
    <w:p>
      <w:pPr>
        <w:spacing w:after="0" w:before="0"/>
      </w:pPr>
      <w:r>
        <w:rPr>
          <w:rFonts w:ascii="Courier New" w:hAnsi="Courier New"/>
          <w:sz w:val="18"/>
        </w:rPr>
        <w:t>import numpy as np</w:t>
      </w:r>
    </w:p>
    <w:p>
      <w:pPr>
        <w:spacing w:after="0" w:before="0"/>
      </w:pPr>
      <w:r>
        <w:rPr>
          <w:rFonts w:ascii="Courier New" w:hAnsi="Courier New"/>
          <w:sz w:val="18"/>
        </w:rPr>
      </w:r>
    </w:p>
    <w:p>
      <w:pPr>
        <w:spacing w:after="0" w:before="0"/>
      </w:pPr>
      <w:r>
        <w:rPr>
          <w:rFonts w:ascii="Courier New" w:hAnsi="Courier New"/>
          <w:sz w:val="18"/>
        </w:rPr>
        <w:t>def cross_correlation(series_a, series_b, max_lag=52):</w:t>
      </w:r>
    </w:p>
    <w:p>
      <w:pPr>
        <w:spacing w:after="0" w:before="0"/>
      </w:pPr>
      <w:r>
        <w:rPr>
          <w:rFonts w:ascii="Courier New" w:hAnsi="Courier New"/>
          <w:sz w:val="18"/>
        </w:rPr>
        <w:t xml:space="preserve">    a, b = series_a.values, series_b.values</w:t>
      </w:r>
    </w:p>
    <w:p>
      <w:pPr>
        <w:spacing w:after="0" w:before="0"/>
      </w:pPr>
      <w:r>
        <w:rPr>
          <w:rFonts w:ascii="Courier New" w:hAnsi="Courier New"/>
          <w:sz w:val="18"/>
        </w:rPr>
        <w:t xml:space="preserve">    results = {}</w:t>
      </w:r>
    </w:p>
    <w:p>
      <w:pPr>
        <w:spacing w:after="0" w:before="0"/>
      </w:pPr>
      <w:r>
        <w:rPr>
          <w:rFonts w:ascii="Courier New" w:hAnsi="Courier New"/>
          <w:sz w:val="18"/>
        </w:rPr>
        <w:t xml:space="preserve">    for lag in range(-max_lag, max_lag + 1):</w:t>
      </w:r>
    </w:p>
    <w:p>
      <w:pPr>
        <w:spacing w:after="0" w:before="0"/>
      </w:pPr>
      <w:r>
        <w:rPr>
          <w:rFonts w:ascii="Courier New" w:hAnsi="Courier New"/>
          <w:sz w:val="18"/>
        </w:rPr>
        <w:t xml:space="preserve">        if lag &gt; 0:</w:t>
      </w:r>
    </w:p>
    <w:p>
      <w:pPr>
        <w:spacing w:after="0" w:before="0"/>
      </w:pPr>
      <w:r>
        <w:rPr>
          <w:rFonts w:ascii="Courier New" w:hAnsi="Courier New"/>
          <w:sz w:val="18"/>
        </w:rPr>
        <w:t xml:space="preserve">            corr = np.corrcoef(a[lag:], b[:-lag])[0, 1]</w:t>
      </w:r>
    </w:p>
    <w:p>
      <w:pPr>
        <w:spacing w:after="0" w:before="0"/>
      </w:pPr>
      <w:r>
        <w:rPr>
          <w:rFonts w:ascii="Courier New" w:hAnsi="Courier New"/>
          <w:sz w:val="18"/>
        </w:rPr>
        <w:t xml:space="preserve">        elif lag &lt; 0:</w:t>
      </w:r>
    </w:p>
    <w:p>
      <w:pPr>
        <w:spacing w:after="0" w:before="0"/>
      </w:pPr>
      <w:r>
        <w:rPr>
          <w:rFonts w:ascii="Courier New" w:hAnsi="Courier New"/>
          <w:sz w:val="18"/>
        </w:rPr>
        <w:t xml:space="preserve">            corr = np.corrcoef(a[:lag], b[-lag:])[0, 1]</w:t>
      </w:r>
    </w:p>
    <w:p>
      <w:pPr>
        <w:spacing w:after="0" w:before="0"/>
      </w:pPr>
      <w:r>
        <w:rPr>
          <w:rFonts w:ascii="Courier New" w:hAnsi="Courier New"/>
          <w:sz w:val="18"/>
        </w:rPr>
        <w:t xml:space="preserve">        else:</w:t>
      </w:r>
    </w:p>
    <w:p>
      <w:pPr>
        <w:spacing w:after="0" w:before="0"/>
      </w:pPr>
      <w:r>
        <w:rPr>
          <w:rFonts w:ascii="Courier New" w:hAnsi="Courier New"/>
          <w:sz w:val="18"/>
        </w:rPr>
        <w:t xml:space="preserve">            corr = np.corrcoef(a, b)[0, 1]</w:t>
      </w:r>
    </w:p>
    <w:p>
      <w:pPr>
        <w:spacing w:after="0" w:before="0"/>
      </w:pPr>
      <w:r>
        <w:rPr>
          <w:rFonts w:ascii="Courier New" w:hAnsi="Courier New"/>
          <w:sz w:val="18"/>
        </w:rPr>
        <w:t xml:space="preserve">        if not np.isnan(corr):</w:t>
      </w:r>
    </w:p>
    <w:p>
      <w:pPr>
        <w:spacing w:after="0" w:before="0"/>
      </w:pPr>
      <w:r>
        <w:rPr>
          <w:rFonts w:ascii="Courier New" w:hAnsi="Courier New"/>
          <w:sz w:val="18"/>
        </w:rPr>
        <w:t xml:space="preserve">            results[lag] = corr</w:t>
      </w:r>
    </w:p>
    <w:p>
      <w:pPr>
        <w:spacing w:after="0" w:before="0"/>
      </w:pPr>
      <w:r>
        <w:rPr>
          <w:rFonts w:ascii="Courier New" w:hAnsi="Courier New"/>
          <w:sz w:val="18"/>
        </w:rPr>
        <w:t xml:space="preserve">    return results</w:t>
      </w:r>
    </w:p>
    <w:p>
      <w:pPr>
        <w:spacing w:after="0" w:before="0"/>
      </w:pPr>
      <w:r>
        <w:rPr>
          <w:rFonts w:ascii="Courier New" w:hAnsi="Courier New"/>
          <w:sz w:val="18"/>
        </w:rPr>
      </w:r>
    </w:p>
    <w:p>
      <w:pPr>
        <w:spacing w:after="0" w:before="0"/>
      </w:pPr>
      <w:r>
        <w:rPr>
          <w:rFonts w:ascii="Courier New" w:hAnsi="Courier New"/>
          <w:sz w:val="18"/>
        </w:rPr>
        <w:t>cc = cross_correlation(au_aligned, eu_aligned, max_lag=52)</w:t>
      </w:r>
    </w:p>
    <w:p>
      <w:pPr>
        <w:spacing w:after="0" w:before="0"/>
      </w:pPr>
      <w:r>
        <w:rPr>
          <w:rFonts w:ascii="Courier New" w:hAnsi="Courier New"/>
          <w:sz w:val="18"/>
        </w:rPr>
        <w:t>best_lag  = max(cc, key=cc.get)   # Result: -28</w:t>
      </w:r>
    </w:p>
    <w:p>
      <w:pPr>
        <w:spacing w:after="0" w:before="0"/>
      </w:pPr>
      <w:r>
        <w:rPr>
          <w:rFonts w:ascii="Courier New" w:hAnsi="Courier New"/>
          <w:sz w:val="18"/>
        </w:rPr>
        <w:t>best_corr = cc[best_lag]          # Result: 0.6997</w:t>
      </w:r>
    </w:p>
    <w:p/>
    <w:p>
      <w:pPr>
        <w:spacing w:after="160"/>
      </w:pPr>
      <w:r>
        <w:t>The cross-correlation analysis yielded the following key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Lag (weeks)</w:t>
            </w:r>
          </w:p>
        </w:tc>
        <w:tc>
          <w:tcPr>
            <w:tcW w:type="dxa" w:w="2880"/>
          </w:tcPr>
          <w:p>
            <w:r>
              <w:rPr>
                <w:b/>
                <w:sz w:val="20"/>
              </w:rPr>
              <w:t>Pearson r</w:t>
            </w:r>
          </w:p>
        </w:tc>
        <w:tc>
          <w:tcPr>
            <w:tcW w:type="dxa" w:w="2880"/>
          </w:tcPr>
          <w:p>
            <w:r>
              <w:rPr>
                <w:b/>
                <w:sz w:val="20"/>
              </w:rPr>
              <w:t>Interpretation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0</w:t>
            </w:r>
          </w:p>
        </w:tc>
        <w:tc>
          <w:tcPr>
            <w:tcW w:type="dxa" w:w="2880"/>
          </w:tcPr>
          <w:p>
            <w:r>
              <w:rPr>
                <w:sz w:val="20"/>
              </w:rPr>
              <w:t>0.0085</w:t>
            </w:r>
          </w:p>
        </w:tc>
        <w:tc>
          <w:tcPr>
            <w:tcW w:type="dxa" w:w="2880"/>
          </w:tcPr>
          <w:p>
            <w:r>
              <w:rPr>
                <w:sz w:val="20"/>
              </w:rPr>
              <w:t>No synchronous relationship — confirmed opposite seasons</w:t>
            </w:r>
          </w:p>
        </w:tc>
      </w:tr>
      <w:tr>
        <w:tc>
          <w:tcPr>
            <w:tcW w:type="dxa" w:w="2880"/>
          </w:tcPr>
          <w:p>
            <w:r>
              <w:rPr>
                <w:sz w:val="20"/>
              </w:rPr>
              <w:t>13</w:t>
            </w:r>
          </w:p>
        </w:tc>
        <w:tc>
          <w:tcPr>
            <w:tcW w:type="dxa" w:w="2880"/>
          </w:tcPr>
          <w:p>
            <w:r>
              <w:rPr>
                <w:sz w:val="20"/>
              </w:rPr>
              <w:t>0.2055</w:t>
            </w:r>
          </w:p>
        </w:tc>
        <w:tc>
          <w:tcPr>
            <w:tcW w:type="dxa" w:w="2880"/>
          </w:tcPr>
          <w:p>
            <w:r>
              <w:rPr>
                <w:sz w:val="20"/>
              </w:rPr>
              <w:t>Weak positive — partial seasonal alignment at 3 months</w:t>
            </w:r>
          </w:p>
        </w:tc>
      </w:tr>
      <w:tr>
        <w:tc>
          <w:tcPr>
            <w:tcW w:type="dxa" w:w="2880"/>
          </w:tcPr>
          <w:p>
            <w:r>
              <w:rPr>
                <w:sz w:val="20"/>
              </w:rPr>
              <w:t>20</w:t>
            </w:r>
          </w:p>
        </w:tc>
        <w:tc>
          <w:tcPr>
            <w:tcW w:type="dxa" w:w="2880"/>
          </w:tcPr>
          <w:p>
            <w:r>
              <w:rPr>
                <w:sz w:val="20"/>
              </w:rPr>
              <w:t>0.4605</w:t>
            </w:r>
          </w:p>
        </w:tc>
        <w:tc>
          <w:tcPr>
            <w:tcW w:type="dxa" w:w="2880"/>
          </w:tcPr>
          <w:p>
            <w:r>
              <w:rPr>
                <w:sz w:val="20"/>
              </w:rPr>
              <w:t>Moderate — approaching peak predictive window</w:t>
            </w:r>
          </w:p>
        </w:tc>
      </w:tr>
      <w:tr>
        <w:tc>
          <w:tcPr>
            <w:tcW w:type="dxa" w:w="2880"/>
          </w:tcPr>
          <w:p>
            <w:r>
              <w:rPr>
                <w:sz w:val="20"/>
              </w:rPr>
              <w:t>24</w:t>
            </w:r>
          </w:p>
        </w:tc>
        <w:tc>
          <w:tcPr>
            <w:tcW w:type="dxa" w:w="2880"/>
          </w:tcPr>
          <w:p>
            <w:r>
              <w:rPr>
                <w:sz w:val="20"/>
              </w:rPr>
              <w:t>0.5566</w:t>
            </w:r>
          </w:p>
        </w:tc>
        <w:tc>
          <w:tcPr>
            <w:tcW w:type="dxa" w:w="2880"/>
          </w:tcPr>
          <w:p>
            <w:r>
              <w:rPr>
                <w:sz w:val="20"/>
              </w:rPr>
              <w:t>Strong — 6 months minus 2 weeks</w:t>
            </w:r>
          </w:p>
        </w:tc>
      </w:tr>
      <w:tr>
        <w:tc>
          <w:tcPr>
            <w:tcW w:type="dxa" w:w="2880"/>
          </w:tcPr>
          <w:p>
            <w:r>
              <w:rPr>
                <w:sz w:val="20"/>
              </w:rPr>
              <w:t>26</w:t>
            </w:r>
          </w:p>
        </w:tc>
        <w:tc>
          <w:tcPr>
            <w:tcW w:type="dxa" w:w="2880"/>
          </w:tcPr>
          <w:p>
            <w:r>
              <w:rPr>
                <w:sz w:val="20"/>
              </w:rPr>
              <w:t>0.5580</w:t>
            </w:r>
          </w:p>
        </w:tc>
        <w:tc>
          <w:tcPr>
            <w:tcW w:type="dxa" w:w="2880"/>
          </w:tcPr>
          <w:p>
            <w:r>
              <w:rPr>
                <w:sz w:val="20"/>
              </w:rPr>
              <w:t>Strong — original thesis hypothesis lag</w:t>
            </w:r>
          </w:p>
        </w:tc>
      </w:tr>
      <w:tr>
        <w:tc>
          <w:tcPr>
            <w:tcW w:type="dxa" w:w="2880"/>
          </w:tcPr>
          <w:p>
            <w:r>
              <w:rPr>
                <w:sz w:val="20"/>
              </w:rPr>
              <w:t>-28</w:t>
            </w:r>
          </w:p>
        </w:tc>
        <w:tc>
          <w:tcPr>
            <w:tcW w:type="dxa" w:w="2880"/>
          </w:tcPr>
          <w:p>
            <w:r>
              <w:rPr>
                <w:sz w:val="20"/>
              </w:rPr>
              <w:t>0.6997</w:t>
            </w:r>
          </w:p>
        </w:tc>
        <w:tc>
          <w:tcPr>
            <w:tcW w:type="dxa" w:w="2880"/>
          </w:tcPr>
          <w:p>
            <w:r>
              <w:rPr>
                <w:sz w:val="20"/>
              </w:rPr>
              <w:t>MAXIMUM — optimal predictive lag (Australia leads by 28 weeks)</w:t>
            </w:r>
          </w:p>
        </w:tc>
      </w:tr>
      <w:tr>
        <w:tc>
          <w:tcPr>
            <w:tcW w:type="dxa" w:w="2880"/>
          </w:tcPr>
          <w:p>
            <w:r>
              <w:rPr>
                <w:sz w:val="20"/>
              </w:rPr>
              <w:t>30</w:t>
            </w:r>
          </w:p>
        </w:tc>
        <w:tc>
          <w:tcPr>
            <w:tcW w:type="dxa" w:w="2880"/>
          </w:tcPr>
          <w:p>
            <w:r>
              <w:rPr>
                <w:sz w:val="20"/>
              </w:rPr>
              <w:t>0.4118</w:t>
            </w:r>
          </w:p>
        </w:tc>
        <w:tc>
          <w:tcPr>
            <w:tcW w:type="dxa" w:w="2880"/>
          </w:tcPr>
          <w:p>
            <w:r>
              <w:rPr>
                <w:sz w:val="20"/>
              </w:rPr>
              <w:t>Declining — past the optimal predictive window</w:t>
            </w:r>
          </w:p>
        </w:tc>
      </w:tr>
      <w:tr>
        <w:tc>
          <w:tcPr>
            <w:tcW w:type="dxa" w:w="2880"/>
          </w:tcPr>
          <w:p>
            <w:r>
              <w:rPr>
                <w:sz w:val="20"/>
              </w:rPr>
              <w:t>52</w:t>
            </w:r>
          </w:p>
        </w:tc>
        <w:tc>
          <w:tcPr>
            <w:tcW w:type="dxa" w:w="2880"/>
          </w:tcPr>
          <w:p>
            <w:r>
              <w:rPr>
                <w:sz w:val="20"/>
              </w:rPr>
              <w:t>-0.0341</w:t>
            </w:r>
          </w:p>
        </w:tc>
        <w:tc>
          <w:tcPr>
            <w:tcW w:type="dxa" w:w="2880"/>
          </w:tcPr>
          <w:p>
            <w:r>
              <w:rPr>
                <w:sz w:val="20"/>
              </w:rPr>
              <w:t>Near-zero — full annual cycle, seasonal independence restored</w:t>
            </w:r>
          </w:p>
        </w:tc>
      </w:tr>
    </w:tbl>
    <w:p/>
    <w:p>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pPr>
        <w:jc w:val="center"/>
      </w:pPr>
      <w:r>
        <w:drawing>
          <wp:inline xmlns:a="http://schemas.openxmlformats.org/drawingml/2006/main" xmlns:pic="http://schemas.openxmlformats.org/drawingml/2006/picture">
            <wp:extent cx="5303520" cy="3025856"/>
            <wp:docPr id="4" name="Picture 4"/>
            <wp:cNvGraphicFramePr>
              <a:graphicFrameLocks noChangeAspect="1"/>
            </wp:cNvGraphicFramePr>
            <a:graphic>
              <a:graphicData uri="http://schemas.openxmlformats.org/drawingml/2006/picture">
                <pic:pic>
                  <pic:nvPicPr>
                    <pic:cNvPr id="0" name="lead_lag_validation.png"/>
                    <pic:cNvPicPr/>
                  </pic:nvPicPr>
                  <pic:blipFill>
                    <a:blip r:embed="rId12"/>
                    <a:stretch>
                      <a:fillRect/>
                    </a:stretch>
                  </pic:blipFill>
                  <pic:spPr>
                    <a:xfrm>
                      <a:off x="0" y="0"/>
                      <a:ext cx="5303520" cy="3788229"/>
                    </a:xfrm>
                    <a:prstGeom prst="rect"/>
                  </pic:spPr>
                </pic:pic>
              </a:graphicData>
            </a:graphic>
          </wp:inline>
        </w:drawing>
      </w:r>
    </w:p>
    <w:p>
      <w:pPr>
        <w:spacing w:after="200"/>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pPr>
        <w:pStyle w:val="Heading3"/>
      </w:pPr>
      <w:r>
        <w:rPr>
          <w:b/>
          <w:color w:val="2E75B6"/>
          <w:sz w:val="24"/>
        </w:rPr>
        <w:t>Monthly Peak Analysis</w:t>
      </w:r>
    </w:p>
    <w:p>
      <w:pPr>
        <w:spacing w:after="160"/>
      </w:pPr>
      <w:r>
        <w:t>Aggregation of the aligned FluNet series by calendar month confirms the hemispheric pattern at a granular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Hemisphere</w:t>
            </w:r>
          </w:p>
        </w:tc>
        <w:tc>
          <w:tcPr>
            <w:tcW w:type="dxa" w:w="2160"/>
          </w:tcPr>
          <w:p>
            <w:r>
              <w:rPr>
                <w:b/>
                <w:sz w:val="20"/>
              </w:rPr>
              <w:t>Peak Flu Month</w:t>
            </w:r>
          </w:p>
        </w:tc>
        <w:tc>
          <w:tcPr>
            <w:tcW w:type="dxa" w:w="2160"/>
          </w:tcPr>
          <w:p>
            <w:r>
              <w:rPr>
                <w:b/>
                <w:sz w:val="20"/>
              </w:rPr>
              <w:t>Average Positives at Peak</w:t>
            </w:r>
          </w:p>
        </w:tc>
        <w:tc>
          <w:tcPr>
            <w:tcW w:type="dxa" w:w="2160"/>
          </w:tcPr>
          <w:p>
            <w:r>
              <w:rPr>
                <w:b/>
                <w:sz w:val="20"/>
              </w:rPr>
              <w:t>Calendar Season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Australia</w:t>
            </w:r>
          </w:p>
        </w:tc>
        <w:tc>
          <w:tcPr>
            <w:tcW w:type="dxa" w:w="2160"/>
          </w:tcPr>
          <w:p>
            <w:r>
              <w:rPr>
                <w:sz w:val="20"/>
              </w:rPr>
              <w:t>July (Month 7)</w:t>
            </w:r>
          </w:p>
        </w:tc>
        <w:tc>
          <w:tcPr>
            <w:tcW w:type="dxa" w:w="2160"/>
          </w:tcPr>
          <w:p>
            <w:r>
              <w:rPr>
                <w:sz w:val="20"/>
              </w:rPr>
              <w:t>210</w:t>
            </w:r>
          </w:p>
        </w:tc>
        <w:tc>
          <w:tcPr>
            <w:tcW w:type="dxa" w:w="2160"/>
          </w:tcPr>
          <w:p>
            <w:r>
              <w:rPr>
                <w:sz w:val="20"/>
              </w:rPr>
              <w:t>Southern Hemisphere winter</w:t>
            </w:r>
          </w:p>
        </w:tc>
      </w:tr>
      <w:tr>
        <w:tc>
          <w:tcPr>
            <w:tcW w:type="dxa" w:w="2160"/>
          </w:tcPr>
          <w:p>
            <w:r>
              <w:rPr>
                <w:sz w:val="20"/>
              </w:rPr>
              <w:t>Europe</w:t>
            </w:r>
          </w:p>
        </w:tc>
        <w:tc>
          <w:tcPr>
            <w:tcW w:type="dxa" w:w="2160"/>
          </w:tcPr>
          <w:p>
            <w:r>
              <w:rPr>
                <w:sz w:val="20"/>
              </w:rPr>
              <w:t>February (Month 2)</w:t>
            </w:r>
          </w:p>
        </w:tc>
        <w:tc>
          <w:tcPr>
            <w:tcW w:type="dxa" w:w="2160"/>
          </w:tcPr>
          <w:p>
            <w:r>
              <w:rPr>
                <w:sz w:val="20"/>
              </w:rPr>
              <w:t>4,755</w:t>
            </w:r>
          </w:p>
        </w:tc>
        <w:tc>
          <w:tcPr>
            <w:tcW w:type="dxa" w:w="2160"/>
          </w:tcPr>
          <w:p>
            <w:r>
              <w:rPr>
                <w:sz w:val="20"/>
              </w:rPr>
              <w:t>Northern Hemisphere winter</w:t>
            </w:r>
          </w:p>
        </w:tc>
      </w:tr>
      <w:tr>
        <w:tc>
          <w:tcPr>
            <w:tcW w:type="dxa" w:w="2160"/>
          </w:tcPr>
          <w:p>
            <w:r>
              <w:rPr>
                <w:sz w:val="20"/>
              </w:rPr>
              <w:t>Offset</w:t>
            </w:r>
          </w:p>
        </w:tc>
        <w:tc>
          <w:tcPr>
            <w:tcW w:type="dxa" w:w="2160"/>
          </w:tcPr>
          <w:p>
            <w:r>
              <w:rPr>
                <w:sz w:val="20"/>
              </w:rPr>
              <w:t>~7 months (~28 weeks)</w:t>
            </w:r>
          </w:p>
        </w:tc>
        <w:tc>
          <w:tcPr>
            <w:tcW w:type="dxa" w:w="2160"/>
          </w:tcPr>
          <w:p>
            <w:r>
              <w:rPr>
                <w:sz w:val="20"/>
              </w:rPr>
              <w:t>—</w:t>
            </w:r>
          </w:p>
        </w:tc>
        <w:tc>
          <w:tcPr>
            <w:tcW w:type="dxa" w:w="2160"/>
          </w:tcPr>
          <w:p>
            <w:r>
              <w:rPr>
                <w:sz w:val="20"/>
              </w:rPr>
              <w:t>Confirming lead-lag hypothesis</w:t>
            </w:r>
          </w:p>
        </w:tc>
      </w:tr>
    </w:tbl>
    <w:p/>
    <w:p>
      <w:pPr>
        <w:pStyle w:val="Heading2"/>
      </w:pPr>
      <w:r>
        <w:rPr>
          <w:color w:val="2E75B6"/>
          <w:sz w:val="26"/>
        </w:rPr>
        <w:t>5.2. Time-Series Data Splitting and Prevention of Data Leakage</w:t>
      </w:r>
    </w:p>
    <w:p>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pPr>
        <w:spacing w:after="160"/>
      </w:pPr>
      <w:r>
        <w:t>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predictions are generated exclusively using information available at the time of forecasting, reflecting a realistic operational deployment scenario.</w:t>
      </w:r>
    </w:p>
    <w:p>
      <w:pPr>
        <w:spacing w:after="0" w:before="0"/>
      </w:pPr>
      <w:r>
        <w:rPr>
          <w:rFonts w:ascii="Courier New" w:hAnsi="Courier New"/>
          <w:sz w:val="18"/>
        </w:rPr>
        <w:t>split_idx = int(len(df) * 0.8)</w:t>
      </w:r>
    </w:p>
    <w:p>
      <w:pPr>
        <w:spacing w:after="0" w:before="0"/>
      </w:pPr>
      <w:r>
        <w:rPr>
          <w:rFonts w:ascii="Courier New" w:hAnsi="Courier New"/>
          <w:sz w:val="18"/>
        </w:rPr>
        <w:t>train = df.iloc[:split_idx]   # 238 weeks: 2014-02-02 to 2018-08-19</w:t>
      </w:r>
    </w:p>
    <w:p>
      <w:pPr>
        <w:spacing w:after="0" w:before="0"/>
      </w:pPr>
      <w:r>
        <w:rPr>
          <w:rFonts w:ascii="Courier New" w:hAnsi="Courier New"/>
          <w:sz w:val="18"/>
        </w:rPr>
        <w:t>test  = df.iloc[split_idx:]   # 60 weeks:  2018-08-26 to 2019-10-13</w:t>
      </w:r>
    </w:p>
    <w:p>
      <w:pPr>
        <w:spacing w:after="0" w:before="0"/>
      </w:pPr>
      <w:r>
        <w:rPr>
          <w:rFonts w:ascii="Courier New" w:hAnsi="Courier New"/>
          <w:sz w:val="18"/>
        </w:rPr>
        <w:t>y_train, y_test = train['R03'], test['R03']</w:t>
      </w:r>
    </w:p>
    <w:p/>
    <w:p>
      <w:pPr>
        <w:pStyle w:val="Heading2"/>
      </w:pPr>
      <w:r>
        <w:rPr>
          <w:color w:val="2E75B6"/>
          <w:sz w:val="26"/>
        </w:rPr>
        <w:t>5.3. Advanced Data Processing: Outliers and Sparsity</w:t>
      </w:r>
    </w:p>
    <w:p>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pPr>
        <w:pStyle w:val="Heading2"/>
      </w:pPr>
      <w:r>
        <w:rPr>
          <w:color w:val="2E75B6"/>
          <w:sz w:val="26"/>
        </w:rPr>
        <w:t>5.4. Predictive Modelling Strategy</w:t>
      </w:r>
    </w:p>
    <w:p>
      <w:pPr>
        <w:spacing w:after="160"/>
      </w:pPr>
      <w:r>
        <w:t>This study employs a comparative modelling architecture to isolate the incremental contribution of real epidemiological data to forecasting performance:</w:t>
      </w:r>
    </w:p>
    <w:p>
      <w:pPr>
        <w:pStyle w:val="ListBullet"/>
      </w:pPr>
      <w:r>
        <w:t>Model A (Baseline): XGBoost trained exclusively on autoregressive lag features (Lag1, 4-Week Rolling Average) — no cross-hemispheric signal.</w:t>
      </w:r>
    </w:p>
    <w:p>
      <w:pPr>
        <w:pStyle w:val="ListBullet"/>
      </w:pPr>
      <w:r>
        <w:t>Model B (Real Epidemiological Proxy): XGBoost incorporating real WHO FluNet lagged Australian flu positives alongside autoregressive lag features.</w:t>
      </w:r>
    </w:p>
    <w:p>
      <w:pPr>
        <w:pStyle w:val="ListBullet"/>
      </w:pPr>
      <w:r>
        <w:t>SARIMA (Statistical Baseline): Classical seasonal time series model for comparative benchmarking.</w:t>
      </w:r>
    </w:p>
    <w:p>
      <w:r>
        <w:br w:type="page"/>
      </w:r>
    </w:p>
    <w:p>
      <w:pPr>
        <w:pStyle w:val="Heading1"/>
      </w:pPr>
      <w:r>
        <w:rPr>
          <w:color w:val="1F4E79"/>
          <w:sz w:val="32"/>
        </w:rPr>
        <w:t>6. Model Development and Optimisation</w:t>
      </w:r>
    </w:p>
    <w:p/>
    <w:p>
      <w:pPr>
        <w:pStyle w:val="Heading2"/>
      </w:pPr>
      <w:r>
        <w:rPr>
          <w:color w:val="2E75B6"/>
          <w:sz w:val="26"/>
        </w:rPr>
        <w:t>6.0. Research Journey: Iterative Data and Model Evolution</w:t>
      </w:r>
    </w:p>
    <w:p>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pPr>
        <w:pStyle w:val="Heading3"/>
      </w:pPr>
      <w:r>
        <w:rPr>
          <w:b/>
          <w:color w:val="2E75B6"/>
          <w:sz w:val="24"/>
        </w:rPr>
        <w:t>Phase 1 — Baseline: Kaggle Dataset Only (Autoregressive Benchmark)</w:t>
      </w:r>
    </w:p>
    <w:p>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Data Sources</w:t>
            </w:r>
          </w:p>
        </w:tc>
        <w:tc>
          <w:tcPr>
            <w:tcW w:type="dxa" w:w="2160"/>
          </w:tcPr>
          <w:p>
            <w:r>
              <w:rPr>
                <w:b/>
                <w:sz w:val="20"/>
              </w:rPr>
              <w:t>Model</w:t>
            </w:r>
          </w:p>
        </w:tc>
        <w:tc>
          <w:tcPr>
            <w:tcW w:type="dxa" w:w="2160"/>
          </w:tcPr>
          <w:p>
            <w:r>
              <w:rPr>
                <w:b/>
                <w:sz w:val="20"/>
              </w:rPr>
              <w:t>Principal Result</w:t>
            </w:r>
          </w:p>
        </w:tc>
      </w:tr>
      <w:tr>
        <w:tc>
          <w:tcPr>
            <w:tcW w:type="dxa" w:w="2160"/>
          </w:tcPr>
          <w:p/>
        </w:tc>
        <w:tc>
          <w:tcPr>
            <w:tcW w:type="dxa" w:w="2160"/>
          </w:tcPr>
          <w:p/>
        </w:tc>
        <w:tc>
          <w:tcPr>
            <w:tcW w:type="dxa" w:w="2160"/>
          </w:tcPr>
          <w:p/>
        </w:tc>
        <w:tc>
          <w:tcPr>
            <w:tcW w:type="dxa" w:w="2160"/>
          </w:tcPr>
          <w:p/>
        </w:tc>
      </w:tr>
      <w:tr>
        <w:tc>
          <w:tcPr>
            <w:tcW w:type="dxa" w:w="2160"/>
          </w:tcPr>
          <w:p>
            <w:r>
              <w:rPr>
                <w:sz w:val="20"/>
              </w:rPr>
              <w:t>1 — Baseline</w:t>
            </w:r>
          </w:p>
        </w:tc>
        <w:tc>
          <w:tcPr>
            <w:tcW w:type="dxa" w:w="2160"/>
          </w:tcPr>
          <w:p>
            <w:r>
              <w:rPr>
                <w:sz w:val="20"/>
              </w:rPr>
              <w:t>Kaggle EU Pharma only</w:t>
            </w:r>
          </w:p>
        </w:tc>
        <w:tc>
          <w:tcPr>
            <w:tcW w:type="dxa" w:w="2160"/>
          </w:tcPr>
          <w:p>
            <w:r>
              <w:rPr>
                <w:sz w:val="20"/>
              </w:rPr>
              <w:t>XGBoost Model A (autoregressive)</w:t>
            </w:r>
          </w:p>
        </w:tc>
        <w:tc>
          <w:tcPr>
            <w:tcW w:type="dxa" w:w="2160"/>
          </w:tcPr>
          <w:p>
            <w:r>
              <w:rPr>
                <w:sz w:val="20"/>
              </w:rPr>
              <w:t>MAPE = 46.45%. Captures seasonal shape but cannot forecast peaks in advance.</w:t>
            </w:r>
          </w:p>
        </w:tc>
      </w:tr>
    </w:tbl>
    <w:p/>
    <w:p>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pPr>
        <w:pStyle w:val="Heading3"/>
      </w:pPr>
      <w:r>
        <w:rPr>
          <w:b/>
          <w:color w:val="2E75B6"/>
          <w:sz w:val="24"/>
        </w:rPr>
        <w:t>Phase 2 — Epidemiological Signal: Adding WHO FluNet Australia</w:t>
      </w:r>
    </w:p>
    <w:p>
      <w:pPr>
        <w:spacing w:after="160"/>
      </w:pPr>
      <w:r>
        <w:t>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(weekly influenza-positive laboratory counts, 1997-2024) was downloaded, cleaned, and joined to the Kaggle target series.</w:t>
      </w:r>
    </w:p>
    <w:p>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Data Sources</w:t>
            </w:r>
          </w:p>
        </w:tc>
        <w:tc>
          <w:tcPr>
            <w:tcW w:type="dxa" w:w="2160"/>
          </w:tcPr>
          <w:p>
            <w:r>
              <w:rPr>
                <w:b/>
                <w:sz w:val="20"/>
              </w:rPr>
              <w:t>Model</w:t>
            </w:r>
          </w:p>
        </w:tc>
        <w:tc>
          <w:tcPr>
            <w:tcW w:type="dxa" w:w="2160"/>
          </w:tcPr>
          <w:p>
            <w:r>
              <w:rPr>
                <w:b/>
                <w:sz w:val="20"/>
              </w:rPr>
              <w:t>Principal Result</w:t>
            </w:r>
          </w:p>
        </w:tc>
      </w:tr>
      <w:tr>
        <w:tc>
          <w:tcPr>
            <w:tcW w:type="dxa" w:w="2160"/>
          </w:tcPr>
          <w:p/>
        </w:tc>
        <w:tc>
          <w:tcPr>
            <w:tcW w:type="dxa" w:w="2160"/>
          </w:tcPr>
          <w:p/>
        </w:tc>
        <w:tc>
          <w:tcPr>
            <w:tcW w:type="dxa" w:w="2160"/>
          </w:tcPr>
          <w:p/>
        </w:tc>
        <w:tc>
          <w:tcPr>
            <w:tcW w:type="dxa" w:w="2160"/>
          </w:tcPr>
          <w:p/>
        </w:tc>
      </w:tr>
      <w:tr>
        <w:tc>
          <w:tcPr>
            <w:tcW w:type="dxa" w:w="2160"/>
          </w:tcPr>
          <w:p>
            <w:r>
              <w:rPr>
                <w:sz w:val="20"/>
              </w:rPr>
              <w:t>2 — AU Signal</w:t>
            </w:r>
          </w:p>
        </w:tc>
        <w:tc>
          <w:tcPr>
            <w:tcW w:type="dxa" w:w="2160"/>
          </w:tcPr>
          <w:p>
            <w:r>
              <w:rPr>
                <w:sz w:val="20"/>
              </w:rPr>
              <w:t>Kaggle + WHO FluNet Australia</w:t>
            </w:r>
          </w:p>
        </w:tc>
        <w:tc>
          <w:tcPr>
            <w:tcW w:type="dxa" w:w="2160"/>
          </w:tcPr>
          <w:p>
            <w:r>
              <w:rPr>
                <w:sz w:val="20"/>
              </w:rPr>
              <w:t>XGBoost Model B (+ AU lag)</w:t>
            </w:r>
          </w:p>
        </w:tc>
        <w:tc>
          <w:tcPr>
            <w:tcW w:type="dxa" w:w="2160"/>
          </w:tcPr>
          <w:p>
            <w:r>
              <w:rPr>
                <w:sz w:val="20"/>
              </w:rPr>
              <w:t>MAPE = 44.16% on 60-week holdout. CCF r=0.70 confirmed. DM test: Model B significantly outperforms Model A (p=0.026).</w:t>
            </w:r>
          </w:p>
        </w:tc>
      </w:tr>
    </w:tbl>
    <w:p/>
    <w:p>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pPr>
        <w:pStyle w:val="Heading3"/>
      </w:pPr>
      <w:r>
        <w:rPr>
          <w:b/>
          <w:color w:val="2E75B6"/>
          <w:sz w:val="24"/>
        </w:rPr>
        <w:t>Phase 3 — Global Validation: Adding WHO FluNet Europe-Wide</w:t>
      </w:r>
    </w:p>
    <w:p>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Data Sources</w:t>
            </w:r>
          </w:p>
        </w:tc>
        <w:tc>
          <w:tcPr>
            <w:tcW w:type="dxa" w:w="2160"/>
          </w:tcPr>
          <w:p>
            <w:r>
              <w:rPr>
                <w:b/>
                <w:sz w:val="20"/>
              </w:rPr>
              <w:t>Model</w:t>
            </w:r>
          </w:p>
        </w:tc>
        <w:tc>
          <w:tcPr>
            <w:tcW w:type="dxa" w:w="2160"/>
          </w:tcPr>
          <w:p>
            <w:r>
              <w:rPr>
                <w:b/>
                <w:sz w:val="20"/>
              </w:rPr>
              <w:t>Principal Result</w:t>
            </w:r>
          </w:p>
        </w:tc>
      </w:tr>
      <w:tr>
        <w:tc>
          <w:tcPr>
            <w:tcW w:type="dxa" w:w="2160"/>
          </w:tcPr>
          <w:p/>
        </w:tc>
        <w:tc>
          <w:tcPr>
            <w:tcW w:type="dxa" w:w="2160"/>
          </w:tcPr>
          <w:p/>
        </w:tc>
        <w:tc>
          <w:tcPr>
            <w:tcW w:type="dxa" w:w="2160"/>
          </w:tcPr>
          <w:p/>
        </w:tc>
        <w:tc>
          <w:tcPr>
            <w:tcW w:type="dxa" w:w="2160"/>
          </w:tcPr>
          <w:p/>
        </w:tc>
      </w:tr>
      <w:tr>
        <w:tc>
          <w:tcPr>
            <w:tcW w:type="dxa" w:w="2160"/>
          </w:tcPr>
          <w:p>
            <w:r>
              <w:rPr>
                <w:sz w:val="20"/>
              </w:rPr>
              <w:t>3 — Global</w:t>
            </w:r>
          </w:p>
        </w:tc>
        <w:tc>
          <w:tcPr>
            <w:tcW w:type="dxa" w:w="2160"/>
          </w:tcPr>
          <w:p>
            <w:r>
              <w:rPr>
                <w:sz w:val="20"/>
              </w:rPr>
              <w:t>Kaggle + WHO FluNet AU + EU + global</w:t>
            </w:r>
          </w:p>
        </w:tc>
        <w:tc>
          <w:tcPr>
            <w:tcW w:type="dxa" w:w="2160"/>
          </w:tcPr>
          <w:p>
            <w:r>
              <w:rPr>
                <w:sz w:val="20"/>
              </w:rPr>
              <w:t>XGBoost Model B (full features)</w:t>
            </w:r>
          </w:p>
        </w:tc>
        <w:tc>
          <w:tcPr>
            <w:tcW w:type="dxa" w:w="2160"/>
          </w:tcPr>
          <w:p>
            <w:r>
              <w:rPr>
                <w:sz w:val="20"/>
              </w:rPr>
              <w:t>WFV MAPE = 48.63% over 192 folds. SHAP confirms AU signal is 2nd most important feature. Model B wins in 69% of folds.</w:t>
            </w:r>
          </w:p>
        </w:tc>
      </w:tr>
    </w:tbl>
    <w:p/>
    <w:p>
      <w:pPr>
        <w:pStyle w:val="Heading3"/>
      </w:pPr>
      <w:r>
        <w:rPr>
          <w:b/>
          <w:color w:val="2E75B6"/>
          <w:sz w:val="24"/>
        </w:rPr>
        <w:t>Phase 4 — European Context: AMELI France Open Medic Data</w:t>
      </w:r>
    </w:p>
    <w:p>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pPr>
        <w:pStyle w:val="Heading3"/>
      </w:pPr>
      <w:r>
        <w:rPr>
          <w:b/>
          <w:color w:val="2E75B6"/>
          <w:sz w:val="24"/>
        </w:rPr>
        <w:t>Phase 5 — Southern Hemisphere Expansion: 7-Country Validation</w:t>
      </w:r>
    </w:p>
    <w:p>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Country</w:t>
            </w:r>
          </w:p>
        </w:tc>
        <w:tc>
          <w:tcPr>
            <w:tcW w:type="dxa" w:w="2160"/>
          </w:tcPr>
          <w:p>
            <w:r>
              <w:rPr>
                <w:b/>
                <w:sz w:val="20"/>
              </w:rPr>
              <w:t>Optimal Lag (weeks)</w:t>
            </w:r>
          </w:p>
        </w:tc>
        <w:tc>
          <w:tcPr>
            <w:tcW w:type="dxa" w:w="2160"/>
          </w:tcPr>
          <w:p>
            <w:r>
              <w:rPr>
                <w:b/>
                <w:sz w:val="20"/>
              </w:rPr>
              <w:t>CCF r</w:t>
            </w:r>
          </w:p>
        </w:tc>
        <w:tc>
          <w:tcPr>
            <w:tcW w:type="dxa" w:w="2160"/>
          </w:tcPr>
          <w:p>
            <w:r>
              <w:rPr>
                <w:b/>
                <w:sz w:val="20"/>
              </w:rPr>
              <w:t>Isolated MAPE (%)</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Australia</w:t>
            </w:r>
          </w:p>
        </w:tc>
        <w:tc>
          <w:tcPr>
            <w:tcW w:type="dxa" w:w="2160"/>
          </w:tcPr>
          <w:p>
            <w:r>
              <w:rPr>
                <w:sz w:val="20"/>
              </w:rPr>
              <w:t>26</w:t>
            </w:r>
          </w:p>
        </w:tc>
        <w:tc>
          <w:tcPr>
            <w:tcW w:type="dxa" w:w="2160"/>
          </w:tcPr>
          <w:p>
            <w:r>
              <w:rPr>
                <w:sz w:val="20"/>
              </w:rPr>
              <w:t>0.733</w:t>
            </w:r>
          </w:p>
        </w:tc>
        <w:tc>
          <w:tcPr>
            <w:tcW w:type="dxa" w:w="2160"/>
          </w:tcPr>
          <w:p>
            <w:r>
              <w:rPr>
                <w:sz w:val="20"/>
              </w:rPr>
              <w:t>52.52</w:t>
            </w:r>
          </w:p>
        </w:tc>
      </w:tr>
      <w:tr>
        <w:tc>
          <w:tcPr>
            <w:tcW w:type="dxa" w:w="2160"/>
          </w:tcPr>
          <w:p>
            <w:r>
              <w:rPr>
                <w:sz w:val="20"/>
              </w:rPr>
              <w:t>New Zealand</w:t>
            </w:r>
          </w:p>
        </w:tc>
        <w:tc>
          <w:tcPr>
            <w:tcW w:type="dxa" w:w="2160"/>
          </w:tcPr>
          <w:p>
            <w:r>
              <w:rPr>
                <w:sz w:val="20"/>
              </w:rPr>
              <w:t>27</w:t>
            </w:r>
          </w:p>
        </w:tc>
        <w:tc>
          <w:tcPr>
            <w:tcW w:type="dxa" w:w="2160"/>
          </w:tcPr>
          <w:p>
            <w:r>
              <w:rPr>
                <w:sz w:val="20"/>
              </w:rPr>
              <w:t>0.264</w:t>
            </w:r>
          </w:p>
        </w:tc>
        <w:tc>
          <w:tcPr>
            <w:tcW w:type="dxa" w:w="2160"/>
          </w:tcPr>
          <w:p>
            <w:r>
              <w:rPr>
                <w:sz w:val="20"/>
              </w:rPr>
              <w:t>41.4</w:t>
            </w:r>
          </w:p>
        </w:tc>
      </w:tr>
      <w:tr>
        <w:tc>
          <w:tcPr>
            <w:tcW w:type="dxa" w:w="2160"/>
          </w:tcPr>
          <w:p>
            <w:r>
              <w:rPr>
                <w:sz w:val="20"/>
              </w:rPr>
              <w:t>Chile</w:t>
            </w:r>
          </w:p>
        </w:tc>
        <w:tc>
          <w:tcPr>
            <w:tcW w:type="dxa" w:w="2160"/>
          </w:tcPr>
          <w:p>
            <w:r>
              <w:rPr>
                <w:sz w:val="20"/>
              </w:rPr>
              <w:t>35</w:t>
            </w:r>
          </w:p>
        </w:tc>
        <w:tc>
          <w:tcPr>
            <w:tcW w:type="dxa" w:w="2160"/>
          </w:tcPr>
          <w:p>
            <w:r>
              <w:rPr>
                <w:sz w:val="20"/>
              </w:rPr>
              <w:t>0.358</w:t>
            </w:r>
          </w:p>
        </w:tc>
        <w:tc>
          <w:tcPr>
            <w:tcW w:type="dxa" w:w="2160"/>
          </w:tcPr>
          <w:p>
            <w:r>
              <w:rPr>
                <w:sz w:val="20"/>
              </w:rPr>
              <w:t>54.8</w:t>
            </w:r>
          </w:p>
        </w:tc>
      </w:tr>
      <w:tr>
        <w:tc>
          <w:tcPr>
            <w:tcW w:type="dxa" w:w="2160"/>
          </w:tcPr>
          <w:p>
            <w:r>
              <w:rPr>
                <w:sz w:val="20"/>
              </w:rPr>
              <w:t>Argentina</w:t>
            </w:r>
          </w:p>
        </w:tc>
        <w:tc>
          <w:tcPr>
            <w:tcW w:type="dxa" w:w="2160"/>
          </w:tcPr>
          <w:p>
            <w:r>
              <w:rPr>
                <w:sz w:val="20"/>
              </w:rPr>
              <w:t>24</w:t>
            </w:r>
          </w:p>
        </w:tc>
        <w:tc>
          <w:tcPr>
            <w:tcW w:type="dxa" w:w="2160"/>
          </w:tcPr>
          <w:p>
            <w:r>
              <w:rPr>
                <w:sz w:val="20"/>
              </w:rPr>
              <w:t>0.201</w:t>
            </w:r>
          </w:p>
        </w:tc>
        <w:tc>
          <w:tcPr>
            <w:tcW w:type="dxa" w:w="2160"/>
          </w:tcPr>
          <w:p>
            <w:r>
              <w:rPr>
                <w:sz w:val="20"/>
              </w:rPr>
              <w:t>58.3</w:t>
            </w:r>
          </w:p>
        </w:tc>
      </w:tr>
      <w:tr>
        <w:tc>
          <w:tcPr>
            <w:tcW w:type="dxa" w:w="2160"/>
          </w:tcPr>
          <w:p>
            <w:r>
              <w:rPr>
                <w:sz w:val="20"/>
              </w:rPr>
              <w:t>Brazil</w:t>
            </w:r>
          </w:p>
        </w:tc>
        <w:tc>
          <w:tcPr>
            <w:tcW w:type="dxa" w:w="2160"/>
          </w:tcPr>
          <w:p>
            <w:r>
              <w:rPr>
                <w:sz w:val="20"/>
              </w:rPr>
              <w:t>22</w:t>
            </w:r>
          </w:p>
        </w:tc>
        <w:tc>
          <w:tcPr>
            <w:tcW w:type="dxa" w:w="2160"/>
          </w:tcPr>
          <w:p>
            <w:r>
              <w:rPr>
                <w:sz w:val="20"/>
              </w:rPr>
              <w:t>0.089</w:t>
            </w:r>
          </w:p>
        </w:tc>
        <w:tc>
          <w:tcPr>
            <w:tcW w:type="dxa" w:w="2160"/>
          </w:tcPr>
          <w:p>
            <w:r>
              <w:rPr>
                <w:sz w:val="20"/>
              </w:rPr>
              <w:t>61.2</w:t>
            </w:r>
          </w:p>
        </w:tc>
      </w:tr>
      <w:tr>
        <w:tc>
          <w:tcPr>
            <w:tcW w:type="dxa" w:w="2160"/>
          </w:tcPr>
          <w:p>
            <w:r>
              <w:rPr>
                <w:sz w:val="20"/>
              </w:rPr>
              <w:t>South Africa</w:t>
            </w:r>
          </w:p>
        </w:tc>
        <w:tc>
          <w:tcPr>
            <w:tcW w:type="dxa" w:w="2160"/>
          </w:tcPr>
          <w:p>
            <w:r>
              <w:rPr>
                <w:sz w:val="20"/>
              </w:rPr>
              <w:t>28</w:t>
            </w:r>
          </w:p>
        </w:tc>
        <w:tc>
          <w:tcPr>
            <w:tcW w:type="dxa" w:w="2160"/>
          </w:tcPr>
          <w:p>
            <w:r>
              <w:rPr>
                <w:sz w:val="20"/>
              </w:rPr>
              <w:t>0.412</w:t>
            </w:r>
          </w:p>
        </w:tc>
        <w:tc>
          <w:tcPr>
            <w:tcW w:type="dxa" w:w="2160"/>
          </w:tcPr>
          <w:p>
            <w:r>
              <w:rPr>
                <w:sz w:val="20"/>
              </w:rPr>
              <w:t>55.7</w:t>
            </w:r>
          </w:p>
        </w:tc>
      </w:tr>
      <w:tr>
        <w:tc>
          <w:tcPr>
            <w:tcW w:type="dxa" w:w="2160"/>
          </w:tcPr>
          <w:p>
            <w:r>
              <w:rPr>
                <w:sz w:val="20"/>
              </w:rPr>
              <w:t>Uruguay</w:t>
            </w:r>
          </w:p>
        </w:tc>
        <w:tc>
          <w:tcPr>
            <w:tcW w:type="dxa" w:w="2160"/>
          </w:tcPr>
          <w:p>
            <w:r>
              <w:rPr>
                <w:sz w:val="20"/>
              </w:rPr>
              <w:t>26</w:t>
            </w:r>
          </w:p>
        </w:tc>
        <w:tc>
          <w:tcPr>
            <w:tcW w:type="dxa" w:w="2160"/>
          </w:tcPr>
          <w:p>
            <w:r>
              <w:rPr>
                <w:sz w:val="20"/>
              </w:rPr>
              <w:t>0.178</w:t>
            </w:r>
          </w:p>
        </w:tc>
        <w:tc>
          <w:tcPr>
            <w:tcW w:type="dxa" w:w="2160"/>
          </w:tcPr>
          <w:p>
            <w:r>
              <w:rPr>
                <w:sz w:val="20"/>
              </w:rPr>
              <w:t>60.1</w:t>
            </w:r>
          </w:p>
        </w:tc>
      </w:tr>
    </w:tbl>
    <w:p/>
    <w:p>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counter-intuitive result demonstrates that correlation measures linear co-movement while model accuracy depends on the entire conditional distribution. For production use, Australia remains the recommended signal due to its superior data quality, length, and consistency.</w:t>
      </w:r>
    </w:p>
    <w:p>
      <w:pPr>
        <w:pStyle w:val="Heading3"/>
      </w:pPr>
      <w:r>
        <w:rPr>
          <w:b/>
          <w:color w:val="2E75B6"/>
          <w:sz w:val="24"/>
        </w:rPr>
        <w:t>Phase 6 — Model Optimisation: Seasonal Switching Rule (Best Result)</w:t>
      </w:r>
    </w:p>
    <w:p>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Method</w:t>
            </w:r>
          </w:p>
        </w:tc>
        <w:tc>
          <w:tcPr>
            <w:tcW w:type="dxa" w:w="2160"/>
          </w:tcPr>
          <w:p>
            <w:r>
              <w:rPr>
                <w:b/>
                <w:sz w:val="20"/>
              </w:rPr>
              <w:t>WFV MAPE</w:t>
            </w:r>
          </w:p>
        </w:tc>
        <w:tc>
          <w:tcPr>
            <w:tcW w:type="dxa" w:w="2160"/>
          </w:tcPr>
          <w:p>
            <w:r>
              <w:rPr>
                <w:b/>
                <w:sz w:val="20"/>
              </w:rPr>
              <w:t>vs Model B</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6a</w:t>
            </w:r>
          </w:p>
        </w:tc>
        <w:tc>
          <w:tcPr>
            <w:tcW w:type="dxa" w:w="2160"/>
          </w:tcPr>
          <w:p>
            <w:r>
              <w:rPr>
                <w:sz w:val="20"/>
              </w:rPr>
              <w:t>Model B (XGBoost, all weeks)</w:t>
            </w:r>
          </w:p>
        </w:tc>
        <w:tc>
          <w:tcPr>
            <w:tcW w:type="dxa" w:w="2160"/>
          </w:tcPr>
          <w:p>
            <w:r>
              <w:rPr>
                <w:sz w:val="20"/>
              </w:rPr>
              <w:t>48.63%</w:t>
            </w:r>
          </w:p>
        </w:tc>
        <w:tc>
          <w:tcPr>
            <w:tcW w:type="dxa" w:w="2160"/>
          </w:tcPr>
          <w:p>
            <w:r>
              <w:rPr>
                <w:sz w:val="20"/>
              </w:rPr>
              <w:t>baseline</w:t>
            </w:r>
          </w:p>
        </w:tc>
      </w:tr>
      <w:tr>
        <w:tc>
          <w:tcPr>
            <w:tcW w:type="dxa" w:w="2160"/>
          </w:tcPr>
          <w:p>
            <w:r>
              <w:rPr>
                <w:sz w:val="20"/>
              </w:rPr>
              <w:t>6b</w:t>
            </w:r>
          </w:p>
        </w:tc>
        <w:tc>
          <w:tcPr>
            <w:tcW w:type="dxa" w:w="2160"/>
          </w:tcPr>
          <w:p>
            <w:r>
              <w:rPr>
                <w:sz w:val="20"/>
              </w:rPr>
              <w:t>Switching Rule (hybrid)</w:t>
            </w:r>
          </w:p>
        </w:tc>
        <w:tc>
          <w:tcPr>
            <w:tcW w:type="dxa" w:w="2160"/>
          </w:tcPr>
          <w:p>
            <w:r>
              <w:rPr>
                <w:sz w:val="20"/>
              </w:rPr>
              <w:t>35.78%</w:t>
            </w:r>
          </w:p>
        </w:tc>
        <w:tc>
          <w:tcPr>
            <w:tcW w:type="dxa" w:w="2160"/>
          </w:tcPr>
          <w:p>
            <w:r>
              <w:rPr>
                <w:sz w:val="20"/>
              </w:rPr>
              <w:t>-12.85 pp (best result)</w:t>
            </w:r>
          </w:p>
        </w:tc>
      </w:tr>
      <w:tr>
        <w:tc>
          <w:tcPr>
            <w:tcW w:type="dxa" w:w="2160"/>
          </w:tcPr>
          <w:p>
            <w:r>
              <w:rPr>
                <w:sz w:val="20"/>
              </w:rPr>
              <w:t>6c</w:t>
            </w:r>
          </w:p>
        </w:tc>
        <w:tc>
          <w:tcPr>
            <w:tcW w:type="dxa" w:w="2160"/>
          </w:tcPr>
          <w:p>
            <w:r>
              <w:rPr>
                <w:sz w:val="20"/>
              </w:rPr>
              <w:t>Ensemble AU+NZ+Chile (rejected)</w:t>
            </w:r>
          </w:p>
        </w:tc>
        <w:tc>
          <w:tcPr>
            <w:tcW w:type="dxa" w:w="2160"/>
          </w:tcPr>
          <w:p>
            <w:r>
              <w:rPr>
                <w:sz w:val="20"/>
              </w:rPr>
              <w:t>52.86%</w:t>
            </w:r>
          </w:p>
        </w:tc>
        <w:tc>
          <w:tcPr>
            <w:tcW w:type="dxa" w:w="2160"/>
          </w:tcPr>
          <w:p>
            <w:r>
              <w:rPr>
                <w:sz w:val="20"/>
              </w:rPr>
              <w:t>+4.23 pp (worse)</w:t>
            </w:r>
          </w:p>
        </w:tc>
      </w:tr>
    </w:tbl>
    <w:p/>
    <w:p>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pPr>
        <w:spacing w:after="160"/>
      </w:pPr>
      <w:r>
        <w:t>Table 6.0.1 summarises the complete evolution of model performance across all research phases, providing a clear narrative of how each data addition and methodological decision contributed to the final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Research Phase</w:t>
            </w:r>
          </w:p>
        </w:tc>
        <w:tc>
          <w:tcPr>
            <w:tcW w:type="dxa" w:w="2160"/>
          </w:tcPr>
          <w:p>
            <w:r>
              <w:rPr>
                <w:b/>
                <w:sz w:val="20"/>
              </w:rPr>
              <w:t>Key Addition</w:t>
            </w:r>
          </w:p>
        </w:tc>
        <w:tc>
          <w:tcPr>
            <w:tcW w:type="dxa" w:w="2160"/>
          </w:tcPr>
          <w:p>
            <w:r>
              <w:rPr>
                <w:b/>
                <w:sz w:val="20"/>
              </w:rPr>
              <w:t>MAPE</w:t>
            </w:r>
          </w:p>
        </w:tc>
        <w:tc>
          <w:tcPr>
            <w:tcW w:type="dxa" w:w="2160"/>
          </w:tcPr>
          <w:p>
            <w:r>
              <w:rPr>
                <w:b/>
                <w:sz w:val="20"/>
              </w:rPr>
              <w:t>Advancement</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Phase 1</w:t>
            </w:r>
          </w:p>
        </w:tc>
        <w:tc>
          <w:tcPr>
            <w:tcW w:type="dxa" w:w="2160"/>
          </w:tcPr>
          <w:p>
            <w:r>
              <w:rPr>
                <w:sz w:val="20"/>
              </w:rPr>
              <w:t>Kaggle only — autoregressive</w:t>
            </w:r>
          </w:p>
        </w:tc>
        <w:tc>
          <w:tcPr>
            <w:tcW w:type="dxa" w:w="2160"/>
          </w:tcPr>
          <w:p>
            <w:r>
              <w:rPr>
                <w:sz w:val="20"/>
              </w:rPr>
              <w:t>46.45%</w:t>
            </w:r>
          </w:p>
        </w:tc>
        <w:tc>
          <w:tcPr>
            <w:tcW w:type="dxa" w:w="2160"/>
          </w:tcPr>
          <w:p>
            <w:r>
              <w:rPr>
                <w:sz w:val="20"/>
              </w:rPr>
              <w:t>Baseline established</w:t>
            </w:r>
          </w:p>
        </w:tc>
      </w:tr>
      <w:tr>
        <w:tc>
          <w:tcPr>
            <w:tcW w:type="dxa" w:w="2160"/>
          </w:tcPr>
          <w:p>
            <w:r>
              <w:rPr>
                <w:sz w:val="20"/>
              </w:rPr>
              <w:t>Phase 2</w:t>
            </w:r>
          </w:p>
        </w:tc>
        <w:tc>
          <w:tcPr>
            <w:tcW w:type="dxa" w:w="2160"/>
          </w:tcPr>
          <w:p>
            <w:r>
              <w:rPr>
                <w:sz w:val="20"/>
              </w:rPr>
              <w:t>+ WHO FluNet Australia (lag 26w)</w:t>
            </w:r>
          </w:p>
        </w:tc>
        <w:tc>
          <w:tcPr>
            <w:tcW w:type="dxa" w:w="2160"/>
          </w:tcPr>
          <w:p>
            <w:r>
              <w:rPr>
                <w:sz w:val="20"/>
              </w:rPr>
              <w:t>44.16%</w:t>
            </w:r>
          </w:p>
        </w:tc>
        <w:tc>
          <w:tcPr>
            <w:tcW w:type="dxa" w:w="2160"/>
          </w:tcPr>
          <w:p>
            <w:r>
              <w:rPr>
                <w:sz w:val="20"/>
              </w:rPr>
              <w:t>+2.3pp, forward signal unlocked</w:t>
            </w:r>
          </w:p>
        </w:tc>
      </w:tr>
      <w:tr>
        <w:tc>
          <w:tcPr>
            <w:tcW w:type="dxa" w:w="2160"/>
          </w:tcPr>
          <w:p>
            <w:r>
              <w:rPr>
                <w:sz w:val="20"/>
              </w:rPr>
              <w:t>Phase 3</w:t>
            </w:r>
          </w:p>
        </w:tc>
        <w:tc>
          <w:tcPr>
            <w:tcW w:type="dxa" w:w="2160"/>
          </w:tcPr>
          <w:p>
            <w:r>
              <w:rPr>
                <w:sz w:val="20"/>
              </w:rPr>
              <w:t>+ WHO FluNet Europe, WFV 48 folds</w:t>
            </w:r>
          </w:p>
        </w:tc>
        <w:tc>
          <w:tcPr>
            <w:tcW w:type="dxa" w:w="2160"/>
          </w:tcPr>
          <w:p>
            <w:r>
              <w:rPr>
                <w:sz w:val="20"/>
              </w:rPr>
              <w:t>48.63%*</w:t>
            </w:r>
          </w:p>
        </w:tc>
        <w:tc>
          <w:tcPr>
            <w:tcW w:type="dxa" w:w="2160"/>
          </w:tcPr>
          <w:p>
            <w:r>
              <w:rPr>
                <w:sz w:val="20"/>
              </w:rPr>
              <w:t>Robust validation, 69% win rate</w:t>
            </w:r>
          </w:p>
        </w:tc>
      </w:tr>
      <w:tr>
        <w:tc>
          <w:tcPr>
            <w:tcW w:type="dxa" w:w="2160"/>
          </w:tcPr>
          <w:p>
            <w:r>
              <w:rPr>
                <w:sz w:val="20"/>
              </w:rPr>
              <w:t>Phase 4</w:t>
            </w:r>
          </w:p>
        </w:tc>
        <w:tc>
          <w:tcPr>
            <w:tcW w:type="dxa" w:w="2160"/>
          </w:tcPr>
          <w:p>
            <w:r>
              <w:rPr>
                <w:sz w:val="20"/>
              </w:rPr>
              <w:t>+ AMELI France (external validity)</w:t>
            </w:r>
          </w:p>
        </w:tc>
        <w:tc>
          <w:tcPr>
            <w:tcW w:type="dxa" w:w="2160"/>
          </w:tcPr>
          <w:p>
            <w:r>
              <w:rPr>
                <w:sz w:val="20"/>
              </w:rPr>
              <w:t>—</w:t>
            </w:r>
          </w:p>
        </w:tc>
        <w:tc>
          <w:tcPr>
            <w:tcW w:type="dxa" w:w="2160"/>
          </w:tcPr>
          <w:p>
            <w:r>
              <w:rPr>
                <w:sz w:val="20"/>
              </w:rPr>
              <w:t>Single-pharmacy bias validated</w:t>
            </w:r>
          </w:p>
        </w:tc>
      </w:tr>
      <w:tr>
        <w:tc>
          <w:tcPr>
            <w:tcW w:type="dxa" w:w="2160"/>
          </w:tcPr>
          <w:p>
            <w:r>
              <w:rPr>
                <w:sz w:val="20"/>
              </w:rPr>
              <w:t>Phase 5</w:t>
            </w:r>
          </w:p>
        </w:tc>
        <w:tc>
          <w:tcPr>
            <w:tcW w:type="dxa" w:w="2160"/>
          </w:tcPr>
          <w:p>
            <w:r>
              <w:rPr>
                <w:sz w:val="20"/>
              </w:rPr>
              <w:t>+ 7 SH countries (geographic validity)</w:t>
            </w:r>
          </w:p>
        </w:tc>
        <w:tc>
          <w:tcPr>
            <w:tcW w:type="dxa" w:w="2160"/>
          </w:tcPr>
          <w:p>
            <w:r>
              <w:rPr>
                <w:sz w:val="20"/>
              </w:rPr>
              <w:t>41.4%**</w:t>
            </w:r>
          </w:p>
        </w:tc>
        <w:tc>
          <w:tcPr>
            <w:tcW w:type="dxa" w:w="2160"/>
          </w:tcPr>
          <w:p>
            <w:r>
              <w:rPr>
                <w:sz w:val="20"/>
              </w:rPr>
              <w:t>Framework generalised</w:t>
            </w:r>
          </w:p>
        </w:tc>
      </w:tr>
      <w:tr>
        <w:tc>
          <w:tcPr>
            <w:tcW w:type="dxa" w:w="2160"/>
          </w:tcPr>
          <w:p>
            <w:r>
              <w:rPr>
                <w:sz w:val="20"/>
              </w:rPr>
              <w:t>Phase 6</w:t>
            </w:r>
          </w:p>
        </w:tc>
        <w:tc>
          <w:tcPr>
            <w:tcW w:type="dxa" w:w="2160"/>
          </w:tcPr>
          <w:p>
            <w:r>
              <w:rPr>
                <w:sz w:val="20"/>
              </w:rPr>
              <w:t>Switching Rule (hybrid seasonal model)</w:t>
            </w:r>
          </w:p>
        </w:tc>
        <w:tc>
          <w:tcPr>
            <w:tcW w:type="dxa" w:w="2160"/>
          </w:tcPr>
          <w:p>
            <w:r>
              <w:rPr>
                <w:sz w:val="20"/>
              </w:rPr>
              <w:t>35.78%</w:t>
            </w:r>
          </w:p>
        </w:tc>
        <w:tc>
          <w:tcPr>
            <w:tcW w:type="dxa" w:w="2160"/>
          </w:tcPr>
          <w:p>
            <w:r>
              <w:rPr>
                <w:sz w:val="20"/>
              </w:rPr>
              <w:t>Best result: -12.85pp</w:t>
            </w:r>
          </w:p>
        </w:tc>
      </w:tr>
    </w:tbl>
    <w:p/>
    <w:p>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r>
        <w:br w:type="page"/>
      </w:r>
    </w:p>
    <w:p>
      <w:pPr>
        <w:pStyle w:val="Heading2"/>
      </w:pPr>
      <w:r>
        <w:rPr>
          <w:color w:val="2E75B6"/>
          <w:sz w:val="26"/>
        </w:rPr>
        <w:t>6.1. Mathematical Foundations of the XGBoost Algorithm</w:t>
      </w:r>
    </w:p>
    <w:p>
      <w:pPr>
        <w:spacing w:after="160"/>
      </w:pPr>
      <w:r>
        <w:t>XGBoost optimises a regularised objective function that combines the empirical prediction error with a complexity penalty term to prevent overfitting:</w:t>
      </w:r>
    </w:p>
    <w:p>
      <w:pPr>
        <w:spacing w:after="160"/>
      </w:pPr>
      <w:r>
        <w:t>L(θ) = ∑[ℓ(yᵢ, ŷᵢ)] + ∑[Ω(fₖ)]</w:t>
      </w:r>
    </w:p>
    <w:p>
      <w:pPr>
        <w:spacing w:after="160"/>
      </w:pPr>
      <w:r>
        <w:t>Where ℓ(yᵢ, ŷᵢ) is the empirical loss function measuring the prediction error for observation i, and Ω(fₖ) is the regularisation term penalising model complexity. The regularisation term is defined as:</w:t>
      </w:r>
    </w:p>
    <w:p>
      <w:pPr>
        <w:spacing w:after="160"/>
      </w:pPr>
      <w:r>
        <w:t>Ω(f) = γT + (½)λ ∑[wⱼ²]</w:t>
      </w:r>
    </w:p>
    <w:p>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pPr>
        <w:pStyle w:val="Heading2"/>
      </w:pPr>
      <w:r>
        <w:rPr>
          <w:color w:val="2E75B6"/>
          <w:sz w:val="26"/>
        </w:rPr>
        <w:t>6.2. Step-by-Step Implementation with Real Data</w:t>
      </w:r>
    </w:p>
    <w:p>
      <w:pPr>
        <w:spacing w:after="160"/>
      </w:pPr>
      <w:r>
        <w:t>Following the strict chronological data partitioning detailed in Section 5.2, the XGBoost regressor is configured and trained as follows:</w:t>
      </w:r>
    </w:p>
    <w:p>
      <w:pPr>
        <w:spacing w:after="0" w:before="0"/>
      </w:pPr>
      <w:r>
        <w:rPr>
          <w:rFonts w:ascii="Courier New" w:hAnsi="Courier New"/>
          <w:sz w:val="18"/>
        </w:rPr>
        <w:t>import xgboost as xgb</w:t>
      </w:r>
    </w:p>
    <w:p>
      <w:pPr>
        <w:spacing w:after="0" w:before="0"/>
      </w:pPr>
      <w:r>
        <w:rPr>
          <w:rFonts w:ascii="Courier New" w:hAnsi="Courier New"/>
          <w:sz w:val="18"/>
        </w:rPr>
        <w:t>from sklearn.metrics import mean_absolute_error, mean_squared_error, r2_score</w:t>
      </w:r>
    </w:p>
    <w:p>
      <w:pPr>
        <w:spacing w:after="0" w:before="0"/>
      </w:pPr>
      <w:r>
        <w:rPr>
          <w:rFonts w:ascii="Courier New" w:hAnsi="Courier New"/>
          <w:sz w:val="18"/>
        </w:rPr>
        <w:t>import numpy as np</w:t>
      </w:r>
    </w:p>
    <w:p>
      <w:pPr>
        <w:spacing w:after="0" w:before="0"/>
      </w:pPr>
      <w:r>
        <w:rPr>
          <w:rFonts w:ascii="Courier New" w:hAnsi="Courier New"/>
          <w:sz w:val="18"/>
        </w:rPr>
      </w:r>
    </w:p>
    <w:p>
      <w:pPr>
        <w:spacing w:after="0" w:before="0"/>
      </w:pPr>
      <w:r>
        <w:rPr>
          <w:rFonts w:ascii="Courier New" w:hAnsi="Courier New"/>
          <w:sz w:val="18"/>
        </w:rPr>
        <w:t># --- Feature sets ---</w:t>
      </w:r>
    </w:p>
    <w:p>
      <w:pPr>
        <w:spacing w:after="0" w:before="0"/>
      </w:pPr>
      <w:r>
        <w:rPr>
          <w:rFonts w:ascii="Courier New" w:hAnsi="Courier New"/>
          <w:sz w:val="18"/>
        </w:rPr>
        <w:t># Model A: Autoregressive baseline</w:t>
      </w:r>
    </w:p>
    <w:p>
      <w:pPr>
        <w:spacing w:after="0" w:before="0"/>
      </w:pPr>
      <w:r>
        <w:rPr>
          <w:rFonts w:ascii="Courier New" w:hAnsi="Courier New"/>
          <w:sz w:val="18"/>
        </w:rPr>
        <w:t>baseline_features = ['R03_lag1', 'R03_lag4_avg']</w:t>
      </w:r>
    </w:p>
    <w:p>
      <w:pPr>
        <w:spacing w:after="0" w:before="0"/>
      </w:pPr>
      <w:r>
        <w:rPr>
          <w:rFonts w:ascii="Courier New" w:hAnsi="Courier New"/>
          <w:sz w:val="18"/>
        </w:rPr>
      </w:r>
    </w:p>
    <w:p>
      <w:pPr>
        <w:spacing w:after="0" w:before="0"/>
      </w:pPr>
      <w:r>
        <w:rPr>
          <w:rFonts w:ascii="Courier New" w:hAnsi="Courier New"/>
          <w:sz w:val="18"/>
        </w:rPr>
        <w:t># Model B: Real epidemiological proxy + autoregressive</w:t>
      </w:r>
    </w:p>
    <w:p>
      <w:pPr>
        <w:spacing w:after="0" w:before="0"/>
      </w:pPr>
      <w:r>
        <w:rPr>
          <w:rFonts w:ascii="Courier New" w:hAnsi="Courier New"/>
          <w:sz w:val="18"/>
        </w:rPr>
        <w:t>flunet_features = ['flu_au_positives', 'flu_au_lagged', 'flu_eu_positives']</w:t>
      </w:r>
    </w:p>
    <w:p>
      <w:pPr>
        <w:spacing w:after="0" w:before="0"/>
      </w:pPr>
      <w:r>
        <w:rPr>
          <w:rFonts w:ascii="Courier New" w:hAnsi="Courier New"/>
          <w:sz w:val="18"/>
        </w:rPr>
        <w:t>full_features   = baseline_features + flunet_features</w:t>
      </w:r>
    </w:p>
    <w:p>
      <w:pPr>
        <w:spacing w:after="0" w:before="0"/>
      </w:pPr>
      <w:r>
        <w:rPr>
          <w:rFonts w:ascii="Courier New" w:hAnsi="Courier New"/>
          <w:sz w:val="18"/>
        </w:rPr>
      </w:r>
    </w:p>
    <w:p>
      <w:pPr>
        <w:spacing w:after="0" w:before="0"/>
      </w:pPr>
      <w:r>
        <w:rPr>
          <w:rFonts w:ascii="Courier New" w:hAnsi="Courier New"/>
          <w:sz w:val="18"/>
        </w:rPr>
        <w:t># --- XGBoost configuration ---</w:t>
      </w:r>
    </w:p>
    <w:p>
      <w:pPr>
        <w:spacing w:after="0" w:before="0"/>
      </w:pPr>
      <w:r>
        <w:rPr>
          <w:rFonts w:ascii="Courier New" w:hAnsi="Courier New"/>
          <w:sz w:val="18"/>
        </w:rPr>
        <w:t>model = xgb.XGBRegressor(</w:t>
      </w:r>
    </w:p>
    <w:p>
      <w:pPr>
        <w:spacing w:after="0" w:before="0"/>
      </w:pPr>
      <w:r>
        <w:rPr>
          <w:rFonts w:ascii="Courier New" w:hAnsi="Courier New"/>
          <w:sz w:val="18"/>
        </w:rPr>
        <w:t xml:space="preserve">    objective    = 'reg:squarederror',</w:t>
      </w:r>
    </w:p>
    <w:p>
      <w:pPr>
        <w:spacing w:after="0" w:before="0"/>
      </w:pPr>
      <w:r>
        <w:rPr>
          <w:rFonts w:ascii="Courier New" w:hAnsi="Courier New"/>
          <w:sz w:val="18"/>
        </w:rPr>
        <w:t xml:space="preserve">    n_estimators = 100,</w:t>
      </w:r>
    </w:p>
    <w:p>
      <w:pPr>
        <w:spacing w:after="0" w:before="0"/>
      </w:pPr>
      <w:r>
        <w:rPr>
          <w:rFonts w:ascii="Courier New" w:hAnsi="Courier New"/>
          <w:sz w:val="18"/>
        </w:rPr>
        <w:t xml:space="preserve">    learning_rate= 0.1,</w:t>
      </w:r>
    </w:p>
    <w:p>
      <w:pPr>
        <w:spacing w:after="0" w:before="0"/>
      </w:pPr>
      <w:r>
        <w:rPr>
          <w:rFonts w:ascii="Courier New" w:hAnsi="Courier New"/>
          <w:sz w:val="18"/>
        </w:rPr>
        <w:t xml:space="preserve">    max_depth    = 6,</w:t>
      </w:r>
    </w:p>
    <w:p>
      <w:pPr>
        <w:spacing w:after="0" w:before="0"/>
      </w:pPr>
      <w:r>
        <w:rPr>
          <w:rFonts w:ascii="Courier New" w:hAnsi="Courier New"/>
          <w:sz w:val="18"/>
        </w:rPr>
        <w:t xml:space="preserve">    random_state = 42</w:t>
      </w:r>
    </w:p>
    <w:p>
      <w:pPr>
        <w:spacing w:after="0" w:before="0"/>
      </w:pPr>
      <w:r>
        <w:rPr>
          <w:rFonts w:ascii="Courier New" w:hAnsi="Courier New"/>
          <w:sz w:val="18"/>
        </w:rPr>
        <w:t>)</w:t>
      </w:r>
    </w:p>
    <w:p>
      <w:pPr>
        <w:spacing w:after="0" w:before="0"/>
      </w:pPr>
      <w:r>
        <w:rPr>
          <w:rFonts w:ascii="Courier New" w:hAnsi="Courier New"/>
          <w:sz w:val="18"/>
        </w:rPr>
      </w:r>
    </w:p>
    <w:p>
      <w:pPr>
        <w:spacing w:after="0" w:before="0"/>
      </w:pPr>
      <w:r>
        <w:rPr>
          <w:rFonts w:ascii="Courier New" w:hAnsi="Courier New"/>
          <w:sz w:val="18"/>
        </w:rPr>
        <w:t># --- Training (Model B) ---</w:t>
      </w:r>
    </w:p>
    <w:p>
      <w:pPr>
        <w:spacing w:after="0" w:before="0"/>
      </w:pPr>
      <w:r>
        <w:rPr>
          <w:rFonts w:ascii="Courier New" w:hAnsi="Courier New"/>
          <w:sz w:val="18"/>
        </w:rPr>
        <w:t>model.fit(train[full_features], y_train)</w:t>
      </w:r>
    </w:p>
    <w:p>
      <w:pPr>
        <w:spacing w:after="0" w:before="0"/>
      </w:pPr>
      <w:r>
        <w:rPr>
          <w:rFonts w:ascii="Courier New" w:hAnsi="Courier New"/>
          <w:sz w:val="18"/>
        </w:rPr>
        <w:t>predictions = model.predict(test[full_features])</w:t>
      </w:r>
    </w:p>
    <w:p/>
    <w:p>
      <w:pPr>
        <w:spacing w:after="160"/>
      </w:pPr>
      <w:r>
        <w:t>The model was initialised with 100 sequential decision trees (n_estimators=100) and a conservative learning rate of 0.1 to iteratively minimise the squared error loss while 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pPr>
        <w:pStyle w:val="Heading2"/>
      </w:pPr>
      <w:r>
        <w:rPr>
          <w:color w:val="2E75B6"/>
          <w:sz w:val="26"/>
        </w:rPr>
        <w:t>6.3. Model Validation</w:t>
      </w:r>
    </w:p>
    <w:p>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pPr>
        <w:jc w:val="center"/>
      </w:pPr>
      <w:r>
        <w:drawing>
          <wp:inline xmlns:a="http://schemas.openxmlformats.org/drawingml/2006/main" xmlns:pic="http://schemas.openxmlformats.org/drawingml/2006/picture">
            <wp:extent cx="5303520" cy="3831161"/>
            <wp:docPr id="5" name="Picture 5"/>
            <wp:cNvGraphicFramePr>
              <a:graphicFrameLocks noChangeAspect="1"/>
            </wp:cNvGraphicFramePr>
            <a:graphic>
              <a:graphicData uri="http://schemas.openxmlformats.org/drawingml/2006/picture">
                <pic:pic>
                  <pic:nvPicPr>
                    <pic:cNvPr id="0" name="model_results.png"/>
                    <pic:cNvPicPr/>
                  </pic:nvPicPr>
                  <pic:blipFill>
                    <a:blip r:embed="rId13"/>
                    <a:stretch>
                      <a:fillRect/>
                    </a:stretch>
                  </pic:blipFill>
                  <pic:spPr>
                    <a:xfrm>
                      <a:off x="0" y="0"/>
                      <a:ext cx="5303520" cy="3788229"/>
                    </a:xfrm>
                    <a:prstGeom prst="rect"/>
                  </pic:spPr>
                </pic:pic>
              </a:graphicData>
            </a:graphic>
          </wp:inline>
        </w:drawing>
      </w:r>
    </w:p>
    <w:p>
      <w:pPr>
        <w:spacing w:after="200"/>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pPr>
        <w:pStyle w:val="Heading2"/>
      </w:pPr>
      <w:r>
        <w:rPr>
          <w:color w:val="2E75B6"/>
          <w:sz w:val="26"/>
        </w:rPr>
        <w:t>6.4. Statistical Metrics</w:t>
      </w:r>
    </w:p>
    <w:p>
      <w:pPr>
        <w:spacing w:after="160"/>
      </w:pPr>
      <w:r>
        <w:t>The following four metrics are used throughout this study to evaluate forecasting performance. They are defined here as a consolidated reference; wherever MAPE and related metrics appear in earlier sections (e.g., Section 6.0 Research Journey), their definitions are those presented below.</w:t>
      </w:r>
    </w:p>
    <w:p>
      <w:pPr>
        <w:pStyle w:val="Heading3"/>
      </w:pPr>
      <w:r>
        <w:rPr>
          <w:b/>
          <w:color w:val="2E75B6"/>
          <w:sz w:val="24"/>
        </w:rPr>
        <w:t>Mean Absolute Error (MAE)</w:t>
      </w:r>
    </w:p>
    <w:p>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pPr>
        <w:pStyle w:val="Heading3"/>
      </w:pPr>
      <w:r>
        <w:rPr>
          <w:b/>
          <w:color w:val="2E75B6"/>
          <w:sz w:val="24"/>
        </w:rPr>
        <w:t>Root Mean Squared Error (RMSE)</w:t>
      </w:r>
    </w:p>
    <w:p>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pPr>
        <w:pStyle w:val="Heading3"/>
      </w:pPr>
      <w:r>
        <w:rPr>
          <w:b/>
          <w:color w:val="2E75B6"/>
          <w:sz w:val="24"/>
        </w:rPr>
        <w:t>Mean Absolute Percentage Error (MAPE)</w:t>
      </w:r>
    </w:p>
    <w:p>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pPr>
        <w:pStyle w:val="Heading3"/>
      </w:pPr>
      <w:r>
        <w:rPr>
          <w:b/>
          <w:color w:val="2E75B6"/>
          <w:sz w:val="24"/>
        </w:rPr>
        <w:t>R-Squared (R2) Score</w:t>
      </w:r>
    </w:p>
    <w:p>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pPr>
        <w:pStyle w:val="Heading2"/>
      </w:pPr>
      <w:r>
        <w:rPr>
          <w:color w:val="2E75B6"/>
          <w:sz w:val="26"/>
        </w:rPr>
        <w:t>6.5. Use Case Simulation</w:t>
      </w:r>
    </w:p>
    <w:p>
      <w:pPr>
        <w:spacing w:after="160"/>
      </w:pPr>
      <w:r>
        <w:t>To demonstrate the operational value of the trained model in a real-world supply chain context, a forward-looking simulation was executed using the most recent available Australian FluNet observation as the model input:</w:t>
      </w:r>
    </w:p>
    <w:p>
      <w:pPr>
        <w:spacing w:after="0" w:before="0"/>
      </w:pPr>
      <w:r>
        <w:rPr>
          <w:rFonts w:ascii="Courier New" w:hAnsi="Courier New"/>
          <w:sz w:val="18"/>
        </w:rPr>
        <w:t># Real-time operational forecast</w:t>
      </w:r>
    </w:p>
    <w:p>
      <w:pPr>
        <w:spacing w:after="0" w:before="0"/>
      </w:pPr>
      <w:r>
        <w:rPr>
          <w:rFonts w:ascii="Courier New" w:hAnsi="Courier New"/>
          <w:sz w:val="18"/>
        </w:rPr>
        <w:t>latest_au_data = test[full_features].tail(1)</w:t>
      </w:r>
    </w:p>
    <w:p>
      <w:pPr>
        <w:spacing w:after="0" w:before="0"/>
      </w:pPr>
      <w:r>
        <w:rPr>
          <w:rFonts w:ascii="Courier New" w:hAnsi="Courier New"/>
          <w:sz w:val="18"/>
        </w:rPr>
        <w:t>future_prediction = model.predict(latest_au_data)</w:t>
      </w:r>
    </w:p>
    <w:p>
      <w:pPr>
        <w:spacing w:after="0" w:before="0"/>
      </w:pPr>
      <w:r>
        <w:rPr>
          <w:rFonts w:ascii="Courier New" w:hAnsi="Courier New"/>
          <w:sz w:val="18"/>
        </w:rPr>
        <w:t>print(f'European R03 demand forecast (26 weeks ahead): {future_prediction[0]:.2f} units')</w:t>
      </w:r>
    </w:p>
    <w:p/>
    <w:p>
      <w:pPr>
        <w:spacing w:after="160"/>
      </w:pPr>
      <w:r>
        <w:t>This simulation encapsulates the core operational objective: translating the current state of Australian influenza activity into a specific, quantified European demand projection with a 26-week lead time. In a production deployment, this forward-looking forecast would be updated weekly as new WHO FluNet data becomes available, providing supply chain managers with a continuously refreshed predictive buffer aligned with pharmaceutical manufacturing and procurement lead times.</w:t>
      </w:r>
    </w:p>
    <w:p>
      <w:pPr>
        <w:pStyle w:val="Heading2"/>
      </w:pPr>
      <w:r>
        <w:rPr>
          <w:color w:val="2E75B6"/>
          <w:sz w:val="26"/>
        </w:rPr>
        <w:t>6.6. Phase 2 Optimisation and Feature Engineering</w:t>
      </w:r>
    </w:p>
    <w:p>
      <w:pPr>
        <w:pStyle w:val="Heading3"/>
      </w:pPr>
      <w:r>
        <w:rPr>
          <w:b/>
          <w:color w:val="2E75B6"/>
          <w:sz w:val="24"/>
        </w:rPr>
        <w:t>6.6.1. Autoregressive Lag Features</w:t>
      </w:r>
    </w:p>
    <w:p>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pPr>
        <w:pStyle w:val="ListBullet"/>
      </w:pPr>
      <w:r>
        <w:t>Lag 1 (Immediate Momentum): The exact R03 sales volume from the preceding week, enabling the algorithm to detect and propagate ongoing demand momentum into the next-week forecast.</w:t>
      </w:r>
    </w:p>
    <w:p>
      <w:pPr>
        <w:pStyle w:val="ListBullet"/>
      </w:pPr>
      <w:r>
        <w:t>Lag 4 Rolling Average (Short-Term Trend): The mean demand over the previous four consecutive weeks, providing a smoothed local baseline that suppresses week-to-week noise while preserving the underlying seasonal trajectory.</w:t>
      </w:r>
    </w:p>
    <w:p>
      <w:pPr>
        <w:spacing w:after="0" w:before="0"/>
      </w:pPr>
      <w:r>
        <w:rPr>
          <w:rFonts w:ascii="Courier New" w:hAnsi="Courier New"/>
          <w:sz w:val="18"/>
        </w:rPr>
        <w:t>integrated['R03_lag1']     = integrated['R03'].shift(1)</w:t>
      </w:r>
    </w:p>
    <w:p>
      <w:pPr>
        <w:spacing w:after="0" w:before="0"/>
      </w:pPr>
      <w:r>
        <w:rPr>
          <w:rFonts w:ascii="Courier New" w:hAnsi="Courier New"/>
          <w:sz w:val="18"/>
        </w:rPr>
        <w:t>integrated['R03_lag4_avg'] = integrated['R03'].shift(1).rolling(window=4).mean()</w:t>
      </w:r>
    </w:p>
    <w:p/>
    <w:p>
      <w:pPr>
        <w:pStyle w:val="Heading3"/>
      </w:pPr>
      <w:r>
        <w:rPr>
          <w:b/>
          <w:color w:val="2E75B6"/>
          <w:sz w:val="24"/>
        </w:rPr>
        <w:t>6.6.2. Performance Comparison with Original Synthetic Proxy</w:t>
      </w:r>
    </w:p>
    <w:p>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MAE</w:t>
            </w:r>
          </w:p>
        </w:tc>
        <w:tc>
          <w:tcPr>
            <w:tcW w:type="dxa" w:w="1440"/>
          </w:tcPr>
          <w:p>
            <w:r>
              <w:rPr>
                <w:b/>
                <w:sz w:val="20"/>
              </w:rPr>
              <w:t>RMSE</w:t>
            </w:r>
          </w:p>
        </w:tc>
        <w:tc>
          <w:tcPr>
            <w:tcW w:type="dxa" w:w="1440"/>
          </w:tcPr>
          <w:p>
            <w:r>
              <w:rPr>
                <w:b/>
                <w:sz w:val="20"/>
              </w:rPr>
              <w:t>MAPE</w:t>
            </w:r>
          </w:p>
        </w:tc>
        <w:tc>
          <w:tcPr>
            <w:tcW w:type="dxa" w:w="1440"/>
          </w:tcPr>
          <w:p>
            <w:r>
              <w:rPr>
                <w:b/>
                <w:sz w:val="20"/>
              </w:rPr>
              <w:t>R2</w:t>
            </w:r>
          </w:p>
        </w:tc>
        <w:tc>
          <w:tcPr>
            <w:tcW w:type="dxa" w:w="1440"/>
          </w:tcPr>
          <w:p>
            <w:r>
              <w:rPr>
                <w:b/>
                <w:sz w:val="20"/>
              </w:rPr>
              <w:t>Data Source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Original Baseline (synthetic, Phase 1)</w:t>
            </w:r>
          </w:p>
        </w:tc>
        <w:tc>
          <w:tcPr>
            <w:tcW w:type="dxa" w:w="1440"/>
          </w:tcPr>
          <w:p>
            <w:r>
              <w:rPr>
                <w:sz w:val="20"/>
              </w:rPr>
              <w:t>25.36</w:t>
            </w:r>
          </w:p>
        </w:tc>
        <w:tc>
          <w:tcPr>
            <w:tcW w:type="dxa" w:w="1440"/>
          </w:tcPr>
          <w:p>
            <w:r>
              <w:rPr>
                <w:sz w:val="20"/>
              </w:rPr>
              <w:t>34.17</w:t>
            </w:r>
          </w:p>
        </w:tc>
        <w:tc>
          <w:tcPr>
            <w:tcW w:type="dxa" w:w="1440"/>
          </w:tcPr>
          <w:p>
            <w:r>
              <w:rPr>
                <w:sz w:val="20"/>
              </w:rPr>
              <w:t>61.91%</w:t>
            </w:r>
          </w:p>
        </w:tc>
        <w:tc>
          <w:tcPr>
            <w:tcW w:type="dxa" w:w="1440"/>
          </w:tcPr>
          <w:p>
            <w:r>
              <w:rPr>
                <w:sz w:val="20"/>
              </w:rPr>
              <w:t>-0.4536</w:t>
            </w:r>
          </w:p>
        </w:tc>
        <w:tc>
          <w:tcPr>
            <w:tcW w:type="dxa" w:w="1440"/>
          </w:tcPr>
          <w:p>
            <w:r>
              <w:rPr>
                <w:sz w:val="20"/>
              </w:rPr>
              <w:t>Circular (self-shifted EU data)</w:t>
            </w:r>
          </w:p>
        </w:tc>
      </w:tr>
      <w:tr>
        <w:tc>
          <w:tcPr>
            <w:tcW w:type="dxa" w:w="1440"/>
          </w:tcPr>
          <w:p>
            <w:r>
              <w:rPr>
                <w:sz w:val="20"/>
              </w:rPr>
              <w:t>Original Optimised (synthetic, Phase 2)</w:t>
            </w:r>
          </w:p>
        </w:tc>
        <w:tc>
          <w:tcPr>
            <w:tcW w:type="dxa" w:w="1440"/>
          </w:tcPr>
          <w:p>
            <w:r>
              <w:rPr>
                <w:sz w:val="20"/>
              </w:rPr>
              <w:t>21.16</w:t>
            </w:r>
          </w:p>
        </w:tc>
        <w:tc>
          <w:tcPr>
            <w:tcW w:type="dxa" w:w="1440"/>
          </w:tcPr>
          <w:p>
            <w:r>
              <w:rPr>
                <w:sz w:val="20"/>
              </w:rPr>
              <w:t>28.89</w:t>
            </w:r>
          </w:p>
        </w:tc>
        <w:tc>
          <w:tcPr>
            <w:tcW w:type="dxa" w:w="1440"/>
          </w:tcPr>
          <w:p>
            <w:r>
              <w:rPr>
                <w:sz w:val="20"/>
              </w:rPr>
              <w:t>49.75%</w:t>
            </w:r>
          </w:p>
        </w:tc>
        <w:tc>
          <w:tcPr>
            <w:tcW w:type="dxa" w:w="1440"/>
          </w:tcPr>
          <w:p>
            <w:r>
              <w:rPr>
                <w:sz w:val="20"/>
              </w:rPr>
              <w:t>-0.0212</w:t>
            </w:r>
          </w:p>
        </w:tc>
        <w:tc>
          <w:tcPr>
            <w:tcW w:type="dxa" w:w="1440"/>
          </w:tcPr>
          <w:p>
            <w:r>
              <w:rPr>
                <w:sz w:val="20"/>
              </w:rPr>
              <w:t>Circular (self-shifted EU data)</w:t>
            </w:r>
          </w:p>
        </w:tc>
      </w:tr>
      <w:tr>
        <w:tc>
          <w:tcPr>
            <w:tcW w:type="dxa" w:w="1440"/>
          </w:tcPr>
          <w:p>
            <w:r>
              <w:rPr>
                <w:sz w:val="20"/>
              </w:rPr>
              <w:t>New Baseline (lag features only)</w:t>
            </w:r>
          </w:p>
        </w:tc>
        <w:tc>
          <w:tcPr>
            <w:tcW w:type="dxa" w:w="1440"/>
          </w:tcPr>
          <w:p>
            <w:r>
              <w:rPr>
                <w:sz w:val="20"/>
              </w:rPr>
              <w:t>22.58</w:t>
            </w:r>
          </w:p>
        </w:tc>
        <w:tc>
          <w:tcPr>
            <w:tcW w:type="dxa" w:w="1440"/>
          </w:tcPr>
          <w:p>
            <w:r>
              <w:rPr>
                <w:sz w:val="20"/>
              </w:rPr>
              <w:t>30.42</w:t>
            </w:r>
          </w:p>
        </w:tc>
        <w:tc>
          <w:tcPr>
            <w:tcW w:type="dxa" w:w="1440"/>
          </w:tcPr>
          <w:p>
            <w:r>
              <w:rPr>
                <w:sz w:val="20"/>
              </w:rPr>
              <w:t>46.45%</w:t>
            </w:r>
          </w:p>
        </w:tc>
        <w:tc>
          <w:tcPr>
            <w:tcW w:type="dxa" w:w="1440"/>
          </w:tcPr>
          <w:p>
            <w:r>
              <w:rPr>
                <w:sz w:val="20"/>
              </w:rPr>
              <w:t>-0.0995</w:t>
            </w:r>
          </w:p>
        </w:tc>
        <w:tc>
          <w:tcPr>
            <w:tcW w:type="dxa" w:w="1440"/>
          </w:tcPr>
          <w:p>
            <w:r>
              <w:rPr>
                <w:sz w:val="20"/>
              </w:rPr>
              <w:t>Real autoregressive</w:t>
            </w:r>
          </w:p>
        </w:tc>
      </w:tr>
      <w:tr>
        <w:tc>
          <w:tcPr>
            <w:tcW w:type="dxa" w:w="1440"/>
          </w:tcPr>
          <w:p>
            <w:r>
              <w:rPr>
                <w:sz w:val="20"/>
              </w:rPr>
              <w:t>New Model B (real WHO FluNet)</w:t>
            </w:r>
          </w:p>
        </w:tc>
        <w:tc>
          <w:tcPr>
            <w:tcW w:type="dxa" w:w="1440"/>
          </w:tcPr>
          <w:p>
            <w:r>
              <w:rPr>
                <w:sz w:val="20"/>
              </w:rPr>
              <w:t>24.32</w:t>
            </w:r>
          </w:p>
        </w:tc>
        <w:tc>
          <w:tcPr>
            <w:tcW w:type="dxa" w:w="1440"/>
          </w:tcPr>
          <w:p>
            <w:r>
              <w:rPr>
                <w:sz w:val="20"/>
              </w:rPr>
              <w:t>32.71</w:t>
            </w:r>
          </w:p>
        </w:tc>
        <w:tc>
          <w:tcPr>
            <w:tcW w:type="dxa" w:w="1440"/>
          </w:tcPr>
          <w:p>
            <w:r>
              <w:rPr>
                <w:sz w:val="20"/>
              </w:rPr>
              <w:t>44.16%</w:t>
            </w:r>
          </w:p>
        </w:tc>
        <w:tc>
          <w:tcPr>
            <w:tcW w:type="dxa" w:w="1440"/>
          </w:tcPr>
          <w:p>
            <w:r>
              <w:rPr>
                <w:sz w:val="20"/>
              </w:rPr>
              <w:t>-0.2713</w:t>
            </w:r>
          </w:p>
        </w:tc>
        <w:tc>
          <w:tcPr>
            <w:tcW w:type="dxa" w:w="1440"/>
          </w:tcPr>
          <w:p>
            <w:r>
              <w:rPr>
                <w:sz w:val="20"/>
              </w:rPr>
              <w:t>Real epidemiological</w:t>
            </w:r>
          </w:p>
        </w:tc>
      </w:tr>
    </w:tbl>
    <w:p/>
    <w:p>
      <w:pPr>
        <w:spacing w:after="120"/>
      </w:pPr>
      <w:r>
        <w:rPr>
          <w:b/>
          <w:color w:val="2E75B6"/>
        </w:rPr>
        <w:t xml:space="preserve">Note: </w:t>
      </w:r>
      <w:r>
        <w:rPr>
          <w:color w:val="404040"/>
        </w:rPr>
        <w:t>The apparent performance advantage of the original synthetic proxy models is an artefact of data leakage. The new models, trained on genuinely independent data, achieve more conservative but methodologically valid results. The best MAPE across all real models (44.16%) represents a genuine improvement over the original baseline even after removing the leakage advantage.</w:t>
      </w:r>
    </w:p>
    <w:p>
      <w:pPr>
        <w:pStyle w:val="Heading2"/>
      </w:pPr>
      <w:r>
        <w:rPr>
          <w:color w:val="2E75B6"/>
          <w:sz w:val="26"/>
        </w:rPr>
        <w:t>6.7. SHAP Explainability Analysis</w:t>
      </w:r>
    </w:p>
    <w:p>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pPr>
        <w:pStyle w:val="Heading3"/>
      </w:pPr>
      <w:r>
        <w:rPr>
          <w:b/>
          <w:color w:val="2E75B6"/>
          <w:sz w:val="24"/>
        </w:rPr>
        <w:t>6.7.1. Global Feature Importance</w:t>
      </w:r>
    </w:p>
    <w:p>
      <w:pPr>
        <w:spacing w:after="160"/>
      </w:pPr>
      <w:r>
        <w:t>Global importance is computed as the mean absolute SHAP value across all 60 test-set weeks. The results reveal a clear hierarchy of predictive drivers: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Mean |SHAP| (units/week)</w:t>
            </w:r>
          </w:p>
        </w:tc>
        <w:tc>
          <w:tcPr>
            <w:tcW w:type="dxa" w:w="2160"/>
          </w:tcPr>
          <w:p>
            <w:r>
              <w:rPr>
                <w:b/>
                <w:sz w:val="20"/>
              </w:rPr>
              <w:t>Share of Total</w:t>
            </w:r>
          </w:p>
        </w:tc>
        <w:tc>
          <w:tcPr>
            <w:tcW w:type="dxa" w:w="2160"/>
          </w:tcPr>
          <w:p>
            <w:r>
              <w:rPr>
                <w:b/>
                <w:sz w:val="20"/>
              </w:rPr>
              <w:t>Interpretation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R03 demand (4-week avg)</w:t>
            </w:r>
          </w:p>
        </w:tc>
        <w:tc>
          <w:tcPr>
            <w:tcW w:type="dxa" w:w="2160"/>
          </w:tcPr>
          <w:p>
            <w:r>
              <w:rPr>
                <w:sz w:val="20"/>
              </w:rPr>
              <w:t>5.338</w:t>
            </w:r>
          </w:p>
        </w:tc>
        <w:tc>
          <w:tcPr>
            <w:tcW w:type="dxa" w:w="2160"/>
          </w:tcPr>
          <w:p>
            <w:r>
              <w:rPr>
                <w:sz w:val="20"/>
              </w:rPr>
              <w:t>35.3%</w:t>
            </w:r>
          </w:p>
        </w:tc>
        <w:tc>
          <w:tcPr>
            <w:tcW w:type="dxa" w:w="2160"/>
          </w:tcPr>
          <w:p>
            <w:r>
              <w:rPr>
                <w:sz w:val="20"/>
              </w:rPr>
              <w:t>Short-term momentum — dominant autoregressive signal</w:t>
            </w:r>
          </w:p>
        </w:tc>
      </w:tr>
      <w:tr>
        <w:tc>
          <w:tcPr>
            <w:tcW w:type="dxa" w:w="2160"/>
          </w:tcPr>
          <w:p>
            <w:r>
              <w:rPr>
                <w:sz w:val="20"/>
              </w:rPr>
              <w:t>Europe flu (current week)</w:t>
            </w:r>
          </w:p>
        </w:tc>
        <w:tc>
          <w:tcPr>
            <w:tcW w:type="dxa" w:w="2160"/>
          </w:tcPr>
          <w:p>
            <w:r>
              <w:rPr>
                <w:sz w:val="20"/>
              </w:rPr>
              <w:t>4.618</w:t>
            </w:r>
          </w:p>
        </w:tc>
        <w:tc>
          <w:tcPr>
            <w:tcW w:type="dxa" w:w="2160"/>
          </w:tcPr>
          <w:p>
            <w:r>
              <w:rPr>
                <w:sz w:val="20"/>
              </w:rPr>
              <w:t>30.6%</w:t>
            </w:r>
          </w:p>
        </w:tc>
        <w:tc>
          <w:tcPr>
            <w:tcW w:type="dxa" w:w="2160"/>
          </w:tcPr>
          <w:p>
            <w:r>
              <w:rPr>
                <w:sz w:val="20"/>
              </w:rPr>
              <w:t>Concurrent ILI activity — confirms demand already elevated</w:t>
            </w:r>
          </w:p>
        </w:tc>
      </w:tr>
      <w:tr>
        <w:tc>
          <w:tcPr>
            <w:tcW w:type="dxa" w:w="2160"/>
          </w:tcPr>
          <w:p>
            <w:r>
              <w:rPr>
                <w:sz w:val="20"/>
              </w:rPr>
              <w:t>Australia flu (current week)</w:t>
            </w:r>
          </w:p>
        </w:tc>
        <w:tc>
          <w:tcPr>
            <w:tcW w:type="dxa" w:w="2160"/>
          </w:tcPr>
          <w:p>
            <w:r>
              <w:rPr>
                <w:sz w:val="20"/>
              </w:rPr>
              <w:t>1.978</w:t>
            </w:r>
          </w:p>
        </w:tc>
        <w:tc>
          <w:tcPr>
            <w:tcW w:type="dxa" w:w="2160"/>
          </w:tcPr>
          <w:p>
            <w:r>
              <w:rPr>
                <w:sz w:val="20"/>
              </w:rPr>
              <w:t>13.1%</w:t>
            </w:r>
          </w:p>
        </w:tc>
        <w:tc>
          <w:tcPr>
            <w:tcW w:type="dxa" w:w="2160"/>
          </w:tcPr>
          <w:p>
            <w:r>
              <w:rPr>
                <w:sz w:val="20"/>
              </w:rPr>
              <w:t>Near-term Southern Hemisphere confirmation signal</w:t>
            </w:r>
          </w:p>
        </w:tc>
      </w:tr>
      <w:tr>
        <w:tc>
          <w:tcPr>
            <w:tcW w:type="dxa" w:w="2160"/>
          </w:tcPr>
          <w:p>
            <w:r>
              <w:rPr>
                <w:sz w:val="20"/>
              </w:rPr>
              <w:t>R03 demand (prev. week)</w:t>
            </w:r>
          </w:p>
        </w:tc>
        <w:tc>
          <w:tcPr>
            <w:tcW w:type="dxa" w:w="2160"/>
          </w:tcPr>
          <w:p>
            <w:r>
              <w:rPr>
                <w:sz w:val="20"/>
              </w:rPr>
              <w:t>1.843</w:t>
            </w:r>
          </w:p>
        </w:tc>
        <w:tc>
          <w:tcPr>
            <w:tcW w:type="dxa" w:w="2160"/>
          </w:tcPr>
          <w:p>
            <w:r>
              <w:rPr>
                <w:sz w:val="20"/>
              </w:rPr>
              <w:t>12.2%</w:t>
            </w:r>
          </w:p>
        </w:tc>
        <w:tc>
          <w:tcPr>
            <w:tcW w:type="dxa" w:w="2160"/>
          </w:tcPr>
          <w:p>
            <w:r>
              <w:rPr>
                <w:sz w:val="20"/>
              </w:rPr>
              <w:t>One-week lag — immediate momentum</w:t>
            </w:r>
          </w:p>
        </w:tc>
      </w:tr>
      <w:tr>
        <w:tc>
          <w:tcPr>
            <w:tcW w:type="dxa" w:w="2160"/>
          </w:tcPr>
          <w:p>
            <w:r>
              <w:rPr>
                <w:sz w:val="20"/>
              </w:rPr>
              <w:t>Australia flu (lagged 26 wk)</w:t>
            </w:r>
          </w:p>
        </w:tc>
        <w:tc>
          <w:tcPr>
            <w:tcW w:type="dxa" w:w="2160"/>
          </w:tcPr>
          <w:p>
            <w:r>
              <w:rPr>
                <w:sz w:val="20"/>
              </w:rPr>
              <w:t>1.517</w:t>
            </w:r>
          </w:p>
        </w:tc>
        <w:tc>
          <w:tcPr>
            <w:tcW w:type="dxa" w:w="2160"/>
          </w:tcPr>
          <w:p>
            <w:r>
              <w:rPr>
                <w:sz w:val="20"/>
              </w:rPr>
              <w:t>10.0%</w:t>
            </w:r>
          </w:p>
        </w:tc>
        <w:tc>
          <w:tcPr>
            <w:tcW w:type="dxa" w:w="2160"/>
          </w:tcPr>
          <w:p>
            <w:r>
              <w:rPr>
                <w:sz w:val="20"/>
              </w:rPr>
              <w:t>Six-month lead indicator — unique forward-looking signal</w:t>
            </w:r>
          </w:p>
        </w:tc>
      </w:tr>
      <w:tr>
        <w:tc>
          <w:tcPr>
            <w:tcW w:type="dxa" w:w="2160"/>
          </w:tcPr>
          <w:p>
            <w:r>
              <w:rPr>
                <w:sz w:val="20"/>
              </w:rPr>
              <w:t>R06 demand (prev. week)</w:t>
            </w:r>
          </w:p>
        </w:tc>
        <w:tc>
          <w:tcPr>
            <w:tcW w:type="dxa" w:w="2160"/>
          </w:tcPr>
          <w:p>
            <w:r>
              <w:rPr>
                <w:sz w:val="20"/>
              </w:rPr>
              <w:t>0.548</w:t>
            </w:r>
          </w:p>
        </w:tc>
        <w:tc>
          <w:tcPr>
            <w:tcW w:type="dxa" w:w="2160"/>
          </w:tcPr>
          <w:p>
            <w:r>
              <w:rPr>
                <w:sz w:val="20"/>
              </w:rPr>
              <w:t>3.6%</w:t>
            </w:r>
          </w:p>
        </w:tc>
        <w:tc>
          <w:tcPr>
            <w:tcW w:type="dxa" w:w="2160"/>
          </w:tcPr>
          <w:p>
            <w:r>
              <w:rPr>
                <w:sz w:val="20"/>
              </w:rPr>
              <w:t>Cross-product correlation signal</w:t>
            </w:r>
          </w:p>
        </w:tc>
      </w:tr>
    </w:tbl>
    <w:p/>
    <w:p>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pPr>
        <w:pStyle w:val="Heading3"/>
      </w:pPr>
      <w:r>
        <w:rPr>
          <w:b/>
          <w:color w:val="2E75B6"/>
          <w:sz w:val="24"/>
        </w:rPr>
        <w:t>6.7.2. Single-Prediction Decomposition (Peak Week)</w:t>
      </w:r>
    </w:p>
    <w:p>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pPr>
        <w:pStyle w:val="Heading3"/>
      </w:pPr>
      <w:r>
        <w:rPr>
          <w:b/>
          <w:color w:val="2E75B6"/>
          <w:sz w:val="24"/>
        </w:rPr>
        <w:t>6.7.3. Dependence Relationships</w:t>
      </w:r>
    </w:p>
    <w:p>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pPr>
        <w:pStyle w:val="Heading3"/>
      </w:pPr>
      <w:r>
        <w:rPr>
          <w:b/>
          <w:color w:val="2E75B6"/>
          <w:sz w:val="24"/>
        </w:rPr>
        <w:t>6.7.4. Implications for Supply Chain Decision-Making</w:t>
      </w:r>
    </w:p>
    <w:p>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pPr>
        <w:jc w:val="center"/>
      </w:pPr>
      <w:r>
        <w:drawing>
          <wp:inline xmlns:a="http://schemas.openxmlformats.org/drawingml/2006/main" xmlns:pic="http://schemas.openxmlformats.org/drawingml/2006/picture">
            <wp:extent cx="5303520" cy="4124118"/>
            <wp:docPr id="6" name="Picture 6"/>
            <wp:cNvGraphicFramePr>
              <a:graphicFrameLocks noChangeAspect="1"/>
            </wp:cNvGraphicFramePr>
            <a:graphic>
              <a:graphicData uri="http://schemas.openxmlformats.org/drawingml/2006/picture">
                <pic:pic>
                  <pic:nvPicPr>
                    <pic:cNvPr id="0" name="shap_bar.png"/>
                    <pic:cNvPicPr/>
                  </pic:nvPicPr>
                  <pic:blipFill>
                    <a:blip r:embed="rId14"/>
                    <a:stretch>
                      <a:fillRect/>
                    </a:stretch>
                  </pic:blipFill>
                  <pic:spPr>
                    <a:xfrm>
                      <a:off x="0" y="0"/>
                      <a:ext cx="5303520" cy="2905177"/>
                    </a:xfrm>
                    <a:prstGeom prst="rect"/>
                  </pic:spPr>
                </pic:pic>
              </a:graphicData>
            </a:graphic>
          </wp:inline>
        </w:drawing>
      </w:r>
    </w:p>
    <w:p>
      <w:pPr>
        <w:spacing w:after="200"/>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pPr>
        <w:jc w:val="center"/>
      </w:pPr>
      <w:r>
        <w:drawing>
          <wp:inline xmlns:a="http://schemas.openxmlformats.org/drawingml/2006/main" xmlns:pic="http://schemas.openxmlformats.org/drawingml/2006/picture">
            <wp:extent cx="5303520" cy="2546575"/>
            <wp:docPr id="7" name="Picture 7"/>
            <wp:cNvGraphicFramePr>
              <a:graphicFrameLocks noChangeAspect="1"/>
            </wp:cNvGraphicFramePr>
            <a:graphic>
              <a:graphicData uri="http://schemas.openxmlformats.org/drawingml/2006/picture">
                <pic:pic>
                  <pic:nvPicPr>
                    <pic:cNvPr id="0" name="shap_waterfall.png"/>
                    <pic:cNvPicPr/>
                  </pic:nvPicPr>
                  <pic:blipFill>
                    <a:blip r:embed="rId15"/>
                    <a:stretch>
                      <a:fillRect/>
                    </a:stretch>
                  </pic:blipFill>
                  <pic:spPr>
                    <a:xfrm>
                      <a:off x="0" y="0"/>
                      <a:ext cx="5303520" cy="2546575"/>
                    </a:xfrm>
                    <a:prstGeom prst="rect"/>
                  </pic:spPr>
                </pic:pic>
              </a:graphicData>
            </a:graphic>
          </wp:inline>
        </w:drawing>
      </w:r>
    </w:p>
    <w:p>
      <w:pPr>
        <w:spacing w:after="200"/>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pPr>
        <w:jc w:val="center"/>
      </w:pPr>
      <w:r>
        <w:drawing>
          <wp:inline xmlns:a="http://schemas.openxmlformats.org/drawingml/2006/main" xmlns:pic="http://schemas.openxmlformats.org/drawingml/2006/picture">
            <wp:extent cx="5303520" cy="2977415"/>
            <wp:docPr id="8" name="Picture 8"/>
            <wp:cNvGraphicFramePr>
              <a:graphicFrameLocks noChangeAspect="1"/>
            </wp:cNvGraphicFramePr>
            <a:graphic>
              <a:graphicData uri="http://schemas.openxmlformats.org/drawingml/2006/picture">
                <pic:pic>
                  <pic:nvPicPr>
                    <pic:cNvPr id="0" name="shap_dependence_flu_lag.png"/>
                    <pic:cNvPicPr/>
                  </pic:nvPicPr>
                  <pic:blipFill>
                    <a:blip r:embed="rId16"/>
                    <a:stretch>
                      <a:fillRect/>
                    </a:stretch>
                  </pic:blipFill>
                  <pic:spPr>
                    <a:xfrm>
                      <a:off x="0" y="0"/>
                      <a:ext cx="5303520" cy="2977415"/>
                    </a:xfrm>
                    <a:prstGeom prst="rect"/>
                  </pic:spPr>
                </pic:pic>
              </a:graphicData>
            </a:graphic>
          </wp:inline>
        </w:drawing>
      </w:r>
    </w:p>
    <w:p>
      <w:pPr>
        <w:spacing w:after="200"/>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pPr>
        <w:jc w:val="center"/>
      </w:pPr>
      <w:r>
        <w:drawing>
          <wp:inline xmlns:a="http://schemas.openxmlformats.org/drawingml/2006/main" xmlns:pic="http://schemas.openxmlformats.org/drawingml/2006/picture">
            <wp:extent cx="5303520" cy="2971622"/>
            <wp:docPr id="9" name="Picture 9"/>
            <wp:cNvGraphicFramePr>
              <a:graphicFrameLocks noChangeAspect="1"/>
            </wp:cNvGraphicFramePr>
            <a:graphic>
              <a:graphicData uri="http://schemas.openxmlformats.org/drawingml/2006/picture">
                <pic:pic>
                  <pic:nvPicPr>
                    <pic:cNvPr id="0" name="shap_dependence_r03_lag.png"/>
                    <pic:cNvPicPr/>
                  </pic:nvPicPr>
                  <pic:blipFill>
                    <a:blip r:embed="rId17"/>
                    <a:stretch>
                      <a:fillRect/>
                    </a:stretch>
                  </pic:blipFill>
                  <pic:spPr>
                    <a:xfrm>
                      <a:off x="0" y="0"/>
                      <a:ext cx="5303520" cy="2971622"/>
                    </a:xfrm>
                    <a:prstGeom prst="rect"/>
                  </pic:spPr>
                </pic:pic>
              </a:graphicData>
            </a:graphic>
          </wp:inline>
        </w:drawing>
      </w:r>
    </w:p>
    <w:p>
      <w:pPr>
        <w:spacing w:after="200"/>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pPr>
        <w:pStyle w:val="Heading2"/>
      </w:pPr>
      <w:r>
        <w:rPr>
          <w:color w:val="2E75B6"/>
          <w:sz w:val="26"/>
        </w:rPr>
        <w:t>6.8. Walk-Forward Validation</w:t>
      </w:r>
    </w:p>
    <w:p>
      <w:pPr>
        <w:spacing w:after="160"/>
      </w:pPr>
      <w:r>
        <w:t>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addresses this limitation by simulating the sequential deployment of the model across the full historical dataset.</w:t>
      </w:r>
    </w:p>
    <w:p>
      <w:pPr>
        <w:pStyle w:val="Heading3"/>
      </w:pPr>
      <w:r>
        <w:rPr>
          <w:b/>
          <w:color w:val="2E75B6"/>
          <w:sz w:val="24"/>
        </w:rPr>
        <w:t>6.8.1. Methodology</w:t>
      </w:r>
    </w:p>
    <w:p>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Rationale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Minimum training window</w:t>
            </w:r>
          </w:p>
        </w:tc>
        <w:tc>
          <w:tcPr>
            <w:tcW w:type="dxa" w:w="2880"/>
          </w:tcPr>
          <w:p>
            <w:r>
              <w:rPr>
                <w:sz w:val="20"/>
              </w:rPr>
              <w:t>104 weeks</w:t>
            </w:r>
          </w:p>
        </w:tc>
        <w:tc>
          <w:tcPr>
            <w:tcW w:type="dxa" w:w="2880"/>
          </w:tcPr>
          <w:p>
            <w:r>
              <w:rPr>
                <w:sz w:val="20"/>
              </w:rPr>
              <w:t>2 seasonal cycles minimum for XGBoost to learn seasonality</w:t>
            </w:r>
          </w:p>
        </w:tc>
      </w:tr>
      <w:tr>
        <w:tc>
          <w:tcPr>
            <w:tcW w:type="dxa" w:w="2880"/>
          </w:tcPr>
          <w:p>
            <w:r>
              <w:rPr>
                <w:sz w:val="20"/>
              </w:rPr>
              <w:t>Step size</w:t>
            </w:r>
          </w:p>
        </w:tc>
        <w:tc>
          <w:tcPr>
            <w:tcW w:type="dxa" w:w="2880"/>
          </w:tcPr>
          <w:p>
            <w:r>
              <w:rPr>
                <w:sz w:val="20"/>
              </w:rPr>
              <w:t>4 weeks</w:t>
            </w:r>
          </w:p>
        </w:tc>
        <w:tc>
          <w:tcPr>
            <w:tcW w:type="dxa" w:w="2880"/>
          </w:tcPr>
          <w:p>
            <w:r>
              <w:rPr>
                <w:sz w:val="20"/>
              </w:rPr>
              <w:t>Monthly fold advancement — aligns with S&amp;OP planning cycles</w:t>
            </w:r>
          </w:p>
        </w:tc>
      </w:tr>
      <w:tr>
        <w:tc>
          <w:tcPr>
            <w:tcW w:type="dxa" w:w="2880"/>
          </w:tcPr>
          <w:p>
            <w:r>
              <w:rPr>
                <w:sz w:val="20"/>
              </w:rPr>
              <w:t>Test window per fold</w:t>
            </w:r>
          </w:p>
        </w:tc>
        <w:tc>
          <w:tcPr>
            <w:tcW w:type="dxa" w:w="2880"/>
          </w:tcPr>
          <w:p>
            <w:r>
              <w:rPr>
                <w:sz w:val="20"/>
              </w:rPr>
              <w:t>4 weeks</w:t>
            </w:r>
          </w:p>
        </w:tc>
        <w:tc>
          <w:tcPr>
            <w:tcW w:type="dxa" w:w="2880"/>
          </w:tcPr>
          <w:p>
            <w:r>
              <w:rPr>
                <w:sz w:val="20"/>
              </w:rPr>
              <w:t>Short horizon minimises iterative error accumulation</w:t>
            </w:r>
          </w:p>
        </w:tc>
      </w:tr>
      <w:tr>
        <w:tc>
          <w:tcPr>
            <w:tcW w:type="dxa" w:w="2880"/>
          </w:tcPr>
          <w:p>
            <w:r>
              <w:rPr>
                <w:sz w:val="20"/>
              </w:rPr>
              <w:t>Total folds</w:t>
            </w:r>
          </w:p>
        </w:tc>
        <w:tc>
          <w:tcPr>
            <w:tcW w:type="dxa" w:w="2880"/>
          </w:tcPr>
          <w:p>
            <w:r>
              <w:rPr>
                <w:sz w:val="20"/>
              </w:rPr>
              <w:t>48</w:t>
            </w:r>
          </w:p>
        </w:tc>
        <w:tc>
          <w:tcPr>
            <w:tcW w:type="dxa" w:w="2880"/>
          </w:tcPr>
          <w:p>
            <w:r>
              <w:rPr>
                <w:sz w:val="20"/>
              </w:rPr>
              <w:t>Complete coverage of weeks 105-298</w:t>
            </w:r>
          </w:p>
        </w:tc>
      </w:tr>
      <w:tr>
        <w:tc>
          <w:tcPr>
            <w:tcW w:type="dxa" w:w="2880"/>
          </w:tcPr>
          <w:p>
            <w:r>
              <w:rPr>
                <w:sz w:val="20"/>
              </w:rPr>
              <w:t>Total out-of-sample predictions</w:t>
            </w:r>
          </w:p>
        </w:tc>
        <w:tc>
          <w:tcPr>
            <w:tcW w:type="dxa" w:w="2880"/>
          </w:tcPr>
          <w:p>
            <w:r>
              <w:rPr>
                <w:sz w:val="20"/>
              </w:rPr>
              <w:t>192 weeks</w:t>
            </w:r>
          </w:p>
        </w:tc>
        <w:tc>
          <w:tcPr>
            <w:tcW w:type="dxa" w:w="2880"/>
          </w:tcPr>
          <w:p>
            <w:r>
              <w:rPr>
                <w:sz w:val="20"/>
              </w:rPr>
              <w:t>64% of full dataset evaluated out-of-sample</w:t>
            </w:r>
          </w:p>
        </w:tc>
      </w:tr>
    </w:tbl>
    <w:p/>
    <w:p>
      <w:pPr>
        <w:pStyle w:val="Heading3"/>
      </w:pPr>
      <w:r>
        <w:rPr>
          <w:b/>
          <w:color w:val="2E75B6"/>
          <w:sz w:val="24"/>
        </w:rPr>
        <w:t>6.8.2. Results</w:t>
      </w:r>
    </w:p>
    <w:p>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Model A (Lags only)</w:t>
            </w:r>
          </w:p>
        </w:tc>
        <w:tc>
          <w:tcPr>
            <w:tcW w:type="dxa" w:w="2160"/>
          </w:tcPr>
          <w:p>
            <w:r>
              <w:rPr>
                <w:b/>
                <w:sz w:val="20"/>
              </w:rPr>
              <w:t>Model B (Lags + FluNet)</w:t>
            </w:r>
          </w:p>
        </w:tc>
        <w:tc>
          <w:tcPr>
            <w:tcW w:type="dxa" w:w="2160"/>
          </w:tcPr>
          <w:p>
            <w:r>
              <w:rPr>
                <w:b/>
                <w:sz w:val="20"/>
              </w:rPr>
              <w:t>Improvement</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MAPE (mean)</w:t>
            </w:r>
          </w:p>
        </w:tc>
        <w:tc>
          <w:tcPr>
            <w:tcW w:type="dxa" w:w="2160"/>
          </w:tcPr>
          <w:p>
            <w:r>
              <w:rPr>
                <w:sz w:val="20"/>
              </w:rPr>
              <w:t>53.38%</w:t>
            </w:r>
          </w:p>
        </w:tc>
        <w:tc>
          <w:tcPr>
            <w:tcW w:type="dxa" w:w="2160"/>
          </w:tcPr>
          <w:p>
            <w:r>
              <w:rPr>
                <w:sz w:val="20"/>
              </w:rPr>
              <w:t>48.63%</w:t>
            </w:r>
          </w:p>
        </w:tc>
        <w:tc>
          <w:tcPr>
            <w:tcW w:type="dxa" w:w="2160"/>
          </w:tcPr>
          <w:p>
            <w:r>
              <w:rPr>
                <w:sz w:val="20"/>
              </w:rPr>
              <w:t>-4.75 pp</w:t>
            </w:r>
          </w:p>
        </w:tc>
      </w:tr>
      <w:tr>
        <w:tc>
          <w:tcPr>
            <w:tcW w:type="dxa" w:w="2160"/>
          </w:tcPr>
          <w:p>
            <w:r>
              <w:rPr>
                <w:sz w:val="20"/>
              </w:rPr>
              <w:t>MAPE (std)</w:t>
            </w:r>
          </w:p>
        </w:tc>
        <w:tc>
          <w:tcPr>
            <w:tcW w:type="dxa" w:w="2160"/>
          </w:tcPr>
          <w:p>
            <w:r>
              <w:rPr>
                <w:sz w:val="20"/>
              </w:rPr>
              <w:t>34.39%</w:t>
            </w:r>
          </w:p>
        </w:tc>
        <w:tc>
          <w:tcPr>
            <w:tcW w:type="dxa" w:w="2160"/>
          </w:tcPr>
          <w:p>
            <w:r>
              <w:rPr>
                <w:sz w:val="20"/>
              </w:rPr>
              <w:t>35.62%</w:t>
            </w:r>
          </w:p>
        </w:tc>
        <w:tc>
          <w:tcPr>
            <w:tcW w:type="dxa" w:w="2160"/>
          </w:tcPr>
          <w:p>
            <w:r>
              <w:rPr>
                <w:sz w:val="20"/>
              </w:rPr>
              <w:t>—</w:t>
            </w:r>
          </w:p>
        </w:tc>
      </w:tr>
      <w:tr>
        <w:tc>
          <w:tcPr>
            <w:tcW w:type="dxa" w:w="2160"/>
          </w:tcPr>
          <w:p>
            <w:r>
              <w:rPr>
                <w:sz w:val="20"/>
              </w:rPr>
              <w:t>MAPE (min)</w:t>
            </w:r>
          </w:p>
        </w:tc>
        <w:tc>
          <w:tcPr>
            <w:tcW w:type="dxa" w:w="2160"/>
          </w:tcPr>
          <w:p>
            <w:r>
              <w:rPr>
                <w:sz w:val="20"/>
              </w:rPr>
              <w:t>9.12%</w:t>
            </w:r>
          </w:p>
        </w:tc>
        <w:tc>
          <w:tcPr>
            <w:tcW w:type="dxa" w:w="2160"/>
          </w:tcPr>
          <w:p>
            <w:r>
              <w:rPr>
                <w:sz w:val="20"/>
              </w:rPr>
              <w:t>10.34%</w:t>
            </w:r>
          </w:p>
        </w:tc>
        <w:tc>
          <w:tcPr>
            <w:tcW w:type="dxa" w:w="2160"/>
          </w:tcPr>
          <w:p>
            <w:r>
              <w:rPr>
                <w:sz w:val="20"/>
              </w:rPr>
              <w:t>—</w:t>
            </w:r>
          </w:p>
        </w:tc>
      </w:tr>
      <w:tr>
        <w:tc>
          <w:tcPr>
            <w:tcW w:type="dxa" w:w="2160"/>
          </w:tcPr>
          <w:p>
            <w:r>
              <w:rPr>
                <w:sz w:val="20"/>
              </w:rPr>
              <w:t>MAPE (max)</w:t>
            </w:r>
          </w:p>
        </w:tc>
        <w:tc>
          <w:tcPr>
            <w:tcW w:type="dxa" w:w="2160"/>
          </w:tcPr>
          <w:p>
            <w:r>
              <w:rPr>
                <w:sz w:val="20"/>
              </w:rPr>
              <w:t>220.76%</w:t>
            </w:r>
          </w:p>
        </w:tc>
        <w:tc>
          <w:tcPr>
            <w:tcW w:type="dxa" w:w="2160"/>
          </w:tcPr>
          <w:p>
            <w:r>
              <w:rPr>
                <w:sz w:val="20"/>
              </w:rPr>
              <w:t>218.45%</w:t>
            </w:r>
          </w:p>
        </w:tc>
        <w:tc>
          <w:tcPr>
            <w:tcW w:type="dxa" w:w="2160"/>
          </w:tcPr>
          <w:p>
            <w:r>
              <w:rPr>
                <w:sz w:val="20"/>
              </w:rPr>
              <w:t>-2.3 pp</w:t>
            </w:r>
          </w:p>
        </w:tc>
      </w:tr>
      <w:tr>
        <w:tc>
          <w:tcPr>
            <w:tcW w:type="dxa" w:w="2160"/>
          </w:tcPr>
          <w:p>
            <w:r>
              <w:rPr>
                <w:sz w:val="20"/>
              </w:rPr>
              <w:t>MAE (mean)</w:t>
            </w:r>
          </w:p>
        </w:tc>
        <w:tc>
          <w:tcPr>
            <w:tcW w:type="dxa" w:w="2160"/>
          </w:tcPr>
          <w:p>
            <w:r>
              <w:rPr>
                <w:sz w:val="20"/>
              </w:rPr>
              <w:t>18.42 units</w:t>
            </w:r>
          </w:p>
        </w:tc>
        <w:tc>
          <w:tcPr>
            <w:tcW w:type="dxa" w:w="2160"/>
          </w:tcPr>
          <w:p>
            <w:r>
              <w:rPr>
                <w:sz w:val="20"/>
              </w:rPr>
              <w:t>16.53 units</w:t>
            </w:r>
          </w:p>
        </w:tc>
        <w:tc>
          <w:tcPr>
            <w:tcW w:type="dxa" w:w="2160"/>
          </w:tcPr>
          <w:p>
            <w:r>
              <w:rPr>
                <w:sz w:val="20"/>
              </w:rPr>
              <w:t>-10.3%</w:t>
            </w:r>
          </w:p>
        </w:tc>
      </w:tr>
      <w:tr>
        <w:tc>
          <w:tcPr>
            <w:tcW w:type="dxa" w:w="2160"/>
          </w:tcPr>
          <w:p>
            <w:r>
              <w:rPr>
                <w:sz w:val="20"/>
              </w:rPr>
              <w:t>RMSE (mean)</w:t>
            </w:r>
          </w:p>
        </w:tc>
        <w:tc>
          <w:tcPr>
            <w:tcW w:type="dxa" w:w="2160"/>
          </w:tcPr>
          <w:p>
            <w:r>
              <w:rPr>
                <w:sz w:val="20"/>
              </w:rPr>
              <w:t>21.78 units</w:t>
            </w:r>
          </w:p>
        </w:tc>
        <w:tc>
          <w:tcPr>
            <w:tcW w:type="dxa" w:w="2160"/>
          </w:tcPr>
          <w:p>
            <w:r>
              <w:rPr>
                <w:sz w:val="20"/>
              </w:rPr>
              <w:t>19.53 units</w:t>
            </w:r>
          </w:p>
        </w:tc>
        <w:tc>
          <w:tcPr>
            <w:tcW w:type="dxa" w:w="2160"/>
          </w:tcPr>
          <w:p>
            <w:r>
              <w:rPr>
                <w:sz w:val="20"/>
              </w:rPr>
              <w:t>-10.3%</w:t>
            </w:r>
          </w:p>
        </w:tc>
      </w:tr>
      <w:tr>
        <w:tc>
          <w:tcPr>
            <w:tcW w:type="dxa" w:w="2160"/>
          </w:tcPr>
          <w:p>
            <w:r>
              <w:rPr>
                <w:sz w:val="20"/>
              </w:rPr>
              <w:t>R2 (mean)</w:t>
            </w:r>
          </w:p>
        </w:tc>
        <w:tc>
          <w:tcPr>
            <w:tcW w:type="dxa" w:w="2160"/>
          </w:tcPr>
          <w:p>
            <w:r>
              <w:rPr>
                <w:sz w:val="20"/>
              </w:rPr>
              <w:t>-3.30</w:t>
            </w:r>
          </w:p>
        </w:tc>
        <w:tc>
          <w:tcPr>
            <w:tcW w:type="dxa" w:w="2160"/>
          </w:tcPr>
          <w:p>
            <w:r>
              <w:rPr>
                <w:sz w:val="20"/>
              </w:rPr>
              <w:t>-2.24</w:t>
            </w:r>
          </w:p>
        </w:tc>
        <w:tc>
          <w:tcPr>
            <w:tcW w:type="dxa" w:w="2160"/>
          </w:tcPr>
          <w:p>
            <w:r>
              <w:rPr>
                <w:sz w:val="20"/>
              </w:rPr>
              <w:t>+0.26 pp</w:t>
            </w:r>
          </w:p>
        </w:tc>
      </w:tr>
      <w:tr>
        <w:tc>
          <w:tcPr>
            <w:tcW w:type="dxa" w:w="2160"/>
          </w:tcPr>
          <w:p>
            <w:r>
              <w:rPr>
                <w:sz w:val="20"/>
              </w:rPr>
              <w:t>Folds where B wins</w:t>
            </w:r>
          </w:p>
        </w:tc>
        <w:tc>
          <w:tcPr>
            <w:tcW w:type="dxa" w:w="2160"/>
          </w:tcPr>
          <w:p>
            <w:r>
              <w:rPr>
                <w:sz w:val="20"/>
              </w:rPr>
              <w:t>—</w:t>
            </w:r>
          </w:p>
        </w:tc>
        <w:tc>
          <w:tcPr>
            <w:tcW w:type="dxa" w:w="2160"/>
          </w:tcPr>
          <w:p>
            <w:r>
              <w:rPr>
                <w:sz w:val="20"/>
              </w:rPr>
              <w:t>69%</w:t>
            </w:r>
          </w:p>
        </w:tc>
        <w:tc>
          <w:tcPr>
            <w:tcW w:type="dxa" w:w="2160"/>
          </w:tcPr>
          <w:p>
            <w:r>
              <w:rPr>
                <w:sz w:val="20"/>
              </w:rPr>
              <w:t>—</w:t>
            </w:r>
          </w:p>
        </w:tc>
      </w:tr>
    </w:tbl>
    <w:p/>
    <w:p>
      <w:pPr>
        <w:pStyle w:val="Heading3"/>
      </w:pPr>
      <w:r>
        <w:rPr>
          <w:b/>
          <w:color w:val="2E75B6"/>
          <w:sz w:val="24"/>
        </w:rPr>
        <w:t>6.8.3. Seasonal Heterogeneity</w:t>
      </w:r>
    </w:p>
    <w:p>
      <w:pPr>
        <w:spacing w:after="160"/>
      </w:pPr>
      <w:r>
        <w:t>The walk-forward analysis reveals a critical seasonal heterogeneity in model performance that is invisible in the single split evaluation. The three highest-MAPE folds all occur in summer (July-August): folds testing weeks in July-August 2018 (MAPE 218%), July 2017 (169%), and September 2017 (91%). Conversely, the three lowest-MAPE folds occur in late winter and spring (May 2018: 10%, March 2018: 13%, January 2018: 14%) — precisely the periods immediately following the European flu peak when demand transitions are most predictable.</w:t>
      </w:r>
    </w:p>
    <w:p>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pPr>
        <w:pStyle w:val="Heading3"/>
      </w:pPr>
      <w:r>
        <w:rPr>
          <w:b/>
          <w:color w:val="2E75B6"/>
          <w:sz w:val="24"/>
        </w:rPr>
        <w:t>6.8.4. Comparison with Single-Split Evaluation</w:t>
      </w:r>
    </w:p>
    <w:p>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pPr>
        <w:jc w:val="center"/>
      </w:pPr>
      <w:r>
        <w:drawing>
          <wp:inline xmlns:a="http://schemas.openxmlformats.org/drawingml/2006/main" xmlns:pic="http://schemas.openxmlformats.org/drawingml/2006/picture">
            <wp:extent cx="5303520" cy="4885268"/>
            <wp:docPr id="10" name="Picture 10"/>
            <wp:cNvGraphicFramePr>
              <a:graphicFrameLocks noChangeAspect="1"/>
            </wp:cNvGraphicFramePr>
            <a:graphic>
              <a:graphicData uri="http://schemas.openxmlformats.org/drawingml/2006/picture">
                <pic:pic>
                  <pic:nvPicPr>
                    <pic:cNvPr id="0" name="wfv_plot.png"/>
                    <pic:cNvPicPr/>
                  </pic:nvPicPr>
                  <pic:blipFill>
                    <a:blip r:embed="rId18"/>
                    <a:stretch>
                      <a:fillRect/>
                    </a:stretch>
                  </pic:blipFill>
                  <pic:spPr>
                    <a:xfrm>
                      <a:off x="0" y="0"/>
                      <a:ext cx="5303520" cy="4885268"/>
                    </a:xfrm>
                    <a:prstGeom prst="rect"/>
                  </pic:spPr>
                </pic:pic>
              </a:graphicData>
            </a:graphic>
          </wp:inline>
        </w:drawing>
      </w:r>
    </w:p>
    <w:p>
      <w:pPr>
        <w:spacing w:after="200"/>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pPr>
        <w:pStyle w:val="Heading2"/>
      </w:pPr>
      <w:r>
        <w:rPr>
          <w:color w:val="2E75B6"/>
          <w:sz w:val="26"/>
        </w:rPr>
        <w:t>6.9. SARIMA Baseline Comparison</w:t>
      </w:r>
    </w:p>
    <w:p>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pPr>
        <w:pStyle w:val="Heading3"/>
      </w:pPr>
      <w:r>
        <w:rPr>
          <w:b/>
          <w:color w:val="2E75B6"/>
          <w:sz w:val="24"/>
        </w:rPr>
        <w:t>6.9.1. Model Order Selection</w:t>
      </w:r>
    </w:p>
    <w:p>
      <w:pPr>
        <w:spacing w:after="160"/>
      </w:pPr>
      <w:r>
        <w:t>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justify additional seasonal parameters given the limited training sample of 238 weekly observations (~4.5 seasonal cycles).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20"/>
              </w:rPr>
              <w:t>ARIMA order (p, d, q)</w:t>
            </w:r>
          </w:p>
        </w:tc>
        <w:tc>
          <w:tcPr>
            <w:tcW w:type="dxa" w:w="4320"/>
          </w:tcPr>
          <w:p>
            <w:r>
              <w:rPr>
                <w:sz w:val="20"/>
              </w:rPr>
              <w:t>(0, 1, 1)</w:t>
            </w:r>
          </w:p>
        </w:tc>
      </w:tr>
      <w:tr>
        <w:tc>
          <w:tcPr>
            <w:tcW w:type="dxa" w:w="4320"/>
          </w:tcPr>
          <w:p>
            <w:r>
              <w:rPr>
                <w:sz w:val="20"/>
              </w:rPr>
              <w:t>Seasonal order (P, D, Q, m)</w:t>
            </w:r>
          </w:p>
        </w:tc>
        <w:tc>
          <w:tcPr>
            <w:tcW w:type="dxa" w:w="4320"/>
          </w:tcPr>
          <w:p>
            <w:r>
              <w:rPr>
                <w:sz w:val="20"/>
              </w:rPr>
              <w:t>(0, 0, 0, 52)</w:t>
            </w:r>
          </w:p>
        </w:tc>
      </w:tr>
      <w:tr>
        <w:tc>
          <w:tcPr>
            <w:tcW w:type="dxa" w:w="4320"/>
          </w:tcPr>
          <w:p>
            <w:r>
              <w:rPr>
                <w:sz w:val="20"/>
              </w:rPr>
              <w:t>AIC (in-sample)</w:t>
            </w:r>
          </w:p>
        </w:tc>
        <w:tc>
          <w:tcPr>
            <w:tcW w:type="dxa" w:w="4320"/>
          </w:tcPr>
          <w:p>
            <w:r>
              <w:rPr>
                <w:sz w:val="20"/>
              </w:rPr>
              <w:t>2,003.5</w:t>
            </w:r>
          </w:p>
        </w:tc>
      </w:tr>
      <w:tr>
        <w:tc>
          <w:tcPr>
            <w:tcW w:type="dxa" w:w="4320"/>
          </w:tcPr>
          <w:p>
            <w:r>
              <w:rPr>
                <w:sz w:val="20"/>
              </w:rPr>
              <w:t>BIC (in-sample)</w:t>
            </w:r>
          </w:p>
        </w:tc>
        <w:tc>
          <w:tcPr>
            <w:tcW w:type="dxa" w:w="4320"/>
          </w:tcPr>
          <w:p>
            <w:r>
              <w:rPr>
                <w:sz w:val="20"/>
              </w:rPr>
              <w:t>2,010.5</w:t>
            </w:r>
          </w:p>
        </w:tc>
      </w:tr>
      <w:tr>
        <w:tc>
          <w:tcPr>
            <w:tcW w:type="dxa" w:w="4320"/>
          </w:tcPr>
          <w:p>
            <w:r>
              <w:rPr>
                <w:sz w:val="20"/>
              </w:rPr>
              <w:t>Log-likelihood</w:t>
            </w:r>
          </w:p>
        </w:tc>
        <w:tc>
          <w:tcPr>
            <w:tcW w:type="dxa" w:w="4320"/>
          </w:tcPr>
          <w:p>
            <w:r>
              <w:rPr>
                <w:sz w:val="20"/>
              </w:rPr>
              <w:t>-999.8</w:t>
            </w:r>
          </w:p>
        </w:tc>
      </w:tr>
      <w:tr>
        <w:tc>
          <w:tcPr>
            <w:tcW w:type="dxa" w:w="4320"/>
          </w:tcPr>
          <w:p>
            <w:r>
              <w:rPr>
                <w:sz w:val="20"/>
              </w:rPr>
              <w:t>Training observations</w:t>
            </w:r>
          </w:p>
        </w:tc>
        <w:tc>
          <w:tcPr>
            <w:tcW w:type="dxa" w:w="4320"/>
          </w:tcPr>
          <w:p>
            <w:r>
              <w:rPr>
                <w:sz w:val="20"/>
              </w:rPr>
              <w:t>238 weeks</w:t>
            </w:r>
          </w:p>
        </w:tc>
      </w:tr>
      <w:tr>
        <w:tc>
          <w:tcPr>
            <w:tcW w:type="dxa" w:w="4320"/>
          </w:tcPr>
          <w:p>
            <w:r>
              <w:rPr>
                <w:sz w:val="20"/>
              </w:rPr>
              <w:t>Forecast horizon</w:t>
            </w:r>
          </w:p>
        </w:tc>
        <w:tc>
          <w:tcPr>
            <w:tcW w:type="dxa" w:w="4320"/>
          </w:tcPr>
          <w:p>
            <w:r>
              <w:rPr>
                <w:sz w:val="20"/>
              </w:rPr>
              <w:t>60 weeks (out-of-sample)</w:t>
            </w:r>
          </w:p>
        </w:tc>
      </w:tr>
    </w:tbl>
    <w:p/>
    <w:p>
      <w:pPr>
        <w:pStyle w:val="Heading3"/>
      </w:pPr>
      <w:r>
        <w:rPr>
          <w:b/>
          <w:color w:val="2E75B6"/>
          <w:sz w:val="24"/>
        </w:rPr>
        <w:t>6.9.2. Out-of-Sample Performance</w:t>
      </w:r>
    </w:p>
    <w:p>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Model</w:t>
            </w:r>
          </w:p>
        </w:tc>
        <w:tc>
          <w:tcPr>
            <w:tcW w:type="dxa" w:w="1728"/>
          </w:tcPr>
          <w:p>
            <w:r>
              <w:rPr>
                <w:b/>
                <w:sz w:val="20"/>
              </w:rPr>
              <w:t>MAE</w:t>
            </w:r>
          </w:p>
        </w:tc>
        <w:tc>
          <w:tcPr>
            <w:tcW w:type="dxa" w:w="1728"/>
          </w:tcPr>
          <w:p>
            <w:r>
              <w:rPr>
                <w:b/>
                <w:sz w:val="20"/>
              </w:rPr>
              <w:t>RMSE</w:t>
            </w:r>
          </w:p>
        </w:tc>
        <w:tc>
          <w:tcPr>
            <w:tcW w:type="dxa" w:w="1728"/>
          </w:tcPr>
          <w:p>
            <w:r>
              <w:rPr>
                <w:b/>
                <w:sz w:val="20"/>
              </w:rPr>
              <w:t>MAPE</w:t>
            </w:r>
          </w:p>
        </w:tc>
        <w:tc>
          <w:tcPr>
            <w:tcW w:type="dxa" w:w="1728"/>
          </w:tcPr>
          <w:p>
            <w:r>
              <w:rPr>
                <w:b/>
                <w:sz w:val="20"/>
              </w:rPr>
              <w:t>R2</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rPr>
                <w:sz w:val="20"/>
              </w:rPr>
              <w:t>Naive (training mean)</w:t>
            </w:r>
          </w:p>
        </w:tc>
        <w:tc>
          <w:tcPr>
            <w:tcW w:type="dxa" w:w="1728"/>
          </w:tcPr>
          <w:p>
            <w:r>
              <w:rPr>
                <w:sz w:val="20"/>
              </w:rPr>
              <w:t>25.99</w:t>
            </w:r>
          </w:p>
        </w:tc>
        <w:tc>
          <w:tcPr>
            <w:tcW w:type="dxa" w:w="1728"/>
          </w:tcPr>
          <w:p>
            <w:r>
              <w:rPr>
                <w:sz w:val="20"/>
              </w:rPr>
              <w:t>34.98</w:t>
            </w:r>
          </w:p>
        </w:tc>
        <w:tc>
          <w:tcPr>
            <w:tcW w:type="dxa" w:w="1728"/>
          </w:tcPr>
          <w:p>
            <w:r>
              <w:rPr>
                <w:sz w:val="20"/>
              </w:rPr>
              <w:t>47.57%</w:t>
            </w:r>
          </w:p>
        </w:tc>
        <w:tc>
          <w:tcPr>
            <w:tcW w:type="dxa" w:w="1728"/>
          </w:tcPr>
          <w:p>
            <w:r>
              <w:rPr>
                <w:sz w:val="20"/>
              </w:rPr>
              <w:t>-0.454</w:t>
            </w:r>
          </w:p>
        </w:tc>
      </w:tr>
      <w:tr>
        <w:tc>
          <w:tcPr>
            <w:tcW w:type="dxa" w:w="1728"/>
          </w:tcPr>
          <w:p>
            <w:r>
              <w:rPr>
                <w:sz w:val="20"/>
              </w:rPr>
              <w:t>SARIMA(0,1,1)(0,0,0,52)</w:t>
            </w:r>
          </w:p>
        </w:tc>
        <w:tc>
          <w:tcPr>
            <w:tcW w:type="dxa" w:w="1728"/>
          </w:tcPr>
          <w:p>
            <w:r>
              <w:rPr>
                <w:sz w:val="20"/>
              </w:rPr>
              <w:t>35.86</w:t>
            </w:r>
          </w:p>
        </w:tc>
        <w:tc>
          <w:tcPr>
            <w:tcW w:type="dxa" w:w="1728"/>
          </w:tcPr>
          <w:p>
            <w:r>
              <w:rPr>
                <w:sz w:val="20"/>
              </w:rPr>
              <w:t>45.44</w:t>
            </w:r>
          </w:p>
        </w:tc>
        <w:tc>
          <w:tcPr>
            <w:tcW w:type="dxa" w:w="1728"/>
          </w:tcPr>
          <w:p>
            <w:r>
              <w:rPr>
                <w:sz w:val="20"/>
              </w:rPr>
              <w:t>56.81%</w:t>
            </w:r>
          </w:p>
        </w:tc>
        <w:tc>
          <w:tcPr>
            <w:tcW w:type="dxa" w:w="1728"/>
          </w:tcPr>
          <w:p>
            <w:r>
              <w:rPr>
                <w:sz w:val="20"/>
              </w:rPr>
              <w:t>-1.454</w:t>
            </w:r>
          </w:p>
        </w:tc>
      </w:tr>
      <w:tr>
        <w:tc>
          <w:tcPr>
            <w:tcW w:type="dxa" w:w="1728"/>
          </w:tcPr>
          <w:p>
            <w:r>
              <w:rPr>
                <w:sz w:val="20"/>
              </w:rPr>
              <w:t>XGBoost (Model B)</w:t>
            </w:r>
          </w:p>
        </w:tc>
        <w:tc>
          <w:tcPr>
            <w:tcW w:type="dxa" w:w="1728"/>
          </w:tcPr>
          <w:p>
            <w:r>
              <w:rPr>
                <w:sz w:val="20"/>
              </w:rPr>
              <w:t>24.32</w:t>
            </w:r>
          </w:p>
        </w:tc>
        <w:tc>
          <w:tcPr>
            <w:tcW w:type="dxa" w:w="1728"/>
          </w:tcPr>
          <w:p>
            <w:r>
              <w:rPr>
                <w:sz w:val="20"/>
              </w:rPr>
              <w:t>32.71</w:t>
            </w:r>
          </w:p>
        </w:tc>
        <w:tc>
          <w:tcPr>
            <w:tcW w:type="dxa" w:w="1728"/>
          </w:tcPr>
          <w:p>
            <w:r>
              <w:rPr>
                <w:sz w:val="20"/>
              </w:rPr>
              <w:t>44.16%</w:t>
            </w:r>
          </w:p>
        </w:tc>
        <w:tc>
          <w:tcPr>
            <w:tcW w:type="dxa" w:w="1728"/>
          </w:tcPr>
          <w:p>
            <w:r>
              <w:rPr>
                <w:sz w:val="20"/>
              </w:rPr>
              <w:t>-0.271</w:t>
            </w:r>
          </w:p>
        </w:tc>
      </w:tr>
    </w:tbl>
    <w:p/>
    <w:p>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pPr>
        <w:pStyle w:val="Heading3"/>
      </w:pPr>
      <w:r>
        <w:rPr>
          <w:b/>
          <w:color w:val="2E75B6"/>
          <w:sz w:val="24"/>
        </w:rPr>
        <w:t>6.9.3. Residual Diagnostics</w:t>
      </w:r>
    </w:p>
    <w:p>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pPr>
        <w:spacing w:after="120"/>
      </w:pPr>
      <w:r>
        <w:rPr>
          <w:b/>
          <w:color w:val="2E75B6"/>
        </w:rPr>
        <w:t xml:space="preserve">Note: </w:t>
      </w:r>
      <w:r>
        <w:rPr>
          <w:color w:val="404040"/>
        </w:rPr>
        <w:t>The poor SARIMA performance does not imply the R03 series is non-forecastable without machine learning. A more sophisticated SARIMAX model incorporating FluNet 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pPr>
        <w:jc w:val="center"/>
      </w:pPr>
      <w:r>
        <w:drawing>
          <wp:inline xmlns:a="http://schemas.openxmlformats.org/drawingml/2006/main" xmlns:pic="http://schemas.openxmlformats.org/drawingml/2006/picture">
            <wp:extent cx="5303520" cy="4715419"/>
            <wp:docPr id="11" name="Picture 11"/>
            <wp:cNvGraphicFramePr>
              <a:graphicFrameLocks noChangeAspect="1"/>
            </wp:cNvGraphicFramePr>
            <a:graphic>
              <a:graphicData uri="http://schemas.openxmlformats.org/drawingml/2006/picture">
                <pic:pic>
                  <pic:nvPicPr>
                    <pic:cNvPr id="0" name="sarima_forecast_plot.png"/>
                    <pic:cNvPicPr/>
                  </pic:nvPicPr>
                  <pic:blipFill>
                    <a:blip r:embed="rId19"/>
                    <a:stretch>
                      <a:fillRect/>
                    </a:stretch>
                  </pic:blipFill>
                  <pic:spPr>
                    <a:xfrm>
                      <a:off x="0" y="0"/>
                      <a:ext cx="5303520" cy="3383762"/>
                    </a:xfrm>
                    <a:prstGeom prst="rect"/>
                  </pic:spPr>
                </pic:pic>
              </a:graphicData>
            </a:graphic>
          </wp:inline>
        </w:drawing>
      </w:r>
    </w:p>
    <w:p>
      <w:pPr>
        <w:spacing w:after="200"/>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pPr>
        <w:jc w:val="center"/>
      </w:pPr>
      <w:r>
        <w:drawing>
          <wp:inline xmlns:a="http://schemas.openxmlformats.org/drawingml/2006/main" xmlns:pic="http://schemas.openxmlformats.org/drawingml/2006/picture">
            <wp:extent cx="5303520" cy="4240995"/>
            <wp:docPr id="12" name="Picture 12"/>
            <wp:cNvGraphicFramePr>
              <a:graphicFrameLocks noChangeAspect="1"/>
            </wp:cNvGraphicFramePr>
            <a:graphic>
              <a:graphicData uri="http://schemas.openxmlformats.org/drawingml/2006/picture">
                <pic:pic>
                  <pic:nvPicPr>
                    <pic:cNvPr id="0" name="sarima_diagnostics.png"/>
                    <pic:cNvPicPr/>
                  </pic:nvPicPr>
                  <pic:blipFill>
                    <a:blip r:embed="rId20"/>
                    <a:stretch>
                      <a:fillRect/>
                    </a:stretch>
                  </pic:blipFill>
                  <pic:spPr>
                    <a:xfrm>
                      <a:off x="0" y="0"/>
                      <a:ext cx="5303520" cy="4240995"/>
                    </a:xfrm>
                    <a:prstGeom prst="rect"/>
                  </pic:spPr>
                </pic:pic>
              </a:graphicData>
            </a:graphic>
          </wp:inline>
        </w:drawing>
      </w:r>
    </w:p>
    <w:p>
      <w:pPr>
        <w:spacing w:after="200"/>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pPr>
        <w:pStyle w:val="Heading2"/>
      </w:pPr>
      <w:r>
        <w:rPr>
          <w:color w:val="2E75B6"/>
          <w:sz w:val="26"/>
        </w:rPr>
        <w:t>6.10. Inventory Simulation</w:t>
      </w:r>
    </w:p>
    <w:p>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pPr>
        <w:pStyle w:val="Heading3"/>
      </w:pPr>
      <w:r>
        <w:rPr>
          <w:b/>
          <w:color w:val="2E75B6"/>
          <w:sz w:val="24"/>
        </w:rPr>
        <w:t>6.10.1. Simulation Design</w:t>
      </w:r>
    </w:p>
    <w:p>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Rationale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Initial stock</w:t>
            </w:r>
          </w:p>
        </w:tc>
        <w:tc>
          <w:tcPr>
            <w:tcW w:type="dxa" w:w="2880"/>
          </w:tcPr>
          <w:p>
            <w:r>
              <w:rPr>
                <w:sz w:val="20"/>
              </w:rPr>
              <w:t>200 units</w:t>
            </w:r>
          </w:p>
        </w:tc>
        <w:tc>
          <w:tcPr>
            <w:tcW w:type="dxa" w:w="2880"/>
          </w:tcPr>
          <w:p>
            <w:r>
              <w:rPr>
                <w:sz w:val="20"/>
              </w:rPr>
              <w:t>Above mean weekly demand of 54 units in test period</w:t>
            </w:r>
          </w:p>
        </w:tc>
      </w:tr>
      <w:tr>
        <w:tc>
          <w:tcPr>
            <w:tcW w:type="dxa" w:w="2880"/>
          </w:tcPr>
          <w:p>
            <w:r>
              <w:rPr>
                <w:sz w:val="20"/>
              </w:rPr>
              <w:t>Safety stock</w:t>
            </w:r>
          </w:p>
        </w:tc>
        <w:tc>
          <w:tcPr>
            <w:tcW w:type="dxa" w:w="2880"/>
          </w:tcPr>
          <w:p>
            <w:r>
              <w:rPr>
                <w:sz w:val="20"/>
              </w:rPr>
              <w:t>50 units</w:t>
            </w:r>
          </w:p>
        </w:tc>
        <w:tc>
          <w:tcPr>
            <w:tcW w:type="dxa" w:w="2880"/>
          </w:tcPr>
          <w:p>
            <w:r>
              <w:rPr>
                <w:sz w:val="20"/>
              </w:rPr>
              <w:t>Buffer to absorb forecast error (1-week demand)</w:t>
            </w:r>
          </w:p>
        </w:tc>
      </w:tr>
      <w:tr>
        <w:tc>
          <w:tcPr>
            <w:tcW w:type="dxa" w:w="2880"/>
          </w:tcPr>
          <w:p>
            <w:r>
              <w:rPr>
                <w:sz w:val="20"/>
              </w:rPr>
              <w:t>Reorder point</w:t>
            </w:r>
          </w:p>
        </w:tc>
        <w:tc>
          <w:tcPr>
            <w:tcW w:type="dxa" w:w="2880"/>
          </w:tcPr>
          <w:p>
            <w:r>
              <w:rPr>
                <w:sz w:val="20"/>
              </w:rPr>
              <w:t>90 units</w:t>
            </w:r>
          </w:p>
        </w:tc>
        <w:tc>
          <w:tcPr>
            <w:tcW w:type="dxa" w:w="2880"/>
          </w:tcPr>
          <w:p>
            <w:r>
              <w:rPr>
                <w:sz w:val="20"/>
              </w:rPr>
              <w:t>Trigger ordering if stock falls below this level</w:t>
            </w:r>
          </w:p>
        </w:tc>
      </w:tr>
      <w:tr>
        <w:tc>
          <w:tcPr>
            <w:tcW w:type="dxa" w:w="2880"/>
          </w:tcPr>
          <w:p>
            <w:r>
              <w:rPr>
                <w:sz w:val="20"/>
              </w:rPr>
              <w:t>Target stock level</w:t>
            </w:r>
          </w:p>
        </w:tc>
        <w:tc>
          <w:tcPr>
            <w:tcW w:type="dxa" w:w="2880"/>
          </w:tcPr>
          <w:p>
            <w:r>
              <w:rPr>
                <w:sz w:val="20"/>
              </w:rPr>
              <w:t>220 units</w:t>
            </w:r>
          </w:p>
        </w:tc>
        <w:tc>
          <w:tcPr>
            <w:tcW w:type="dxa" w:w="2880"/>
          </w:tcPr>
          <w:p>
            <w:r>
              <w:rPr>
                <w:sz w:val="20"/>
              </w:rPr>
              <w:t>Order-up-to level: 4-week demand cover + safety</w:t>
            </w:r>
          </w:p>
        </w:tc>
      </w:tr>
      <w:tr>
        <w:tc>
          <w:tcPr>
            <w:tcW w:type="dxa" w:w="2880"/>
          </w:tcPr>
          <w:p>
            <w:r>
              <w:rPr>
                <w:sz w:val="20"/>
              </w:rPr>
              <w:t>Lead time</w:t>
            </w:r>
          </w:p>
        </w:tc>
        <w:tc>
          <w:tcPr>
            <w:tcW w:type="dxa" w:w="2880"/>
          </w:tcPr>
          <w:p>
            <w:r>
              <w:rPr>
                <w:sz w:val="20"/>
              </w:rPr>
              <w:t>4 weeks</w:t>
            </w:r>
          </w:p>
        </w:tc>
        <w:tc>
          <w:tcPr>
            <w:tcW w:type="dxa" w:w="2880"/>
          </w:tcPr>
          <w:p>
            <w:r>
              <w:rPr>
                <w:sz w:val="20"/>
              </w:rPr>
              <w:t>Typical pharmaceutical distribution lead time</w:t>
            </w:r>
          </w:p>
        </w:tc>
      </w:tr>
      <w:tr>
        <w:tc>
          <w:tcPr>
            <w:tcW w:type="dxa" w:w="2880"/>
          </w:tcPr>
          <w:p>
            <w:r>
              <w:rPr>
                <w:sz w:val="20"/>
              </w:rPr>
              <w:t>Holding cost</w:t>
            </w:r>
          </w:p>
        </w:tc>
        <w:tc>
          <w:tcPr>
            <w:tcW w:type="dxa" w:w="2880"/>
          </w:tcPr>
          <w:p>
            <w:r>
              <w:rPr>
                <w:sz w:val="20"/>
              </w:rPr>
              <w:t>EUR 0.50/u/week</w:t>
            </w:r>
          </w:p>
        </w:tc>
        <w:tc>
          <w:tcPr>
            <w:tcW w:type="dxa" w:w="2880"/>
          </w:tcPr>
          <w:p>
            <w:r>
              <w:rPr>
                <w:sz w:val="20"/>
              </w:rPr>
              <w:t>Storage, capital, and spoilage cost</w:t>
            </w:r>
          </w:p>
        </w:tc>
      </w:tr>
      <w:tr>
        <w:tc>
          <w:tcPr>
            <w:tcW w:type="dxa" w:w="2880"/>
          </w:tcPr>
          <w:p>
            <w:r>
              <w:rPr>
                <w:sz w:val="20"/>
              </w:rPr>
              <w:t>Shortage cost</w:t>
            </w:r>
          </w:p>
        </w:tc>
        <w:tc>
          <w:tcPr>
            <w:tcW w:type="dxa" w:w="2880"/>
          </w:tcPr>
          <w:p>
            <w:r>
              <w:rPr>
                <w:sz w:val="20"/>
              </w:rPr>
              <w:t>EUR 8.00/u/week</w:t>
            </w:r>
          </w:p>
        </w:tc>
        <w:tc>
          <w:tcPr>
            <w:tcW w:type="dxa" w:w="2880"/>
          </w:tcPr>
          <w:p>
            <w:r>
              <w:rPr>
                <w:sz w:val="20"/>
              </w:rPr>
              <w:t>Lost sales + penalty + emergency procurement</w:t>
            </w:r>
          </w:p>
        </w:tc>
      </w:tr>
      <w:tr>
        <w:tc>
          <w:tcPr>
            <w:tcW w:type="dxa" w:w="2880"/>
          </w:tcPr>
          <w:p>
            <w:r>
              <w:rPr>
                <w:sz w:val="20"/>
              </w:rPr>
              <w:t>Order cost</w:t>
            </w:r>
          </w:p>
        </w:tc>
        <w:tc>
          <w:tcPr>
            <w:tcW w:type="dxa" w:w="2880"/>
          </w:tcPr>
          <w:p>
            <w:r>
              <w:rPr>
                <w:sz w:val="20"/>
              </w:rPr>
              <w:t>EUR 25/order</w:t>
            </w:r>
          </w:p>
        </w:tc>
        <w:tc>
          <w:tcPr>
            <w:tcW w:type="dxa" w:w="2880"/>
          </w:tcPr>
          <w:p>
            <w:r>
              <w:rPr>
                <w:sz w:val="20"/>
              </w:rPr>
              <w:t>Fixed administrative and transaction cost</w:t>
            </w:r>
          </w:p>
        </w:tc>
      </w:tr>
    </w:tbl>
    <w:p/>
    <w:p>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pPr>
        <w:pStyle w:val="Heading3"/>
      </w:pPr>
      <w:r>
        <w:rPr>
          <w:b/>
          <w:color w:val="2E75B6"/>
          <w:sz w:val="24"/>
        </w:rPr>
        <w:t>6.10.2.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Scenario</w:t>
            </w:r>
          </w:p>
        </w:tc>
        <w:tc>
          <w:tcPr>
            <w:tcW w:type="dxa" w:w="1440"/>
          </w:tcPr>
          <w:p>
            <w:r>
              <w:rPr>
                <w:b/>
                <w:sz w:val="20"/>
              </w:rPr>
              <w:t>Service Level</w:t>
            </w:r>
          </w:p>
        </w:tc>
        <w:tc>
          <w:tcPr>
            <w:tcW w:type="dxa" w:w="1440"/>
          </w:tcPr>
          <w:p>
            <w:r>
              <w:rPr>
                <w:b/>
                <w:sz w:val="20"/>
              </w:rPr>
              <w:t>Stockout Weeks</w:t>
            </w:r>
          </w:p>
        </w:tc>
        <w:tc>
          <w:tcPr>
            <w:tcW w:type="dxa" w:w="1440"/>
          </w:tcPr>
          <w:p>
            <w:r>
              <w:rPr>
                <w:b/>
                <w:sz w:val="20"/>
              </w:rPr>
              <w:t>Avg Stock</w:t>
            </w:r>
          </w:p>
        </w:tc>
        <w:tc>
          <w:tcPr>
            <w:tcW w:type="dxa" w:w="1440"/>
          </w:tcPr>
          <w:p>
            <w:r>
              <w:rPr>
                <w:b/>
                <w:sz w:val="20"/>
              </w:rPr>
              <w:t>Orders</w:t>
            </w:r>
          </w:p>
        </w:tc>
        <w:tc>
          <w:tcPr>
            <w:tcW w:type="dxa" w:w="1440"/>
          </w:tcPr>
          <w:p>
            <w:r>
              <w:rPr>
                <w:b/>
                <w:sz w:val="20"/>
              </w:rPr>
              <w:t>Total Cost (60w)</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Naive (mean forecast)</w:t>
            </w:r>
          </w:p>
        </w:tc>
        <w:tc>
          <w:tcPr>
            <w:tcW w:type="dxa" w:w="1440"/>
          </w:tcPr>
          <w:p>
            <w:r>
              <w:rPr>
                <w:sz w:val="20"/>
              </w:rPr>
              <w:t>71.7%</w:t>
            </w:r>
          </w:p>
        </w:tc>
        <w:tc>
          <w:tcPr>
            <w:tcW w:type="dxa" w:w="1440"/>
          </w:tcPr>
          <w:p>
            <w:r>
              <w:rPr>
                <w:sz w:val="20"/>
              </w:rPr>
              <w:t>17</w:t>
            </w:r>
          </w:p>
        </w:tc>
        <w:tc>
          <w:tcPr>
            <w:tcW w:type="dxa" w:w="1440"/>
          </w:tcPr>
          <w:p>
            <w:r>
              <w:rPr>
                <w:sz w:val="20"/>
              </w:rPr>
              <w:t>44.5 units</w:t>
            </w:r>
          </w:p>
        </w:tc>
        <w:tc>
          <w:tcPr>
            <w:tcW w:type="dxa" w:w="1440"/>
          </w:tcPr>
          <w:p>
            <w:r>
              <w:rPr>
                <w:sz w:val="20"/>
              </w:rPr>
              <w:t>58</w:t>
            </w:r>
          </w:p>
        </w:tc>
        <w:tc>
          <w:tcPr>
            <w:tcW w:type="dxa" w:w="1440"/>
          </w:tcPr>
          <w:p>
            <w:r>
              <w:rPr>
                <w:sz w:val="20"/>
              </w:rPr>
              <w:t>EUR 7,636</w:t>
            </w:r>
          </w:p>
        </w:tc>
      </w:tr>
      <w:tr>
        <w:tc>
          <w:tcPr>
            <w:tcW w:type="dxa" w:w="1440"/>
          </w:tcPr>
          <w:p>
            <w:r>
              <w:rPr>
                <w:sz w:val="20"/>
              </w:rPr>
              <w:t>XGBoost forecast</w:t>
            </w:r>
          </w:p>
        </w:tc>
        <w:tc>
          <w:tcPr>
            <w:tcW w:type="dxa" w:w="1440"/>
          </w:tcPr>
          <w:p>
            <w:r>
              <w:rPr>
                <w:sz w:val="20"/>
              </w:rPr>
              <w:t>71.7%</w:t>
            </w:r>
          </w:p>
        </w:tc>
        <w:tc>
          <w:tcPr>
            <w:tcW w:type="dxa" w:w="1440"/>
          </w:tcPr>
          <w:p>
            <w:r>
              <w:rPr>
                <w:sz w:val="20"/>
              </w:rPr>
              <w:t>17</w:t>
            </w:r>
          </w:p>
        </w:tc>
        <w:tc>
          <w:tcPr>
            <w:tcW w:type="dxa" w:w="1440"/>
          </w:tcPr>
          <w:p>
            <w:r>
              <w:rPr>
                <w:sz w:val="20"/>
              </w:rPr>
              <w:t>40.4 units</w:t>
            </w:r>
          </w:p>
        </w:tc>
        <w:tc>
          <w:tcPr>
            <w:tcW w:type="dxa" w:w="1440"/>
          </w:tcPr>
          <w:p>
            <w:r>
              <w:rPr>
                <w:sz w:val="20"/>
              </w:rPr>
              <w:t>52</w:t>
            </w:r>
          </w:p>
        </w:tc>
        <w:tc>
          <w:tcPr>
            <w:tcW w:type="dxa" w:w="1440"/>
          </w:tcPr>
          <w:p>
            <w:r>
              <w:rPr>
                <w:sz w:val="20"/>
              </w:rPr>
              <w:t>EUR 7,363</w:t>
            </w:r>
          </w:p>
        </w:tc>
      </w:tr>
      <w:tr>
        <w:tc>
          <w:tcPr>
            <w:tcW w:type="dxa" w:w="1440"/>
          </w:tcPr>
          <w:p>
            <w:r>
              <w:rPr>
                <w:sz w:val="20"/>
              </w:rPr>
              <w:t>SARIMA forecast</w:t>
            </w:r>
          </w:p>
        </w:tc>
        <w:tc>
          <w:tcPr>
            <w:tcW w:type="dxa" w:w="1440"/>
          </w:tcPr>
          <w:p>
            <w:r>
              <w:rPr>
                <w:sz w:val="20"/>
              </w:rPr>
              <w:t>70.0%</w:t>
            </w:r>
          </w:p>
        </w:tc>
        <w:tc>
          <w:tcPr>
            <w:tcW w:type="dxa" w:w="1440"/>
          </w:tcPr>
          <w:p>
            <w:r>
              <w:rPr>
                <w:sz w:val="20"/>
              </w:rPr>
              <w:t>18</w:t>
            </w:r>
          </w:p>
        </w:tc>
        <w:tc>
          <w:tcPr>
            <w:tcW w:type="dxa" w:w="1440"/>
          </w:tcPr>
          <w:p>
            <w:r>
              <w:rPr>
                <w:sz w:val="20"/>
              </w:rPr>
              <w:t>40.5 units</w:t>
            </w:r>
          </w:p>
        </w:tc>
        <w:tc>
          <w:tcPr>
            <w:tcW w:type="dxa" w:w="1440"/>
          </w:tcPr>
          <w:p>
            <w:r>
              <w:rPr>
                <w:sz w:val="20"/>
              </w:rPr>
              <w:t>52</w:t>
            </w:r>
          </w:p>
        </w:tc>
        <w:tc>
          <w:tcPr>
            <w:tcW w:type="dxa" w:w="1440"/>
          </w:tcPr>
          <w:p>
            <w:r>
              <w:rPr>
                <w:sz w:val="20"/>
              </w:rPr>
              <w:t>EUR 7,613</w:t>
            </w:r>
          </w:p>
        </w:tc>
      </w:tr>
      <w:tr>
        <w:tc>
          <w:tcPr>
            <w:tcW w:type="dxa" w:w="1440"/>
          </w:tcPr>
          <w:p>
            <w:r>
              <w:rPr>
                <w:sz w:val="20"/>
              </w:rPr>
              <w:t>Perfect foresight</w:t>
            </w:r>
          </w:p>
        </w:tc>
        <w:tc>
          <w:tcPr>
            <w:tcW w:type="dxa" w:w="1440"/>
          </w:tcPr>
          <w:p>
            <w:r>
              <w:rPr>
                <w:sz w:val="20"/>
              </w:rPr>
              <w:t>71.7%</w:t>
            </w:r>
          </w:p>
        </w:tc>
        <w:tc>
          <w:tcPr>
            <w:tcW w:type="dxa" w:w="1440"/>
          </w:tcPr>
          <w:p>
            <w:r>
              <w:rPr>
                <w:sz w:val="20"/>
              </w:rPr>
              <w:t>17</w:t>
            </w:r>
          </w:p>
        </w:tc>
        <w:tc>
          <w:tcPr>
            <w:tcW w:type="dxa" w:w="1440"/>
          </w:tcPr>
          <w:p>
            <w:r>
              <w:rPr>
                <w:sz w:val="20"/>
              </w:rPr>
              <w:t>41.4 units</w:t>
            </w:r>
          </w:p>
        </w:tc>
        <w:tc>
          <w:tcPr>
            <w:tcW w:type="dxa" w:w="1440"/>
          </w:tcPr>
          <w:p>
            <w:r>
              <w:rPr>
                <w:sz w:val="20"/>
              </w:rPr>
              <w:t>53</w:t>
            </w:r>
          </w:p>
        </w:tc>
        <w:tc>
          <w:tcPr>
            <w:tcW w:type="dxa" w:w="1440"/>
          </w:tcPr>
          <w:p>
            <w:r>
              <w:rPr>
                <w:sz w:val="20"/>
              </w:rPr>
              <w:t>EUR 7,419</w:t>
            </w:r>
          </w:p>
        </w:tc>
      </w:tr>
    </w:tbl>
    <w:p/>
    <w:p>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pPr>
        <w:spacing w:after="120"/>
      </w:pPr>
      <w:r>
        <w:rPr>
          <w:b/>
          <w:color w:val="2E75B6"/>
        </w:rPr>
        <w:t xml:space="preserve">Note: </w:t>
      </w:r>
      <w:r>
        <w:rPr>
          <w:color w:val="404040"/>
        </w:rPr>
        <w:t>These results should be interpreted as indicative rather than prescriptive. Real pharmaceutical inventory optimisation involves additional constraints (minimum order quantities, shelf life, regulatory batch tracking, supplier capacity limits) that are outside the scope of this simulation.</w:t>
      </w:r>
    </w:p>
    <w:p>
      <w:pPr>
        <w:jc w:val="center"/>
      </w:pPr>
      <w:r>
        <w:drawing>
          <wp:inline xmlns:a="http://schemas.openxmlformats.org/drawingml/2006/main" xmlns:pic="http://schemas.openxmlformats.org/drawingml/2006/picture">
            <wp:extent cx="5303520" cy="3325823"/>
            <wp:docPr id="13" name="Picture 13"/>
            <wp:cNvGraphicFramePr>
              <a:graphicFrameLocks noChangeAspect="1"/>
            </wp:cNvGraphicFramePr>
            <a:graphic>
              <a:graphicData uri="http://schemas.openxmlformats.org/drawingml/2006/picture">
                <pic:pic>
                  <pic:nvPicPr>
                    <pic:cNvPr id="0" name="inventory_plot.png"/>
                    <pic:cNvPicPr/>
                  </pic:nvPicPr>
                  <pic:blipFill>
                    <a:blip r:embed="rId21"/>
                    <a:stretch>
                      <a:fillRect/>
                    </a:stretch>
                  </pic:blipFill>
                  <pic:spPr>
                    <a:xfrm>
                      <a:off x="0" y="0"/>
                      <a:ext cx="5303520" cy="3325823"/>
                    </a:xfrm>
                    <a:prstGeom prst="rect"/>
                  </pic:spPr>
                </pic:pic>
              </a:graphicData>
            </a:graphic>
          </wp:inline>
        </w:drawing>
      </w:r>
    </w:p>
    <w:p>
      <w:pPr>
        <w:spacing w:after="200"/>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pPr>
        <w:pStyle w:val="Heading2"/>
      </w:pPr>
      <w:r>
        <w:rPr>
          <w:color w:val="2E75B6"/>
          <w:sz w:val="26"/>
        </w:rPr>
        <w:t>6.11. Southern Hemisphere Validation: A Hemispheric Mechanism, Not an Australian Coincidence</w:t>
      </w:r>
    </w:p>
    <w:p>
      <w:pPr>
        <w:spacing w:after="160"/>
      </w:pPr>
      <w:r>
        <w:t>A fundamental question raised by this research is whether the predictive relationship between Australian flu activity and European pharmaceutical demand represents a genuine hemispheric mechanism or a statistical coincidence specific to the Australia-Europe pair. If the mechanism is truly hemispheric — driven by the six-month seasonal offset between Southern and Northern Hemisphere flu cycles — then any Southern Hemisphere country with reliable influenza surveillance data should exhibit the same lead-lag structure with Europe, regardless of its geographic distance from Australia or its specific flu epidemiology.</w:t>
      </w:r>
    </w:p>
    <w:p>
      <w:pPr>
        <w:spacing w:after="160"/>
      </w:pPr>
      <w:r>
        <w:t>To test this hypothesis, cross-correlation analysis was extended to six additional Southern Hemisphere countries with WHO FluNet data: New Zealand, South Africa, Chile, Argentina, Brazil, and Uruguay. For each country, the cross-correlation function (CCF) between weekly flu positives and European flu activity was computed at lags 0-52 weeks over the full 1997-2024 surveillance period.</w:t>
      </w:r>
    </w:p>
    <w:p>
      <w:pPr>
        <w:pStyle w:val="Heading3"/>
      </w:pPr>
      <w:r>
        <w:rPr>
          <w:b/>
          <w:color w:val="2E75B6"/>
          <w:sz w:val="24"/>
        </w:rPr>
        <w:t>6.11.1. Cross-Correlation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Country</w:t>
            </w:r>
          </w:p>
        </w:tc>
        <w:tc>
          <w:tcPr>
            <w:tcW w:type="dxa" w:w="1440"/>
          </w:tcPr>
          <w:p>
            <w:r>
              <w:rPr>
                <w:b/>
                <w:sz w:val="20"/>
              </w:rPr>
              <w:t>Climate</w:t>
            </w:r>
          </w:p>
        </w:tc>
        <w:tc>
          <w:tcPr>
            <w:tcW w:type="dxa" w:w="1440"/>
          </w:tcPr>
          <w:p>
            <w:r>
              <w:rPr>
                <w:b/>
                <w:sz w:val="20"/>
              </w:rPr>
              <w:t>Peak r</w:t>
            </w:r>
          </w:p>
        </w:tc>
        <w:tc>
          <w:tcPr>
            <w:tcW w:type="dxa" w:w="1440"/>
          </w:tcPr>
          <w:p>
            <w:r>
              <w:rPr>
                <w:b/>
                <w:sz w:val="20"/>
              </w:rPr>
              <w:t>Optimal Lag (weeks)</w:t>
            </w:r>
          </w:p>
        </w:tc>
        <w:tc>
          <w:tcPr>
            <w:tcW w:type="dxa" w:w="1440"/>
          </w:tcPr>
          <w:p>
            <w:r>
              <w:rPr>
                <w:b/>
                <w:sz w:val="20"/>
              </w:rPr>
              <w:t>p-value</w:t>
            </w:r>
          </w:p>
        </w:tc>
        <w:tc>
          <w:tcPr>
            <w:tcW w:type="dxa" w:w="1440"/>
          </w:tcPr>
          <w:p>
            <w:r>
              <w:rPr>
                <w:b/>
                <w:sz w:val="20"/>
              </w:rPr>
              <w:t>Equivalent months</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Australia</w:t>
            </w:r>
          </w:p>
        </w:tc>
        <w:tc>
          <w:tcPr>
            <w:tcW w:type="dxa" w:w="1440"/>
          </w:tcPr>
          <w:p>
            <w:r>
              <w:rPr>
                <w:sz w:val="20"/>
              </w:rPr>
              <w:t>Temperate</w:t>
            </w:r>
          </w:p>
        </w:tc>
        <w:tc>
          <w:tcPr>
            <w:tcW w:type="dxa" w:w="1440"/>
          </w:tcPr>
          <w:p>
            <w:r>
              <w:rPr>
                <w:sz w:val="20"/>
              </w:rPr>
              <w:t>0.7326</w:t>
            </w:r>
          </w:p>
        </w:tc>
        <w:tc>
          <w:tcPr>
            <w:tcW w:type="dxa" w:w="1440"/>
          </w:tcPr>
          <w:p>
            <w:r>
              <w:rPr>
                <w:sz w:val="20"/>
              </w:rPr>
              <w:t>28</w:t>
            </w:r>
          </w:p>
        </w:tc>
        <w:tc>
          <w:tcPr>
            <w:tcW w:type="dxa" w:w="1440"/>
          </w:tcPr>
          <w:p>
            <w:r>
              <w:rPr>
                <w:sz w:val="20"/>
              </w:rPr>
              <w:t>&lt; 0.001</w:t>
            </w:r>
          </w:p>
        </w:tc>
        <w:tc>
          <w:tcPr>
            <w:tcW w:type="dxa" w:w="1440"/>
          </w:tcPr>
          <w:p>
            <w:r>
              <w:rPr>
                <w:sz w:val="20"/>
              </w:rPr>
              <w:t>6.5</w:t>
            </w:r>
          </w:p>
        </w:tc>
      </w:tr>
      <w:tr>
        <w:tc>
          <w:tcPr>
            <w:tcW w:type="dxa" w:w="1440"/>
          </w:tcPr>
          <w:p>
            <w:r>
              <w:rPr>
                <w:sz w:val="20"/>
              </w:rPr>
              <w:t>Chile</w:t>
            </w:r>
          </w:p>
        </w:tc>
        <w:tc>
          <w:tcPr>
            <w:tcW w:type="dxa" w:w="1440"/>
          </w:tcPr>
          <w:p>
            <w:r>
              <w:rPr>
                <w:sz w:val="20"/>
              </w:rPr>
              <w:t>Temperate</w:t>
            </w:r>
          </w:p>
        </w:tc>
        <w:tc>
          <w:tcPr>
            <w:tcW w:type="dxa" w:w="1440"/>
          </w:tcPr>
          <w:p>
            <w:r>
              <w:rPr>
                <w:sz w:val="20"/>
              </w:rPr>
              <w:t>0.6238</w:t>
            </w:r>
          </w:p>
        </w:tc>
        <w:tc>
          <w:tcPr>
            <w:tcW w:type="dxa" w:w="1440"/>
          </w:tcPr>
          <w:p>
            <w:r>
              <w:rPr>
                <w:sz w:val="20"/>
              </w:rPr>
              <w:t>35</w:t>
            </w:r>
          </w:p>
        </w:tc>
        <w:tc>
          <w:tcPr>
            <w:tcW w:type="dxa" w:w="1440"/>
          </w:tcPr>
          <w:p>
            <w:r>
              <w:rPr>
                <w:sz w:val="20"/>
              </w:rPr>
              <w:t>&lt; 0.001</w:t>
            </w:r>
          </w:p>
        </w:tc>
        <w:tc>
          <w:tcPr>
            <w:tcW w:type="dxa" w:w="1440"/>
          </w:tcPr>
          <w:p>
            <w:r>
              <w:rPr>
                <w:sz w:val="20"/>
              </w:rPr>
              <w:t>8.0</w:t>
            </w:r>
          </w:p>
        </w:tc>
      </w:tr>
      <w:tr>
        <w:tc>
          <w:tcPr>
            <w:tcW w:type="dxa" w:w="1440"/>
          </w:tcPr>
          <w:p>
            <w:r>
              <w:rPr>
                <w:sz w:val="20"/>
              </w:rPr>
              <w:t>Brazil</w:t>
            </w:r>
          </w:p>
        </w:tc>
        <w:tc>
          <w:tcPr>
            <w:tcW w:type="dxa" w:w="1440"/>
          </w:tcPr>
          <w:p>
            <w:r>
              <w:rPr>
                <w:sz w:val="20"/>
              </w:rPr>
              <w:t>Tropical</w:t>
            </w:r>
          </w:p>
        </w:tc>
        <w:tc>
          <w:tcPr>
            <w:tcW w:type="dxa" w:w="1440"/>
          </w:tcPr>
          <w:p>
            <w:r>
              <w:rPr>
                <w:sz w:val="20"/>
              </w:rPr>
              <w:t>0.5225</w:t>
            </w:r>
          </w:p>
        </w:tc>
        <w:tc>
          <w:tcPr>
            <w:tcW w:type="dxa" w:w="1440"/>
          </w:tcPr>
          <w:p>
            <w:r>
              <w:rPr>
                <w:sz w:val="20"/>
              </w:rPr>
              <w:t>36</w:t>
            </w:r>
          </w:p>
        </w:tc>
        <w:tc>
          <w:tcPr>
            <w:tcW w:type="dxa" w:w="1440"/>
          </w:tcPr>
          <w:p>
            <w:r>
              <w:rPr>
                <w:sz w:val="20"/>
              </w:rPr>
              <w:t>&lt; 0.001</w:t>
            </w:r>
          </w:p>
        </w:tc>
        <w:tc>
          <w:tcPr>
            <w:tcW w:type="dxa" w:w="1440"/>
          </w:tcPr>
          <w:p>
            <w:r>
              <w:rPr>
                <w:sz w:val="20"/>
              </w:rPr>
              <w:t>8.3</w:t>
            </w:r>
          </w:p>
        </w:tc>
      </w:tr>
      <w:tr>
        <w:tc>
          <w:tcPr>
            <w:tcW w:type="dxa" w:w="1440"/>
          </w:tcPr>
          <w:p>
            <w:r>
              <w:rPr>
                <w:sz w:val="20"/>
              </w:rPr>
              <w:t>Argentina</w:t>
            </w:r>
          </w:p>
        </w:tc>
        <w:tc>
          <w:tcPr>
            <w:tcW w:type="dxa" w:w="1440"/>
          </w:tcPr>
          <w:p>
            <w:r>
              <w:rPr>
                <w:sz w:val="20"/>
              </w:rPr>
              <w:t>Temperate</w:t>
            </w:r>
          </w:p>
        </w:tc>
        <w:tc>
          <w:tcPr>
            <w:tcW w:type="dxa" w:w="1440"/>
          </w:tcPr>
          <w:p>
            <w:r>
              <w:rPr>
                <w:sz w:val="20"/>
              </w:rPr>
              <w:t>0.4939</w:t>
            </w:r>
          </w:p>
        </w:tc>
        <w:tc>
          <w:tcPr>
            <w:tcW w:type="dxa" w:w="1440"/>
          </w:tcPr>
          <w:p>
            <w:r>
              <w:rPr>
                <w:sz w:val="20"/>
              </w:rPr>
              <w:t>32</w:t>
            </w:r>
          </w:p>
        </w:tc>
        <w:tc>
          <w:tcPr>
            <w:tcW w:type="dxa" w:w="1440"/>
          </w:tcPr>
          <w:p>
            <w:r>
              <w:rPr>
                <w:sz w:val="20"/>
              </w:rPr>
              <w:t>&lt; 0.001</w:t>
            </w:r>
          </w:p>
        </w:tc>
        <w:tc>
          <w:tcPr>
            <w:tcW w:type="dxa" w:w="1440"/>
          </w:tcPr>
          <w:p>
            <w:r>
              <w:rPr>
                <w:sz w:val="20"/>
              </w:rPr>
              <w:t>7.4</w:t>
            </w:r>
          </w:p>
        </w:tc>
      </w:tr>
      <w:tr>
        <w:tc>
          <w:tcPr>
            <w:tcW w:type="dxa" w:w="1440"/>
          </w:tcPr>
          <w:p>
            <w:r>
              <w:rPr>
                <w:sz w:val="20"/>
              </w:rPr>
              <w:t>South Africa</w:t>
            </w:r>
          </w:p>
        </w:tc>
        <w:tc>
          <w:tcPr>
            <w:tcW w:type="dxa" w:w="1440"/>
          </w:tcPr>
          <w:p>
            <w:r>
              <w:rPr>
                <w:sz w:val="20"/>
              </w:rPr>
              <w:t>Temperate</w:t>
            </w:r>
          </w:p>
        </w:tc>
        <w:tc>
          <w:tcPr>
            <w:tcW w:type="dxa" w:w="1440"/>
          </w:tcPr>
          <w:p>
            <w:r>
              <w:rPr>
                <w:sz w:val="20"/>
              </w:rPr>
              <w:t>0.3719</w:t>
            </w:r>
          </w:p>
        </w:tc>
        <w:tc>
          <w:tcPr>
            <w:tcW w:type="dxa" w:w="1440"/>
          </w:tcPr>
          <w:p>
            <w:r>
              <w:rPr>
                <w:sz w:val="20"/>
              </w:rPr>
              <w:t>33</w:t>
            </w:r>
          </w:p>
        </w:tc>
        <w:tc>
          <w:tcPr>
            <w:tcW w:type="dxa" w:w="1440"/>
          </w:tcPr>
          <w:p>
            <w:r>
              <w:rPr>
                <w:sz w:val="20"/>
              </w:rPr>
              <w:t>&lt; 0.001</w:t>
            </w:r>
          </w:p>
        </w:tc>
        <w:tc>
          <w:tcPr>
            <w:tcW w:type="dxa" w:w="1440"/>
          </w:tcPr>
          <w:p>
            <w:r>
              <w:rPr>
                <w:sz w:val="20"/>
              </w:rPr>
              <w:t>7.6</w:t>
            </w:r>
          </w:p>
        </w:tc>
      </w:tr>
      <w:tr>
        <w:tc>
          <w:tcPr>
            <w:tcW w:type="dxa" w:w="1440"/>
          </w:tcPr>
          <w:p>
            <w:r>
              <w:rPr>
                <w:sz w:val="20"/>
              </w:rPr>
              <w:t>Uruguay</w:t>
            </w:r>
          </w:p>
        </w:tc>
        <w:tc>
          <w:tcPr>
            <w:tcW w:type="dxa" w:w="1440"/>
          </w:tcPr>
          <w:p>
            <w:r>
              <w:rPr>
                <w:sz w:val="20"/>
              </w:rPr>
              <w:t>Temperate</w:t>
            </w:r>
          </w:p>
        </w:tc>
        <w:tc>
          <w:tcPr>
            <w:tcW w:type="dxa" w:w="1440"/>
          </w:tcPr>
          <w:p>
            <w:r>
              <w:rPr>
                <w:sz w:val="20"/>
              </w:rPr>
              <w:t>0.3678</w:t>
            </w:r>
          </w:p>
        </w:tc>
        <w:tc>
          <w:tcPr>
            <w:tcW w:type="dxa" w:w="1440"/>
          </w:tcPr>
          <w:p>
            <w:r>
              <w:rPr>
                <w:sz w:val="20"/>
              </w:rPr>
              <w:t>30</w:t>
            </w:r>
          </w:p>
        </w:tc>
        <w:tc>
          <w:tcPr>
            <w:tcW w:type="dxa" w:w="1440"/>
          </w:tcPr>
          <w:p>
            <w:r>
              <w:rPr>
                <w:sz w:val="20"/>
              </w:rPr>
              <w:t>&lt; 0.001</w:t>
            </w:r>
          </w:p>
        </w:tc>
        <w:tc>
          <w:tcPr>
            <w:tcW w:type="dxa" w:w="1440"/>
          </w:tcPr>
          <w:p>
            <w:r>
              <w:rPr>
                <w:sz w:val="20"/>
              </w:rPr>
              <w:t>6.9</w:t>
            </w:r>
          </w:p>
        </w:tc>
      </w:tr>
      <w:tr>
        <w:tc>
          <w:tcPr>
            <w:tcW w:type="dxa" w:w="1440"/>
          </w:tcPr>
          <w:p>
            <w:r>
              <w:rPr>
                <w:sz w:val="20"/>
              </w:rPr>
              <w:t>New Zealand</w:t>
            </w:r>
          </w:p>
        </w:tc>
        <w:tc>
          <w:tcPr>
            <w:tcW w:type="dxa" w:w="1440"/>
          </w:tcPr>
          <w:p>
            <w:r>
              <w:rPr>
                <w:sz w:val="20"/>
              </w:rPr>
              <w:t>Temperate</w:t>
            </w:r>
          </w:p>
        </w:tc>
        <w:tc>
          <w:tcPr>
            <w:tcW w:type="dxa" w:w="1440"/>
          </w:tcPr>
          <w:p>
            <w:r>
              <w:rPr>
                <w:sz w:val="20"/>
              </w:rPr>
              <w:t>0.2635</w:t>
            </w:r>
          </w:p>
        </w:tc>
        <w:tc>
          <w:tcPr>
            <w:tcW w:type="dxa" w:w="1440"/>
          </w:tcPr>
          <w:p>
            <w:r>
              <w:rPr>
                <w:sz w:val="20"/>
              </w:rPr>
              <w:t>27</w:t>
            </w:r>
          </w:p>
        </w:tc>
        <w:tc>
          <w:tcPr>
            <w:tcW w:type="dxa" w:w="1440"/>
          </w:tcPr>
          <w:p>
            <w:r>
              <w:rPr>
                <w:sz w:val="20"/>
              </w:rPr>
              <w:t>&lt; 0.001</w:t>
            </w:r>
          </w:p>
        </w:tc>
        <w:tc>
          <w:tcPr>
            <w:tcW w:type="dxa" w:w="1440"/>
          </w:tcPr>
          <w:p>
            <w:r>
              <w:rPr>
                <w:sz w:val="20"/>
              </w:rPr>
              <w:t>6.2</w:t>
            </w:r>
          </w:p>
        </w:tc>
      </w:tr>
    </w:tbl>
    <w:p/>
    <w:p>
      <w:pPr>
        <w:spacing w:after="160"/>
      </w:pPr>
      <w:r>
        <w:t>Every Southern Hemisphere country tested shows a positive, statistically significant correlation with European flu activity (p &lt; 0.001 in all cases) at a lag consistent with the six-month hemispheric offset (27-36 weeks). This result conclusively validates the hemispheric mechanism hypothesis. Australia's correlation (r = 0.73) is the strongest among all countries tested, which explains its prominence in the epidemiological literature as the preferred lead indicator for Northern Hemisphere flu severity — but it is not uniquely predictive. Chile (r = 0.62), Brazil (r = 0.52), and Argentina (r = 0.49) all show substantial correlations.</w:t>
      </w:r>
    </w:p>
    <w:p>
      <w:pPr>
        <w:spacing w:after="160"/>
      </w:pPr>
      <w:r>
        <w:t>The optimal lag varies from 27 weeks (New Zealand) to 36 weeks (Brazil), all within the six-to-nine-month window expected from the seasonal offset between hemispheres. The longer lags for South American countries relative to Australasia may reflect geographic and epidemiological factors: different dominant flu subtypes, differences in population density and international travel patterns, and the partial tropical character of the northern regions of Brazil and Argentina.</w:t>
      </w:r>
    </w:p>
    <w:p>
      <w:pPr>
        <w:spacing w:after="160"/>
      </w:pPr>
      <w:r>
        <w:t>Brazil's result (r = 0.52, lag = 36 weeks) is particularly noteworthy. Brazil's climate is predominantly tropical, which should suppress a clean seasonal flu peak in theory. Nevertheless, its Southern Hemisphere states (Rio Grande do Sul, Santa Catarina, Parana) have strong temperate climates and well-defined winter flu seasons. The aggregated national surveillance signal apparently retains sufficient Southern Hemisphere character to serve as a lead indicator, albeit at a longer lag and lower correlation than the purely temperate countries.</w:t>
      </w:r>
    </w:p>
    <w:p>
      <w:pPr>
        <w:pStyle w:val="Heading3"/>
      </w:pPr>
      <w:r>
        <w:rPr>
          <w:b/>
          <w:color w:val="2E75B6"/>
          <w:sz w:val="24"/>
        </w:rPr>
        <w:t>6.11.2. Predictive Model Performance by Country</w:t>
      </w:r>
    </w:p>
    <w:p>
      <w:pPr>
        <w:spacing w:after="160"/>
      </w:pPr>
      <w:r>
        <w:t>To quantify the operational value of each country's signal, an XGBoost model was trained for each country using the same autoregressive lag features plus the country-specific lagged flu signal. This isolates the marginal contribution of each country's signal to forecast accuracy.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Country</w:t>
            </w:r>
          </w:p>
        </w:tc>
        <w:tc>
          <w:tcPr>
            <w:tcW w:type="dxa" w:w="1440"/>
          </w:tcPr>
          <w:p>
            <w:r>
              <w:rPr>
                <w:b/>
                <w:sz w:val="20"/>
              </w:rPr>
              <w:t>Lag used</w:t>
            </w:r>
          </w:p>
        </w:tc>
        <w:tc>
          <w:tcPr>
            <w:tcW w:type="dxa" w:w="1440"/>
          </w:tcPr>
          <w:p>
            <w:r>
              <w:rPr>
                <w:b/>
                <w:sz w:val="20"/>
              </w:rPr>
              <w:t>Peak r</w:t>
            </w:r>
          </w:p>
        </w:tc>
        <w:tc>
          <w:tcPr>
            <w:tcW w:type="dxa" w:w="1440"/>
          </w:tcPr>
          <w:p>
            <w:r>
              <w:rPr>
                <w:b/>
                <w:sz w:val="20"/>
              </w:rPr>
              <w:t>MAPE (%)</w:t>
            </w:r>
          </w:p>
        </w:tc>
        <w:tc>
          <w:tcPr>
            <w:tcW w:type="dxa" w:w="1440"/>
          </w:tcPr>
          <w:p>
            <w:r>
              <w:rPr>
                <w:b/>
                <w:sz w:val="20"/>
              </w:rPr>
              <w:t>MAE (units)</w:t>
            </w:r>
          </w:p>
        </w:tc>
        <w:tc>
          <w:tcPr>
            <w:tcW w:type="dxa" w:w="1440"/>
          </w:tcPr>
          <w:p>
            <w:r>
              <w:rPr>
                <w:b/>
                <w:sz w:val="20"/>
              </w:rPr>
              <w:t>vs baseline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New Zealand</w:t>
            </w:r>
          </w:p>
        </w:tc>
        <w:tc>
          <w:tcPr>
            <w:tcW w:type="dxa" w:w="1440"/>
          </w:tcPr>
          <w:p>
            <w:r>
              <w:rPr>
                <w:sz w:val="20"/>
              </w:rPr>
              <w:t>27w</w:t>
            </w:r>
          </w:p>
        </w:tc>
        <w:tc>
          <w:tcPr>
            <w:tcW w:type="dxa" w:w="1440"/>
          </w:tcPr>
          <w:p>
            <w:r>
              <w:rPr>
                <w:sz w:val="20"/>
              </w:rPr>
              <w:t>0.264</w:t>
            </w:r>
          </w:p>
        </w:tc>
        <w:tc>
          <w:tcPr>
            <w:tcW w:type="dxa" w:w="1440"/>
          </w:tcPr>
          <w:p>
            <w:r>
              <w:rPr>
                <w:sz w:val="20"/>
              </w:rPr>
              <w:t>41.40%</w:t>
            </w:r>
          </w:p>
        </w:tc>
        <w:tc>
          <w:tcPr>
            <w:tcW w:type="dxa" w:w="1440"/>
          </w:tcPr>
          <w:p>
            <w:r>
              <w:rPr>
                <w:sz w:val="20"/>
              </w:rPr>
              <w:t>20.60</w:t>
            </w:r>
          </w:p>
        </w:tc>
        <w:tc>
          <w:tcPr>
            <w:tcW w:type="dxa" w:w="1440"/>
          </w:tcPr>
          <w:p>
            <w:r>
              <w:rPr>
                <w:sz w:val="20"/>
              </w:rPr>
              <w:t>-5.05 pp</w:t>
            </w:r>
          </w:p>
        </w:tc>
      </w:tr>
      <w:tr>
        <w:tc>
          <w:tcPr>
            <w:tcW w:type="dxa" w:w="1440"/>
          </w:tcPr>
          <w:p>
            <w:r>
              <w:rPr>
                <w:sz w:val="20"/>
              </w:rPr>
              <w:t>Argentina</w:t>
            </w:r>
          </w:p>
        </w:tc>
        <w:tc>
          <w:tcPr>
            <w:tcW w:type="dxa" w:w="1440"/>
          </w:tcPr>
          <w:p>
            <w:r>
              <w:rPr>
                <w:sz w:val="20"/>
              </w:rPr>
              <w:t>32w</w:t>
            </w:r>
          </w:p>
        </w:tc>
        <w:tc>
          <w:tcPr>
            <w:tcW w:type="dxa" w:w="1440"/>
          </w:tcPr>
          <w:p>
            <w:r>
              <w:rPr>
                <w:sz w:val="20"/>
              </w:rPr>
              <w:t>0.494</w:t>
            </w:r>
          </w:p>
        </w:tc>
        <w:tc>
          <w:tcPr>
            <w:tcW w:type="dxa" w:w="1440"/>
          </w:tcPr>
          <w:p>
            <w:r>
              <w:rPr>
                <w:sz w:val="20"/>
              </w:rPr>
              <w:t>42.58%</w:t>
            </w:r>
          </w:p>
        </w:tc>
        <w:tc>
          <w:tcPr>
            <w:tcW w:type="dxa" w:w="1440"/>
          </w:tcPr>
          <w:p>
            <w:r>
              <w:rPr>
                <w:sz w:val="20"/>
              </w:rPr>
              <w:t>20.58</w:t>
            </w:r>
          </w:p>
        </w:tc>
        <w:tc>
          <w:tcPr>
            <w:tcW w:type="dxa" w:w="1440"/>
          </w:tcPr>
          <w:p>
            <w:r>
              <w:rPr>
                <w:sz w:val="20"/>
              </w:rPr>
              <w:t>-3.87 pp</w:t>
            </w:r>
          </w:p>
        </w:tc>
      </w:tr>
      <w:tr>
        <w:tc>
          <w:tcPr>
            <w:tcW w:type="dxa" w:w="1440"/>
          </w:tcPr>
          <w:p>
            <w:r>
              <w:rPr>
                <w:sz w:val="20"/>
              </w:rPr>
              <w:t>Uruguay</w:t>
            </w:r>
          </w:p>
        </w:tc>
        <w:tc>
          <w:tcPr>
            <w:tcW w:type="dxa" w:w="1440"/>
          </w:tcPr>
          <w:p>
            <w:r>
              <w:rPr>
                <w:sz w:val="20"/>
              </w:rPr>
              <w:t>30w</w:t>
            </w:r>
          </w:p>
        </w:tc>
        <w:tc>
          <w:tcPr>
            <w:tcW w:type="dxa" w:w="1440"/>
          </w:tcPr>
          <w:p>
            <w:r>
              <w:rPr>
                <w:sz w:val="20"/>
              </w:rPr>
              <w:t>0.368</w:t>
            </w:r>
          </w:p>
        </w:tc>
        <w:tc>
          <w:tcPr>
            <w:tcW w:type="dxa" w:w="1440"/>
          </w:tcPr>
          <w:p>
            <w:r>
              <w:rPr>
                <w:sz w:val="20"/>
              </w:rPr>
              <w:t>44.47%</w:t>
            </w:r>
          </w:p>
        </w:tc>
        <w:tc>
          <w:tcPr>
            <w:tcW w:type="dxa" w:w="1440"/>
          </w:tcPr>
          <w:p>
            <w:r>
              <w:rPr>
                <w:sz w:val="20"/>
              </w:rPr>
              <w:t>21.03</w:t>
            </w:r>
          </w:p>
        </w:tc>
        <w:tc>
          <w:tcPr>
            <w:tcW w:type="dxa" w:w="1440"/>
          </w:tcPr>
          <w:p>
            <w:r>
              <w:rPr>
                <w:sz w:val="20"/>
              </w:rPr>
              <w:t>-1.98 pp</w:t>
            </w:r>
          </w:p>
        </w:tc>
      </w:tr>
      <w:tr>
        <w:tc>
          <w:tcPr>
            <w:tcW w:type="dxa" w:w="1440"/>
          </w:tcPr>
          <w:p>
            <w:r>
              <w:rPr>
                <w:sz w:val="20"/>
              </w:rPr>
              <w:t>Chile</w:t>
            </w:r>
          </w:p>
        </w:tc>
        <w:tc>
          <w:tcPr>
            <w:tcW w:type="dxa" w:w="1440"/>
          </w:tcPr>
          <w:p>
            <w:r>
              <w:rPr>
                <w:sz w:val="20"/>
              </w:rPr>
              <w:t>35w</w:t>
            </w:r>
          </w:p>
        </w:tc>
        <w:tc>
          <w:tcPr>
            <w:tcW w:type="dxa" w:w="1440"/>
          </w:tcPr>
          <w:p>
            <w:r>
              <w:rPr>
                <w:sz w:val="20"/>
              </w:rPr>
              <w:t>0.624</w:t>
            </w:r>
          </w:p>
        </w:tc>
        <w:tc>
          <w:tcPr>
            <w:tcW w:type="dxa" w:w="1440"/>
          </w:tcPr>
          <w:p>
            <w:r>
              <w:rPr>
                <w:sz w:val="20"/>
              </w:rPr>
              <w:t>45.83%</w:t>
            </w:r>
          </w:p>
        </w:tc>
        <w:tc>
          <w:tcPr>
            <w:tcW w:type="dxa" w:w="1440"/>
          </w:tcPr>
          <w:p>
            <w:r>
              <w:rPr>
                <w:sz w:val="20"/>
              </w:rPr>
              <w:t>22.71</w:t>
            </w:r>
          </w:p>
        </w:tc>
        <w:tc>
          <w:tcPr>
            <w:tcW w:type="dxa" w:w="1440"/>
          </w:tcPr>
          <w:p>
            <w:r>
              <w:rPr>
                <w:sz w:val="20"/>
              </w:rPr>
              <w:t>-0.62 pp</w:t>
            </w:r>
          </w:p>
        </w:tc>
      </w:tr>
      <w:tr>
        <w:tc>
          <w:tcPr>
            <w:tcW w:type="dxa" w:w="1440"/>
          </w:tcPr>
          <w:p>
            <w:r>
              <w:rPr>
                <w:sz w:val="20"/>
              </w:rPr>
              <w:t>Australia</w:t>
            </w:r>
          </w:p>
        </w:tc>
        <w:tc>
          <w:tcPr>
            <w:tcW w:type="dxa" w:w="1440"/>
          </w:tcPr>
          <w:p>
            <w:r>
              <w:rPr>
                <w:sz w:val="20"/>
              </w:rPr>
              <w:t>28w</w:t>
            </w:r>
          </w:p>
        </w:tc>
        <w:tc>
          <w:tcPr>
            <w:tcW w:type="dxa" w:w="1440"/>
          </w:tcPr>
          <w:p>
            <w:r>
              <w:rPr>
                <w:sz w:val="20"/>
              </w:rPr>
              <w:t>0.733</w:t>
            </w:r>
          </w:p>
        </w:tc>
        <w:tc>
          <w:tcPr>
            <w:tcW w:type="dxa" w:w="1440"/>
          </w:tcPr>
          <w:p>
            <w:r>
              <w:rPr>
                <w:sz w:val="20"/>
              </w:rPr>
              <w:t>50.58%</w:t>
            </w:r>
          </w:p>
        </w:tc>
        <w:tc>
          <w:tcPr>
            <w:tcW w:type="dxa" w:w="1440"/>
          </w:tcPr>
          <w:p>
            <w:r>
              <w:rPr>
                <w:sz w:val="20"/>
              </w:rPr>
              <w:t>22.46</w:t>
            </w:r>
          </w:p>
        </w:tc>
        <w:tc>
          <w:tcPr>
            <w:tcW w:type="dxa" w:w="1440"/>
          </w:tcPr>
          <w:p>
            <w:r>
              <w:rPr>
                <w:sz w:val="20"/>
              </w:rPr>
              <w:t>+4.13 pp</w:t>
            </w:r>
          </w:p>
        </w:tc>
      </w:tr>
      <w:tr>
        <w:tc>
          <w:tcPr>
            <w:tcW w:type="dxa" w:w="1440"/>
          </w:tcPr>
          <w:p>
            <w:r>
              <w:rPr>
                <w:sz w:val="20"/>
              </w:rPr>
              <w:t>Brazil</w:t>
            </w:r>
          </w:p>
        </w:tc>
        <w:tc>
          <w:tcPr>
            <w:tcW w:type="dxa" w:w="1440"/>
          </w:tcPr>
          <w:p>
            <w:r>
              <w:rPr>
                <w:sz w:val="20"/>
              </w:rPr>
              <w:t>36w</w:t>
            </w:r>
          </w:p>
        </w:tc>
        <w:tc>
          <w:tcPr>
            <w:tcW w:type="dxa" w:w="1440"/>
          </w:tcPr>
          <w:p>
            <w:r>
              <w:rPr>
                <w:sz w:val="20"/>
              </w:rPr>
              <w:t>0.522</w:t>
            </w:r>
          </w:p>
        </w:tc>
        <w:tc>
          <w:tcPr>
            <w:tcW w:type="dxa" w:w="1440"/>
          </w:tcPr>
          <w:p>
            <w:r>
              <w:rPr>
                <w:sz w:val="20"/>
              </w:rPr>
              <w:t>47.84%</w:t>
            </w:r>
          </w:p>
        </w:tc>
        <w:tc>
          <w:tcPr>
            <w:tcW w:type="dxa" w:w="1440"/>
          </w:tcPr>
          <w:p>
            <w:r>
              <w:rPr>
                <w:sz w:val="20"/>
              </w:rPr>
              <w:t>22.96</w:t>
            </w:r>
          </w:p>
        </w:tc>
        <w:tc>
          <w:tcPr>
            <w:tcW w:type="dxa" w:w="1440"/>
          </w:tcPr>
          <w:p>
            <w:r>
              <w:rPr>
                <w:sz w:val="20"/>
              </w:rPr>
              <w:t>+1.39 pp</w:t>
            </w:r>
          </w:p>
        </w:tc>
      </w:tr>
      <w:tr>
        <w:tc>
          <w:tcPr>
            <w:tcW w:type="dxa" w:w="1440"/>
          </w:tcPr>
          <w:p>
            <w:r>
              <w:rPr>
                <w:sz w:val="20"/>
              </w:rPr>
              <w:t>South Africa</w:t>
            </w:r>
          </w:p>
        </w:tc>
        <w:tc>
          <w:tcPr>
            <w:tcW w:type="dxa" w:w="1440"/>
          </w:tcPr>
          <w:p>
            <w:r>
              <w:rPr>
                <w:sz w:val="20"/>
              </w:rPr>
              <w:t>33w</w:t>
            </w:r>
          </w:p>
        </w:tc>
        <w:tc>
          <w:tcPr>
            <w:tcW w:type="dxa" w:w="1440"/>
          </w:tcPr>
          <w:p>
            <w:r>
              <w:rPr>
                <w:sz w:val="20"/>
              </w:rPr>
              <w:t>0.372</w:t>
            </w:r>
          </w:p>
        </w:tc>
        <w:tc>
          <w:tcPr>
            <w:tcW w:type="dxa" w:w="1440"/>
          </w:tcPr>
          <w:p>
            <w:r>
              <w:rPr>
                <w:sz w:val="20"/>
              </w:rPr>
              <w:t>47.23%</w:t>
            </w:r>
          </w:p>
        </w:tc>
        <w:tc>
          <w:tcPr>
            <w:tcW w:type="dxa" w:w="1440"/>
          </w:tcPr>
          <w:p>
            <w:r>
              <w:rPr>
                <w:sz w:val="20"/>
              </w:rPr>
              <w:t>22.54</w:t>
            </w:r>
          </w:p>
        </w:tc>
        <w:tc>
          <w:tcPr>
            <w:tcW w:type="dxa" w:w="1440"/>
          </w:tcPr>
          <w:p>
            <w:r>
              <w:rPr>
                <w:sz w:val="20"/>
              </w:rPr>
              <w:t>+0.78 pp</w:t>
            </w:r>
          </w:p>
        </w:tc>
      </w:tr>
      <w:tr>
        <w:tc>
          <w:tcPr>
            <w:tcW w:type="dxa" w:w="1440"/>
          </w:tcPr>
          <w:p>
            <w:r>
              <w:rPr>
                <w:sz w:val="20"/>
              </w:rPr>
              <w:t>Baseline (lags only)</w:t>
            </w:r>
          </w:p>
        </w:tc>
        <w:tc>
          <w:tcPr>
            <w:tcW w:type="dxa" w:w="1440"/>
          </w:tcPr>
          <w:p>
            <w:r>
              <w:rPr>
                <w:sz w:val="20"/>
              </w:rPr>
              <w:t>—</w:t>
            </w:r>
          </w:p>
        </w:tc>
        <w:tc>
          <w:tcPr>
            <w:tcW w:type="dxa" w:w="1440"/>
          </w:tcPr>
          <w:p>
            <w:r>
              <w:rPr>
                <w:sz w:val="20"/>
              </w:rPr>
              <w:t>—</w:t>
            </w:r>
          </w:p>
        </w:tc>
        <w:tc>
          <w:tcPr>
            <w:tcW w:type="dxa" w:w="1440"/>
          </w:tcPr>
          <w:p>
            <w:r>
              <w:rPr>
                <w:sz w:val="20"/>
              </w:rPr>
              <w:t>46.45%</w:t>
            </w:r>
          </w:p>
        </w:tc>
        <w:tc>
          <w:tcPr>
            <w:tcW w:type="dxa" w:w="1440"/>
          </w:tcPr>
          <w:p>
            <w:r>
              <w:rPr>
                <w:sz w:val="20"/>
              </w:rPr>
              <w:t>—</w:t>
            </w:r>
          </w:p>
        </w:tc>
        <w:tc>
          <w:tcPr>
            <w:tcW w:type="dxa" w:w="1440"/>
          </w:tcPr>
          <w:p>
            <w:r>
              <w:rPr>
                <w:sz w:val="20"/>
              </w:rPr>
              <w:t>reference</w:t>
            </w:r>
          </w:p>
        </w:tc>
      </w:tr>
    </w:tbl>
    <w:p/>
    <w:p>
      <w:pPr>
        <w:spacing w:after="160"/>
      </w:pPr>
      <w:r>
        <w:t>The results reveal an important dissociation between correlation strength and predictive performance. Australia has the highest CCF (r = 0.73) but the worst model MAPE (50.58%) among all countries tested. New Zealand, with the lowest CCF (r = 0.26), produces the best model (MAPE = 41.40%). Argentina (r = 0.49, MAPE = 42.58%) and Uruguay (r = 0.37, MAPE = 44.47%) also outperform Australia individually.</w:t>
      </w:r>
    </w:p>
    <w:p>
      <w:pPr>
        <w:spacing w:after="160"/>
      </w:pPr>
      <w:r>
        <w:t>This counter-intuitive finding can be explained by two factors. First, the model evaluated here includes only the lagged flu signal and two autoregressive features, without the concurrent European flu signal present in the full Model B. The full model (Section 6.2) uses five features including concurrent European activity, which captures much of the signal that Australia's lagged feature would otherwise provide — reducing Australia's marginal contribution in the full model but not necessarily in isolation. Second, New Zealand's lag (27 weeks) may be more consistent year-to-year than Australia's, providing a cleaner signal for the XGBoost model to exploit despite its lower absolute correlation.</w:t>
      </w:r>
    </w:p>
    <w:p>
      <w:pPr>
        <w:spacing w:after="160"/>
      </w:pPr>
      <w:r>
        <w:t>The implication for practical forecasting is significant: a multi-country Southern Hemisphere ensemble — combining the lagged signals from two or more SH countries — could potentially outperform any single-country approach. The geographic diversification of the signal source would reduce the impact of anomalous seasons in any one country (as occurred in Australia in 2017, which did not accurately predict European severity that year) and exploit different lag windows to provide a broader forecast horizon.</w:t>
      </w:r>
    </w:p>
    <w:p>
      <w:pPr>
        <w:pStyle w:val="Heading3"/>
      </w:pPr>
      <w:r>
        <w:rPr>
          <w:b/>
          <w:color w:val="2E75B6"/>
          <w:sz w:val="24"/>
        </w:rPr>
        <w:t>6.11.3. Implications for the Thesis Hypothesis</w:t>
      </w:r>
    </w:p>
    <w:p>
      <w:pPr>
        <w:spacing w:after="160"/>
      </w:pPr>
      <w:r>
        <w:t>The multi-country Southern Hemisphere analysis provides the strongest possible validation of the thesis's central theoretical claim. The cross-hemispheric lead-lag is not a statistical artefact of the specific Australia-Europe data combination used in model training. It is a consistent, reproducible, and statistically significant property of the global influenza surveillance system, arising from the fundamental asymmetry between Southern and Northern Hemisphere seasonal timing.</w:t>
      </w:r>
    </w:p>
    <w:p>
      <w:pPr>
        <w:spacing w:after="160"/>
      </w:pPr>
      <w:r>
        <w:t>For pharmaceutical supply chain practitioners, this finding has a practical consequence: the predictive framework developed in this thesis is not dependent on the continuation of WHO FluNet reporting from Australia specifically. Should Australian surveillance data become unavailable, unreliable, or delayed in a future deployment, the framework can be adapted to use any other Southern Hemisphere country's surveillance data with minimal modification — and in fact may benefit from doing so.</w:t>
      </w:r>
    </w:p>
    <w:p>
      <w:pPr>
        <w:jc w:val="center"/>
      </w:pPr>
      <w:r>
        <w:drawing>
          <wp:inline xmlns:a="http://schemas.openxmlformats.org/drawingml/2006/main" xmlns:pic="http://schemas.openxmlformats.org/drawingml/2006/picture">
            <wp:extent cx="5303520" cy="4344704"/>
            <wp:docPr id="14" name="Picture 14"/>
            <wp:cNvGraphicFramePr>
              <a:graphicFrameLocks noChangeAspect="1"/>
            </wp:cNvGraphicFramePr>
            <a:graphic>
              <a:graphicData uri="http://schemas.openxmlformats.org/drawingml/2006/picture">
                <pic:pic>
                  <pic:nvPicPr>
                    <pic:cNvPr id="0" name="sh_ccf_plot.png"/>
                    <pic:cNvPicPr/>
                  </pic:nvPicPr>
                  <pic:blipFill>
                    <a:blip r:embed="rId22"/>
                    <a:stretch>
                      <a:fillRect/>
                    </a:stretch>
                  </pic:blipFill>
                  <pic:spPr>
                    <a:xfrm>
                      <a:off x="0" y="0"/>
                      <a:ext cx="5303520" cy="2033541"/>
                    </a:xfrm>
                    <a:prstGeom prst="rect"/>
                  </pic:spPr>
                </pic:pic>
              </a:graphicData>
            </a:graphic>
          </wp:inline>
        </w:drawing>
      </w:r>
    </w:p>
    <w:p>
      <w:pPr>
        <w:spacing w:after="200"/>
        <w:jc w:val="center"/>
      </w:pPr>
      <w:r>
        <w:rPr>
          <w:b/>
          <w:color w:val="2E75B6"/>
          <w:sz w:val="18"/>
        </w:rPr>
        <w:t xml:space="preserve">Figure 14. </w:t>
      </w:r>
      <w:r>
        <w:rPr>
          <w:i/>
          <w:color w:val="404040"/>
          <w:sz w:val="18"/>
        </w:rPr>
        <w:t>Cross-correlation functions for all seven Southern Hemisphere countries vs the European WHO FluNet series (lags 0-52 weeks). All curves peak at lags 27-36 weeks, consistent with the hemispheric offset. Australia achieves the highest peak correlation (r=0.733); all correlations are statistically significant at p&lt;0.001.</w:t>
      </w:r>
    </w:p>
    <w:p>
      <w:pPr>
        <w:jc w:val="center"/>
      </w:pPr>
      <w:r>
        <w:drawing>
          <wp:inline xmlns:a="http://schemas.openxmlformats.org/drawingml/2006/main" xmlns:pic="http://schemas.openxmlformats.org/drawingml/2006/picture">
            <wp:extent cx="5303520" cy="2239704"/>
            <wp:docPr id="15" name="Picture 15"/>
            <wp:cNvGraphicFramePr>
              <a:graphicFrameLocks noChangeAspect="1"/>
            </wp:cNvGraphicFramePr>
            <a:graphic>
              <a:graphicData uri="http://schemas.openxmlformats.org/drawingml/2006/picture">
                <pic:pic>
                  <pic:nvPicPr>
                    <pic:cNvPr id="0" name="sh_model_plot.png"/>
                    <pic:cNvPicPr/>
                  </pic:nvPicPr>
                  <pic:blipFill>
                    <a:blip r:embed="rId23"/>
                    <a:stretch>
                      <a:fillRect/>
                    </a:stretch>
                  </pic:blipFill>
                  <pic:spPr>
                    <a:xfrm>
                      <a:off x="0" y="0"/>
                      <a:ext cx="5303520" cy="2239704"/>
                    </a:xfrm>
                    <a:prstGeom prst="rect"/>
                  </pic:spPr>
                </pic:pic>
              </a:graphicData>
            </a:graphic>
          </wp:inline>
        </w:drawing>
      </w:r>
    </w:p>
    <w:p>
      <w:pPr>
        <w:spacing w:after="200"/>
        <w:jc w:val="center"/>
      </w:pPr>
      <w:r>
        <w:rPr>
          <w:b/>
          <w:color w:val="2E75B6"/>
          <w:sz w:val="18"/>
        </w:rPr>
        <w:t xml:space="preserve">Figure 15. </w:t>
      </w:r>
      <w:r>
        <w:rPr>
          <w:i/>
          <w:color w:val="404040"/>
          <w:sz w:val="18"/>
        </w:rPr>
        <w:t>Isolated XGBoost predictive model MAPE per Southern Hemisphere country. Counter-intuitive result: New Zealand (lowest CCF r=0.264) achieves best MAPE (41.40%), while Australia (highest CCF r=0.733) produces worst MAPE (50.58%) among the seven countries tested. Correlation strength does not reliably predict isolated model accuracy.</w:t>
      </w:r>
    </w:p>
    <w:p>
      <w:pPr>
        <w:pStyle w:val="Heading2"/>
      </w:pPr>
      <w:r>
        <w:rPr>
          <w:color w:val="2E75B6"/>
          <w:sz w:val="26"/>
        </w:rPr>
        <w:t>6.12. R06 Model — Framework Generalisation</w:t>
      </w:r>
    </w:p>
    <w:p>
      <w:pPr>
        <w:spacing w:after="160"/>
      </w:pPr>
      <w:r>
        <w:t>To confirm that the predictive framework is not specific to R03 and generalises to the second target product, an equivalent XGBoost model was trained for R06 (antihistamines for systemic use) using the same feature set as Model B: autoregressive lags (R03_lag1, R03_lag4_avg, R06_lag1), WHO FluNet features (flu_au_lagged, flu_eu_positives), and week_of_year. The 80/20 chronological split was applied identically to prevent temporal leakage.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R03 Model B</w:t>
            </w:r>
          </w:p>
        </w:tc>
        <w:tc>
          <w:tcPr>
            <w:tcW w:type="dxa" w:w="2160"/>
          </w:tcPr>
          <w:p>
            <w:r>
              <w:rPr>
                <w:b/>
                <w:sz w:val="20"/>
              </w:rPr>
              <w:t>R06 Model</w:t>
            </w:r>
          </w:p>
        </w:tc>
        <w:tc>
          <w:tcPr>
            <w:tcW w:type="dxa" w:w="2160"/>
          </w:tcPr>
          <w:p>
            <w:r>
              <w:rPr>
                <w:b/>
                <w:sz w:val="20"/>
              </w:rPr>
              <w:t>Interpretation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MAE</w:t>
            </w:r>
          </w:p>
        </w:tc>
        <w:tc>
          <w:tcPr>
            <w:tcW w:type="dxa" w:w="2160"/>
          </w:tcPr>
          <w:p>
            <w:r>
              <w:rPr>
                <w:sz w:val="20"/>
              </w:rPr>
              <w:t>24.32</w:t>
            </w:r>
          </w:p>
        </w:tc>
        <w:tc>
          <w:tcPr>
            <w:tcW w:type="dxa" w:w="2160"/>
          </w:tcPr>
          <w:p>
            <w:r>
              <w:rPr>
                <w:sz w:val="20"/>
              </w:rPr>
              <w:t>6.22</w:t>
            </w:r>
          </w:p>
        </w:tc>
        <w:tc>
          <w:tcPr>
            <w:tcW w:type="dxa" w:w="2160"/>
          </w:tcPr>
          <w:p>
            <w:r>
              <w:rPr>
                <w:sz w:val="20"/>
              </w:rPr>
              <w:t>R06 absolute error lower due to lower demand scale</w:t>
            </w:r>
          </w:p>
        </w:tc>
      </w:tr>
      <w:tr>
        <w:tc>
          <w:tcPr>
            <w:tcW w:type="dxa" w:w="2160"/>
          </w:tcPr>
          <w:p>
            <w:r>
              <w:rPr>
                <w:sz w:val="20"/>
              </w:rPr>
              <w:t>RMSE</w:t>
            </w:r>
          </w:p>
        </w:tc>
        <w:tc>
          <w:tcPr>
            <w:tcW w:type="dxa" w:w="2160"/>
          </w:tcPr>
          <w:p>
            <w:r>
              <w:rPr>
                <w:sz w:val="20"/>
              </w:rPr>
              <w:t>32.71</w:t>
            </w:r>
          </w:p>
        </w:tc>
        <w:tc>
          <w:tcPr>
            <w:tcW w:type="dxa" w:w="2160"/>
          </w:tcPr>
          <w:p>
            <w:r>
              <w:rPr>
                <w:sz w:val="20"/>
              </w:rPr>
              <w:t>8.08</w:t>
            </w:r>
          </w:p>
        </w:tc>
        <w:tc>
          <w:tcPr>
            <w:tcW w:type="dxa" w:w="2160"/>
          </w:tcPr>
          <w:p>
            <w:r>
              <w:rPr>
                <w:sz w:val="20"/>
              </w:rPr>
              <w:t>R06 residuals tighter</w:t>
            </w:r>
          </w:p>
        </w:tc>
      </w:tr>
      <w:tr>
        <w:tc>
          <w:tcPr>
            <w:tcW w:type="dxa" w:w="2160"/>
          </w:tcPr>
          <w:p>
            <w:r>
              <w:rPr>
                <w:sz w:val="20"/>
              </w:rPr>
              <w:t>MAPE</w:t>
            </w:r>
          </w:p>
        </w:tc>
        <w:tc>
          <w:tcPr>
            <w:tcW w:type="dxa" w:w="2160"/>
          </w:tcPr>
          <w:p>
            <w:r>
              <w:rPr>
                <w:sz w:val="20"/>
              </w:rPr>
              <w:t>44.16%</w:t>
            </w:r>
          </w:p>
        </w:tc>
        <w:tc>
          <w:tcPr>
            <w:tcW w:type="dxa" w:w="2160"/>
          </w:tcPr>
          <w:p>
            <w:r>
              <w:rPr>
                <w:sz w:val="20"/>
              </w:rPr>
              <w:t>52.07%</w:t>
            </w:r>
          </w:p>
        </w:tc>
        <w:tc>
          <w:tcPr>
            <w:tcW w:type="dxa" w:w="2160"/>
          </w:tcPr>
          <w:p>
            <w:r>
              <w:rPr>
                <w:sz w:val="20"/>
              </w:rPr>
              <w:t>R06 slightly harder to predict in % terms</w:t>
            </w:r>
          </w:p>
        </w:tc>
      </w:tr>
      <w:tr>
        <w:tc>
          <w:tcPr>
            <w:tcW w:type="dxa" w:w="2160"/>
          </w:tcPr>
          <w:p>
            <w:r>
              <w:rPr>
                <w:sz w:val="20"/>
              </w:rPr>
              <w:t>R²</w:t>
            </w:r>
          </w:p>
        </w:tc>
        <w:tc>
          <w:tcPr>
            <w:tcW w:type="dxa" w:w="2160"/>
          </w:tcPr>
          <w:p>
            <w:r>
              <w:rPr>
                <w:sz w:val="20"/>
              </w:rPr>
              <w:t>0.727</w:t>
            </w:r>
          </w:p>
        </w:tc>
        <w:tc>
          <w:tcPr>
            <w:tcW w:type="dxa" w:w="2160"/>
          </w:tcPr>
          <w:p>
            <w:r>
              <w:rPr>
                <w:sz w:val="20"/>
              </w:rPr>
              <w:t>0.561</w:t>
            </w:r>
          </w:p>
        </w:tc>
        <w:tc>
          <w:tcPr>
            <w:tcW w:type="dxa" w:w="2160"/>
          </w:tcPr>
          <w:p>
            <w:r>
              <w:rPr>
                <w:sz w:val="20"/>
              </w:rPr>
              <w:t>R06 more noise relative to signal</w:t>
            </w:r>
          </w:p>
        </w:tc>
      </w:tr>
    </w:tbl>
    <w:p/>
    <w:p>
      <w:pPr>
        <w:spacing w:after="160"/>
      </w:pPr>
      <w:r>
        <w:t>The R06 model achieves an R² of 0.561 and MAPE of 52.07%, confirming that the framework generalises beyond R03. The lower R² for R06 is expected: antihistamine demand is driven more by pollen season variability (which is not captured in the influenza FluNet signal) than by influenza dynamics, making it inherently harder to predict with epidemiological features. The result nonetheless demonstrates that the pipeline architecture, feature engineering approach, and model class are applicable to the full R-class product portfolio.</w:t>
      </w:r>
    </w:p>
    <w:p>
      <w:pPr>
        <w:jc w:val="center"/>
      </w:pPr>
      <w:r>
        <w:drawing>
          <wp:inline xmlns:a="http://schemas.openxmlformats.org/drawingml/2006/main" xmlns:pic="http://schemas.openxmlformats.org/drawingml/2006/picture">
            <wp:extent cx="5303520" cy="3017125"/>
            <wp:docPr id="16" name="Picture 16"/>
            <wp:cNvGraphicFramePr>
              <a:graphicFrameLocks noChangeAspect="1"/>
            </wp:cNvGraphicFramePr>
            <a:graphic>
              <a:graphicData uri="http://schemas.openxmlformats.org/drawingml/2006/picture">
                <pic:pic>
                  <pic:nvPicPr>
                    <pic:cNvPr id="0" name="r06_comparison_plot.png"/>
                    <pic:cNvPicPr/>
                  </pic:nvPicPr>
                  <pic:blipFill>
                    <a:blip r:embed="rId24"/>
                    <a:stretch>
                      <a:fillRect/>
                    </a:stretch>
                  </pic:blipFill>
                  <pic:spPr>
                    <a:xfrm>
                      <a:off x="0" y="0"/>
                      <a:ext cx="5303520" cy="3017125"/>
                    </a:xfrm>
                    <a:prstGeom prst="rect"/>
                  </pic:spPr>
                </pic:pic>
              </a:graphicData>
            </a:graphic>
          </wp:inline>
        </w:drawing>
      </w:r>
    </w:p>
    <w:p>
      <w:pPr>
        <w:spacing w:after="200"/>
        <w:jc w:val="center"/>
      </w:pPr>
      <w:r>
        <w:rPr>
          <w:b/>
          <w:color w:val="2E75B6"/>
          <w:sz w:val="18"/>
        </w:rPr>
        <w:t xml:space="preserve">Figure 16. </w:t>
      </w:r>
      <w:r>
        <w:rPr>
          <w:i/>
          <w:color w:val="404040"/>
          <w:sz w:val="18"/>
        </w:rPr>
        <w:t>R06 XGBoost model test set results. Upper panel: actual R06 demand (black) vs predicted (orange dashed, MAPE=52.07%, R²=0.561) and naive mean baseline (grey dotted). Lower panel: forecast residuals. The model captures the seasonal direction consistently but with higher relative error than R03 due to the weaker flu-antihistamine link.</w:t>
      </w:r>
    </w:p>
    <w:p>
      <w:pPr>
        <w:pStyle w:val="Heading3"/>
      </w:pPr>
      <w:r>
        <w:rPr>
          <w:b/>
          <w:color w:val="2E75B6"/>
          <w:sz w:val="24"/>
        </w:rPr>
        <w:t>6.12.1. Statistical Significance of Model Comparisons</w:t>
      </w:r>
    </w:p>
    <w:p>
      <w:pPr>
        <w:spacing w:after="160"/>
      </w:pPr>
      <w:r>
        <w:t>Two Diebold-Mariano (DM) tests were conducted using the Harvey-Leybourne-Newbold finite-sample correction to formally test whether the observed MAPE differences between models are statistically significant rather than attributable to sampling variability in the test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Comparison</w:t>
            </w:r>
          </w:p>
        </w:tc>
        <w:tc>
          <w:tcPr>
            <w:tcW w:type="dxa" w:w="2160"/>
          </w:tcPr>
          <w:p>
            <w:r>
              <w:rPr>
                <w:b/>
                <w:sz w:val="20"/>
              </w:rPr>
              <w:t>DM Statistic</w:t>
            </w:r>
          </w:p>
        </w:tc>
        <w:tc>
          <w:tcPr>
            <w:tcW w:type="dxa" w:w="2160"/>
          </w:tcPr>
          <w:p>
            <w:r>
              <w:rPr>
                <w:b/>
                <w:sz w:val="20"/>
              </w:rPr>
              <w:t>p-value</w:t>
            </w:r>
          </w:p>
        </w:tc>
        <w:tc>
          <w:tcPr>
            <w:tcW w:type="dxa" w:w="2160"/>
          </w:tcPr>
          <w:p>
            <w:r>
              <w:rPr>
                <w:b/>
                <w:sz w:val="20"/>
              </w:rPr>
              <w:t>Verdict</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XGBoost vs SARIMA (R03 test, n=60)</w:t>
            </w:r>
          </w:p>
        </w:tc>
        <w:tc>
          <w:tcPr>
            <w:tcW w:type="dxa" w:w="2160"/>
          </w:tcPr>
          <w:p>
            <w:r>
              <w:rPr>
                <w:sz w:val="20"/>
              </w:rPr>
              <w:t>+6.230</w:t>
            </w:r>
          </w:p>
        </w:tc>
        <w:tc>
          <w:tcPr>
            <w:tcW w:type="dxa" w:w="2160"/>
          </w:tcPr>
          <w:p>
            <w:r>
              <w:rPr>
                <w:sz w:val="20"/>
              </w:rPr>
              <w:t>&lt; 0.001 ***</w:t>
            </w:r>
          </w:p>
        </w:tc>
        <w:tc>
          <w:tcPr>
            <w:tcW w:type="dxa" w:w="2160"/>
          </w:tcPr>
          <w:p>
            <w:r>
              <w:rPr>
                <w:sz w:val="20"/>
              </w:rPr>
              <w:t>XGBoost significantly outperforms SARIMA</w:t>
            </w:r>
          </w:p>
        </w:tc>
      </w:tr>
      <w:tr>
        <w:tc>
          <w:tcPr>
            <w:tcW w:type="dxa" w:w="2160"/>
          </w:tcPr>
          <w:p>
            <w:r>
              <w:rPr>
                <w:sz w:val="20"/>
              </w:rPr>
              <w:t>Model B vs Model A (WFV, n=192, h=4)</w:t>
            </w:r>
          </w:p>
        </w:tc>
        <w:tc>
          <w:tcPr>
            <w:tcW w:type="dxa" w:w="2160"/>
          </w:tcPr>
          <w:p>
            <w:r>
              <w:rPr>
                <w:sz w:val="20"/>
              </w:rPr>
              <w:t>+2.249</w:t>
            </w:r>
          </w:p>
        </w:tc>
        <w:tc>
          <w:tcPr>
            <w:tcW w:type="dxa" w:w="2160"/>
          </w:tcPr>
          <w:p>
            <w:r>
              <w:rPr>
                <w:sz w:val="20"/>
              </w:rPr>
              <w:t>0.026 *</w:t>
            </w:r>
          </w:p>
        </w:tc>
        <w:tc>
          <w:tcPr>
            <w:tcW w:type="dxa" w:w="2160"/>
          </w:tcPr>
          <w:p>
            <w:r>
              <w:rPr>
                <w:sz w:val="20"/>
              </w:rPr>
              <w:t>FluNet features provide statistically significant improvement</w:t>
            </w:r>
          </w:p>
        </w:tc>
      </w:tr>
    </w:tbl>
    <w:p/>
    <w:p>
      <w:pPr>
        <w:spacing w:after="160"/>
      </w:pPr>
      <w:r>
        <w:t>The DM test results confirm that both the XGBoost advantage over SARIMA and the epidemiological feature contribution (Model B vs Model A) are statistically significant findings, not artefacts of the test period selection. The XGBoost vs SARIMA result is highly significant (p &lt; 0.001), while the Model B vs Model A advantage at p = 0.026 indicates that WHO FluNet features provide genuine incremental predictive value beyond pure autoregression.</w:t>
      </w:r>
    </w:p>
    <w:p>
      <w:r>
        <w:br w:type="page"/>
      </w:r>
    </w:p>
    <w:p>
      <w:pPr>
        <w:pStyle w:val="Heading2"/>
      </w:pPr>
      <w:r>
        <w:rPr>
          <w:color w:val="2E75B6"/>
          <w:sz w:val="26"/>
        </w:rPr>
        <w:t>6.13. Advanced Experiments: Ensemble and Seasonal Switching Rule</w:t>
      </w:r>
    </w:p>
    <w:p>
      <w:pPr>
        <w:spacing w:after="160"/>
      </w:pPr>
      <w:r>
        <w:t>Following the main modelling work, two advanced experiments were conducted to explore whether the forecasting accuracy of Model B could be further improved. The experiments address complementary hypotheses: (1) whether combining multiple Southern Hemisphere signals in a single model reduces error relative to Australia alone, and (2) whether recognising and explicitly handling the structural difference between peak and off-season dynamics can reduce overall MAPE.</w:t>
      </w:r>
    </w:p>
    <w:p>
      <w:pPr>
        <w:pStyle w:val="Heading3"/>
      </w:pPr>
      <w:r>
        <w:rPr>
          <w:b/>
          <w:color w:val="2E75B6"/>
          <w:sz w:val="24"/>
        </w:rPr>
        <w:t>6.13.1. Multi-Country Southern Hemisphere Ensemble</w:t>
      </w:r>
    </w:p>
    <w:p>
      <w:pPr>
        <w:spacing w:after="160"/>
      </w:pPr>
      <w:r>
        <w:t>The ensemble experiment trains a single XGBoost model that simultaneously incorporates lagged flu activity from three Southern Hemisphere countries: Australia (lag 26 weeks, the optimal lag identified in the CCF analysis), New Zealand (lag 27 weeks), and Chile (lag 35 weeks). The hypothesis is that when one country experiences an anomalous flu season, the other two signals compensate, producing a more stable composite epidemiological leading indicator.</w:t>
      </w:r>
    </w:p>
    <w:p>
      <w:pPr>
        <w:spacing w:after="160"/>
      </w:pPr>
      <w:r>
        <w:t>Four model variants were evaluated on the same 60-week holdout set used throughout the study, all sharing the same base feature set (R03_lag1, R03_lag4_avg, flu_eu_positives, week_of_year) and XGBoost hyperparameters. The results are presented in Table 6.13.1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Model Variant</w:t>
            </w:r>
          </w:p>
        </w:tc>
        <w:tc>
          <w:tcPr>
            <w:tcW w:type="dxa" w:w="1728"/>
          </w:tcPr>
          <w:p>
            <w:r>
              <w:rPr>
                <w:b/>
                <w:sz w:val="20"/>
              </w:rPr>
              <w:t>Features</w:t>
            </w:r>
          </w:p>
        </w:tc>
        <w:tc>
          <w:tcPr>
            <w:tcW w:type="dxa" w:w="1728"/>
          </w:tcPr>
          <w:p>
            <w:r>
              <w:rPr>
                <w:b/>
                <w:sz w:val="20"/>
              </w:rPr>
              <w:t>MAPE (%)</w:t>
            </w:r>
          </w:p>
        </w:tc>
        <w:tc>
          <w:tcPr>
            <w:tcW w:type="dxa" w:w="1728"/>
          </w:tcPr>
          <w:p>
            <w:r>
              <w:rPr>
                <w:b/>
                <w:sz w:val="20"/>
              </w:rPr>
              <w:t>MAE</w:t>
            </w:r>
          </w:p>
        </w:tc>
        <w:tc>
          <w:tcPr>
            <w:tcW w:type="dxa" w:w="1728"/>
          </w:tcPr>
          <w:p>
            <w:r>
              <w:rPr>
                <w:b/>
                <w:sz w:val="20"/>
              </w:rPr>
              <w:t>R2</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rPr>
                <w:sz w:val="20"/>
              </w:rPr>
              <w:t>Model B — Australia only (baseline)</w:t>
            </w:r>
          </w:p>
        </w:tc>
        <w:tc>
          <w:tcPr>
            <w:tcW w:type="dxa" w:w="1728"/>
          </w:tcPr>
          <w:p>
            <w:r>
              <w:rPr>
                <w:sz w:val="20"/>
              </w:rPr>
              <w:t>4 base + AU lag-26</w:t>
            </w:r>
          </w:p>
        </w:tc>
        <w:tc>
          <w:tcPr>
            <w:tcW w:type="dxa" w:w="1728"/>
          </w:tcPr>
          <w:p>
            <w:r>
              <w:rPr>
                <w:sz w:val="20"/>
              </w:rPr>
              <w:t>52.52</w:t>
            </w:r>
          </w:p>
        </w:tc>
        <w:tc>
          <w:tcPr>
            <w:tcW w:type="dxa" w:w="1728"/>
          </w:tcPr>
          <w:p>
            <w:r>
              <w:rPr>
                <w:sz w:val="20"/>
              </w:rPr>
              <w:t>29.18</w:t>
            </w:r>
          </w:p>
        </w:tc>
        <w:tc>
          <w:tcPr>
            <w:tcW w:type="dxa" w:w="1728"/>
          </w:tcPr>
          <w:p>
            <w:r>
              <w:rPr>
                <w:sz w:val="20"/>
              </w:rPr>
              <w:t>—</w:t>
            </w:r>
          </w:p>
        </w:tc>
      </w:tr>
      <w:tr>
        <w:tc>
          <w:tcPr>
            <w:tcW w:type="dxa" w:w="1728"/>
          </w:tcPr>
          <w:p>
            <w:r>
              <w:rPr>
                <w:sz w:val="20"/>
              </w:rPr>
              <w:t>Ensemble AU + NZ</w:t>
            </w:r>
          </w:p>
        </w:tc>
        <w:tc>
          <w:tcPr>
            <w:tcW w:type="dxa" w:w="1728"/>
          </w:tcPr>
          <w:p>
            <w:r>
              <w:rPr>
                <w:sz w:val="20"/>
              </w:rPr>
              <w:t>4 base + AU lag-26 + NZ lag-27</w:t>
            </w:r>
          </w:p>
        </w:tc>
        <w:tc>
          <w:tcPr>
            <w:tcW w:type="dxa" w:w="1728"/>
          </w:tcPr>
          <w:p>
            <w:r>
              <w:rPr>
                <w:sz w:val="20"/>
              </w:rPr>
              <w:t>52.86</w:t>
            </w:r>
          </w:p>
        </w:tc>
        <w:tc>
          <w:tcPr>
            <w:tcW w:type="dxa" w:w="1728"/>
          </w:tcPr>
          <w:p>
            <w:r>
              <w:rPr>
                <w:sz w:val="20"/>
              </w:rPr>
              <w:t>29.44</w:t>
            </w:r>
          </w:p>
        </w:tc>
        <w:tc>
          <w:tcPr>
            <w:tcW w:type="dxa" w:w="1728"/>
          </w:tcPr>
          <w:p>
            <w:r>
              <w:rPr>
                <w:sz w:val="20"/>
              </w:rPr>
              <w:t>—</w:t>
            </w:r>
          </w:p>
        </w:tc>
      </w:tr>
      <w:tr>
        <w:tc>
          <w:tcPr>
            <w:tcW w:type="dxa" w:w="1728"/>
          </w:tcPr>
          <w:p>
            <w:r>
              <w:rPr>
                <w:sz w:val="20"/>
              </w:rPr>
              <w:t>Ensemble AU + Chile</w:t>
            </w:r>
          </w:p>
        </w:tc>
        <w:tc>
          <w:tcPr>
            <w:tcW w:type="dxa" w:w="1728"/>
          </w:tcPr>
          <w:p>
            <w:r>
              <w:rPr>
                <w:sz w:val="20"/>
              </w:rPr>
              <w:t>4 base + AU lag-26 + CL lag-35</w:t>
            </w:r>
          </w:p>
        </w:tc>
        <w:tc>
          <w:tcPr>
            <w:tcW w:type="dxa" w:w="1728"/>
          </w:tcPr>
          <w:p>
            <w:r>
              <w:rPr>
                <w:sz w:val="20"/>
              </w:rPr>
              <w:t>56.73</w:t>
            </w:r>
          </w:p>
        </w:tc>
        <w:tc>
          <w:tcPr>
            <w:tcW w:type="dxa" w:w="1728"/>
          </w:tcPr>
          <w:p>
            <w:r>
              <w:rPr>
                <w:sz w:val="20"/>
              </w:rPr>
              <w:t>31.55</w:t>
            </w:r>
          </w:p>
        </w:tc>
        <w:tc>
          <w:tcPr>
            <w:tcW w:type="dxa" w:w="1728"/>
          </w:tcPr>
          <w:p>
            <w:r>
              <w:rPr>
                <w:sz w:val="20"/>
              </w:rPr>
              <w:t>—</w:t>
            </w:r>
          </w:p>
        </w:tc>
      </w:tr>
      <w:tr>
        <w:tc>
          <w:tcPr>
            <w:tcW w:type="dxa" w:w="1728"/>
          </w:tcPr>
          <w:p>
            <w:r>
              <w:rPr>
                <w:sz w:val="20"/>
              </w:rPr>
              <w:t>Ensemble AU + NZ + Chile</w:t>
            </w:r>
          </w:p>
        </w:tc>
        <w:tc>
          <w:tcPr>
            <w:tcW w:type="dxa" w:w="1728"/>
          </w:tcPr>
          <w:p>
            <w:r>
              <w:rPr>
                <w:sz w:val="20"/>
              </w:rPr>
              <w:t>4 base + AU lag-26 + NZ lag-27 + CL lag-35</w:t>
            </w:r>
          </w:p>
        </w:tc>
        <w:tc>
          <w:tcPr>
            <w:tcW w:type="dxa" w:w="1728"/>
          </w:tcPr>
          <w:p>
            <w:r>
              <w:rPr>
                <w:sz w:val="20"/>
              </w:rPr>
              <w:t>53.75</w:t>
            </w:r>
          </w:p>
        </w:tc>
        <w:tc>
          <w:tcPr>
            <w:tcW w:type="dxa" w:w="1728"/>
          </w:tcPr>
          <w:p>
            <w:r>
              <w:rPr>
                <w:sz w:val="20"/>
              </w:rPr>
              <w:t>30.12</w:t>
            </w:r>
          </w:p>
        </w:tc>
        <w:tc>
          <w:tcPr>
            <w:tcW w:type="dxa" w:w="1728"/>
          </w:tcPr>
          <w:p>
            <w:r>
              <w:rPr>
                <w:sz w:val="20"/>
              </w:rPr>
              <w:t>—</w:t>
            </w:r>
          </w:p>
        </w:tc>
      </w:tr>
    </w:tbl>
    <w:p/>
    <w:p>
      <w:pPr>
        <w:spacing w:after="160"/>
      </w:pPr>
      <w:r>
        <w:t>The results present a counter-intuitive but academically important finding: the single-country Australia model achieves the lowest MAPE (52.52%) among all four variants. Adding New Zealand (+0.34 pp), Chile (+4.21 pp), or both (+1.23 pp) increases rather than decreases forecast error. This finding is consistent with the hemispheric validation results in Section 6.11, which showed that correlation strength between a Southern Hemisphere country and European demand does not reliably predict model accuracy. In this context, New Zealand and Chile introduce additional noise that the model cannot productively exploit given the limited training data available. The ensemble hypothesis is rejected: a single, well-chosen leading indicator (Australia, lag 26 weeks) outperforms multi-signal aggregation.</w:t>
      </w:r>
    </w:p>
    <w:p>
      <w:pPr>
        <w:jc w:val="center"/>
      </w:pPr>
      <w:r>
        <w:drawing>
          <wp:inline xmlns:a="http://schemas.openxmlformats.org/drawingml/2006/main" xmlns:pic="http://schemas.openxmlformats.org/drawingml/2006/picture">
            <wp:extent cx="5303520" cy="3383762"/>
            <wp:docPr id="17" name="Picture 17"/>
            <wp:cNvGraphicFramePr>
              <a:graphicFrameLocks noChangeAspect="1"/>
            </wp:cNvGraphicFramePr>
            <a:graphic>
              <a:graphicData uri="http://schemas.openxmlformats.org/drawingml/2006/picture">
                <pic:pic>
                  <pic:nvPicPr>
                    <pic:cNvPr id="0" name="ensemble_plot.png"/>
                    <pic:cNvPicPr/>
                  </pic:nvPicPr>
                  <pic:blipFill>
                    <a:blip r:embed="rId25"/>
                    <a:stretch>
                      <a:fillRect/>
                    </a:stretch>
                  </pic:blipFill>
                  <pic:spPr>
                    <a:xfrm>
                      <a:off x="0" y="0"/>
                      <a:ext cx="5303520" cy="3383762"/>
                    </a:xfrm>
                    <a:prstGeom prst="rect"/>
                  </pic:spPr>
                </pic:pic>
              </a:graphicData>
            </a:graphic>
          </wp:inline>
        </w:drawing>
      </w:r>
    </w:p>
    <w:p>
      <w:pPr>
        <w:spacing w:after="200"/>
        <w:jc w:val="center"/>
      </w:pPr>
      <w:r>
        <w:rPr>
          <w:b/>
          <w:color w:val="2E75B6"/>
          <w:sz w:val="18"/>
        </w:rPr>
        <w:t xml:space="preserve">Figure 17. </w:t>
      </w:r>
      <w:r>
        <w:rPr>
          <w:i/>
          <w:color w:val="404040"/>
          <w:sz w:val="18"/>
        </w:rPr>
        <w:t>Multi-country Southern Hemisphere ensemble comparison. Upper panel: 60-week test set predictions for all four model variants versus actual R03 demand. Lower panel: MAPE bar chart showing that the Australia-only Model B (grey) achieves the lowest error. The ensemble variants do not improve over the single-country baseline, indicating that additional SH signals introduce noise rather than signal at this data scale.</w:t>
      </w:r>
    </w:p>
    <w:p>
      <w:pPr>
        <w:pStyle w:val="Heading3"/>
      </w:pPr>
      <w:r>
        <w:rPr>
          <w:b/>
          <w:color w:val="2E75B6"/>
          <w:sz w:val="24"/>
        </w:rPr>
        <w:t>6.13.2. Seasonal Switching Rule</w:t>
      </w:r>
    </w:p>
    <w:p>
      <w:pPr>
        <w:spacing w:after="160"/>
      </w:pPr>
      <w:r>
        <w:t>A fundamental limitation of the XGBoost Model B, identified in the walk-forward validation analysis (Section 6.8), is its poor performance during the off-season period (ISO weeks 22-39, approximately May through September). During this period, European R03 demand collapses to near-zero and exhibits very low variance, making it structurally different from the high-variance peak season dynamics the model is optimised to capture. Off-season MAPE regularly exceeds 150-200%, dominating the overall average and masking the model's genuine peak-season predictive capability.</w:t>
      </w:r>
    </w:p>
    <w:p>
      <w:pPr>
        <w:spacing w:after="160"/>
      </w:pPr>
      <w:r>
        <w:t>The seasonal switching rule addresses this by replacing XGBoost predictions with a simple but highly effective alternative for off-season weeks: the historical seasonal mean demand for each ISO week, computed from all available training data. Formally, the switching rule prediction is defined as:</w:t>
      </w:r>
    </w:p>
    <w:p>
      <w:pPr>
        <w:spacing w:after="160"/>
      </w:pPr>
      <w:r>
        <w:t xml:space="preserve">  pred_switched(t) = XGBoost(t)          if ISO_week(t) is in peak season (weeks 1-21, 40-52)</w:t>
      </w:r>
    </w:p>
    <w:p>
      <w:pPr>
        <w:spacing w:after="160"/>
      </w:pPr>
      <w:r>
        <w:t xml:space="preserve">  pred_switched(t) = seasonal_mean(week) if ISO_week(t) is in off season (weeks 22-39)</w:t>
      </w:r>
    </w:p>
    <w:p>
      <w:pPr>
        <w:spacing w:after="160"/>
      </w:pPr>
      <w:r>
        <w:t>This hybrid approach exploits the complementary strengths of each method: XGBoost captures the non-linear, epidemiologically-driven dynamics of the peak season, while the historical mean provides a stable, low-variance estimate during the off-season where complex models overfit to noise.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MAPE (%)</w:t>
            </w:r>
          </w:p>
        </w:tc>
        <w:tc>
          <w:tcPr>
            <w:tcW w:type="dxa" w:w="2880"/>
          </w:tcPr>
          <w:p>
            <w:r>
              <w:rPr>
                <w:b/>
                <w:sz w:val="20"/>
              </w:rPr>
              <w:t>Improvement vs Model B</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Model B (WFV, n=192 predictions)</w:t>
            </w:r>
          </w:p>
        </w:tc>
        <w:tc>
          <w:tcPr>
            <w:tcW w:type="dxa" w:w="2880"/>
          </w:tcPr>
          <w:p>
            <w:r>
              <w:rPr>
                <w:sz w:val="20"/>
              </w:rPr>
              <w:t>48.63</w:t>
            </w:r>
          </w:p>
        </w:tc>
        <w:tc>
          <w:tcPr>
            <w:tcW w:type="dxa" w:w="2880"/>
          </w:tcPr>
          <w:p>
            <w:r>
              <w:rPr>
                <w:sz w:val="20"/>
              </w:rPr>
              <w:t>baseline</w:t>
            </w:r>
          </w:p>
        </w:tc>
      </w:tr>
      <w:tr>
        <w:tc>
          <w:tcPr>
            <w:tcW w:type="dxa" w:w="2880"/>
          </w:tcPr>
          <w:p>
            <w:r>
              <w:rPr>
                <w:sz w:val="20"/>
              </w:rPr>
              <w:t>Seasonal Switching Rule (WFV, n=192)</w:t>
            </w:r>
          </w:p>
        </w:tc>
        <w:tc>
          <w:tcPr>
            <w:tcW w:type="dxa" w:w="2880"/>
          </w:tcPr>
          <w:p>
            <w:r>
              <w:rPr>
                <w:sz w:val="20"/>
              </w:rPr>
              <w:t>35.78</w:t>
            </w:r>
          </w:p>
        </w:tc>
        <w:tc>
          <w:tcPr>
            <w:tcW w:type="dxa" w:w="2880"/>
          </w:tcPr>
          <w:p>
            <w:r>
              <w:rPr>
                <w:sz w:val="20"/>
              </w:rPr>
              <w:t>+12.85 percentage points</w:t>
            </w:r>
          </w:p>
        </w:tc>
      </w:tr>
    </w:tbl>
    <w:p/>
    <w:p>
      <w:pPr>
        <w:spacing w:after="160"/>
      </w:pPr>
      <w:r>
        <w:t>The switching rule achieves a MAPE of 35.78% across the full 192-prediction walk-forward validation set, a reduction of 12.85 percentage points (26.4% relative improvement) over the Model B baseline of 48.63%. This is the best forecasting result achieved in this study, surpassing all single-model and ensemble variants. The finding has a clear operational interpretation: procurement managers should use the XGBoost epidemiological model during October through April (peak demand window) and switch to historical seasonal averages during May through September (low-demand window) when the flu signal carries no additional predictive information.</w:t>
      </w:r>
    </w:p>
    <w:p>
      <w:pPr>
        <w:jc w:val="center"/>
      </w:pPr>
      <w:r>
        <w:drawing>
          <wp:inline xmlns:a="http://schemas.openxmlformats.org/drawingml/2006/main" xmlns:pic="http://schemas.openxmlformats.org/drawingml/2006/picture">
            <wp:extent cx="5303520" cy="3379594"/>
            <wp:docPr id="18" name="Picture 18"/>
            <wp:cNvGraphicFramePr>
              <a:graphicFrameLocks noChangeAspect="1"/>
            </wp:cNvGraphicFramePr>
            <a:graphic>
              <a:graphicData uri="http://schemas.openxmlformats.org/drawingml/2006/picture">
                <pic:pic>
                  <pic:nvPicPr>
                    <pic:cNvPr id="0" name="switching_plot.png"/>
                    <pic:cNvPicPr/>
                  </pic:nvPicPr>
                  <pic:blipFill>
                    <a:blip r:embed="rId26"/>
                    <a:stretch>
                      <a:fillRect/>
                    </a:stretch>
                  </pic:blipFill>
                  <pic:spPr>
                    <a:xfrm>
                      <a:off x="0" y="0"/>
                      <a:ext cx="5303520" cy="3379594"/>
                    </a:xfrm>
                    <a:prstGeom prst="rect"/>
                  </pic:spPr>
                </pic:pic>
              </a:graphicData>
            </a:graphic>
          </wp:inline>
        </w:drawing>
      </w:r>
    </w:p>
    <w:p>
      <w:pPr>
        <w:spacing w:after="200"/>
        <w:jc w:val="center"/>
      </w:pPr>
      <w:r>
        <w:rPr>
          <w:b/>
          <w:color w:val="2E75B6"/>
          <w:sz w:val="18"/>
        </w:rPr>
        <w:t xml:space="preserve">Figure 18. </w:t>
      </w:r>
      <w:r>
        <w:rPr>
          <w:i/>
          <w:color w:val="404040"/>
          <w:sz w:val="18"/>
        </w:rPr>
        <w:t>Seasonal switching rule results. Upper panel: 192-week walk-forward predictions for Model B (grey dashed) and the switching rule (blue solid) versus actual R03 demand. The grey shaded region indicates off-season weeks (22-39) where the switching rule replaces XGBoost predictions with historical seasonal means, dramatically reducing over-prediction error. Lower panel: absolute relative error by ISO week, showing the switching rule's superior performance across both seasons.</w:t>
      </w:r>
    </w:p>
    <w:p>
      <w:pPr>
        <w:pStyle w:val="Heading3"/>
      </w:pPr>
      <w:r>
        <w:rPr>
          <w:b/>
          <w:color w:val="2E75B6"/>
          <w:sz w:val="24"/>
        </w:rPr>
        <w:t>6.13.3. Empirical Confidence Interval Calibration</w:t>
      </w:r>
    </w:p>
    <w:p>
      <w:pPr>
        <w:spacing w:after="160"/>
      </w:pPr>
      <w:r>
        <w:t>A key requirement for operational deployment of any forecasting system is well-calibrated uncertainty quantification. A prediction interval that claims 80% coverage but actually covers only 50% of outcomes is worse than useless — it systematically misleads decision-makers. To assess calibration, the 192 walk-forward validation prediction errors were grouped by ISO week of year and the per-week p10/p50/p90 absolute relative error percentiles were computed. These week-specific error distributions form the empirical confidence bands displayed in the dashboard's Calculadora Predictiva.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Nominal CI Level</w:t>
            </w:r>
          </w:p>
        </w:tc>
        <w:tc>
          <w:tcPr>
            <w:tcW w:type="dxa" w:w="2880"/>
          </w:tcPr>
          <w:p>
            <w:r>
              <w:rPr>
                <w:b/>
                <w:sz w:val="20"/>
              </w:rPr>
              <w:t>Actual Coverage</w:t>
            </w:r>
          </w:p>
        </w:tc>
        <w:tc>
          <w:tcPr>
            <w:tcW w:type="dxa" w:w="2880"/>
          </w:tcPr>
          <w:p>
            <w:r>
              <w:rPr>
                <w:b/>
                <w:sz w:val="20"/>
              </w:rPr>
              <w:t>Assessment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20"/>
              </w:rPr>
              <w:t>80% CI (uses p90 error as half-width)</w:t>
            </w:r>
          </w:p>
        </w:tc>
        <w:tc>
          <w:tcPr>
            <w:tcW w:type="dxa" w:w="2880"/>
          </w:tcPr>
          <w:p>
            <w:r>
              <w:rPr>
                <w:sz w:val="20"/>
              </w:rPr>
              <w:t>74.0%</w:t>
            </w:r>
          </w:p>
        </w:tc>
        <w:tc>
          <w:tcPr>
            <w:tcW w:type="dxa" w:w="2880"/>
          </w:tcPr>
          <w:p>
            <w:r>
              <w:rPr>
                <w:sz w:val="20"/>
              </w:rPr>
              <w:t>Good — within 6pp of nominal</w:t>
            </w:r>
          </w:p>
        </w:tc>
      </w:tr>
      <w:tr>
        <w:tc>
          <w:tcPr>
            <w:tcW w:type="dxa" w:w="2880"/>
          </w:tcPr>
          <w:p>
            <w:r>
              <w:rPr>
                <w:sz w:val="20"/>
              </w:rPr>
              <w:t>50% CI (uses p50 error as half-width)</w:t>
            </w:r>
          </w:p>
        </w:tc>
        <w:tc>
          <w:tcPr>
            <w:tcW w:type="dxa" w:w="2880"/>
          </w:tcPr>
          <w:p>
            <w:r>
              <w:rPr>
                <w:sz w:val="20"/>
              </w:rPr>
              <w:t>55.7%</w:t>
            </w:r>
          </w:p>
        </w:tc>
        <w:tc>
          <w:tcPr>
            <w:tcW w:type="dxa" w:w="2880"/>
          </w:tcPr>
          <w:p>
            <w:r>
              <w:rPr>
                <w:sz w:val="20"/>
              </w:rPr>
              <w:t>Good — within 6pp of nominal</w:t>
            </w:r>
          </w:p>
        </w:tc>
      </w:tr>
    </w:tbl>
    <w:p/>
    <w:p>
      <w:pPr>
        <w:spacing w:after="160"/>
      </w:pPr>
      <w:r>
        <w:t>The 80% confidence interval achieves 74% empirical coverage (6 percentage points below nominal), while the 50% interval achieves 55.7% (5.7 pp above nominal). Both intervals are within 6 percentage points of their nominal levels, which is considered adequate calibration for weekly demand forecasting given the limited training data available (192 walk-forward folds). The slight under-coverage of the 80% interval indicates that extreme demand events — primarily driven by anomalous flu seasons — are somewhat underrepresented in the historical error distribution used to construct the bands.</w:t>
      </w:r>
    </w:p>
    <w:p>
      <w:r>
        <w:br w:type="page"/>
      </w:r>
    </w:p>
    <w:p>
      <w:pPr>
        <w:pStyle w:val="Heading2"/>
      </w:pPr>
      <w:r>
        <w:rPr>
          <w:color w:val="2E75B6"/>
          <w:sz w:val="26"/>
        </w:rPr>
        <w:t>6.14. Prophet Baseline: Third Model Comparison</w:t>
      </w:r>
    </w:p>
    <w:p>
      <w:pPr>
        <w:spacing w:after="160"/>
      </w:pPr>
      <w:r>
        <w:t>To further contextualise the XGBoost Model B results and provide a comprehensive model comparison, a Facebook/Meta Prophet model (Taylor &amp; Letham, 2018) was fitted to the R03 weekly demand series. Prophet was selected as a third baseline because it is the most widely recognised open-source forecasting library in data science practice, handling yearly seasonality and trend changepoints natively, and supporting external regressors via the add_regressor() interface. This allows a direct comparison under identical conditions: the same training window, the same 60-week test set, and the same external features (flu_au_lagged and flu_eu_positives).</w:t>
      </w:r>
    </w:p>
    <w:p>
      <w:pPr>
        <w:pStyle w:val="Heading3"/>
      </w:pPr>
      <w:r>
        <w:rPr>
          <w:b/>
          <w:color w:val="2E75B6"/>
          <w:sz w:val="24"/>
        </w:rPr>
        <w:t>6.14.1. Prophet Configuration</w:t>
      </w:r>
    </w:p>
    <w:p>
      <w:pPr>
        <w:spacing w:after="160"/>
      </w:pPr>
      <w:r>
        <w:t>The Prophet model was configured with: yearly seasonality enabled (multiplicative mode to capture the proportional nature of seasonal demand swings), weekly seasonality disabled (not meaningful for weekly-aggregated data), changepoint prior scale of 0.05 (conservative trend flexibility), and seasonality prior scale of 10.0. Both flu_au_lagged and flu_eu_positives were added as external regressors with standardisation enabled. The 80% prediction interval was retained for comparison with the empirical XGBoost confidence bands.</w:t>
      </w:r>
    </w:p>
    <w:p>
      <w:pPr>
        <w:pStyle w:val="Heading3"/>
      </w:pPr>
      <w:r>
        <w:rPr>
          <w:b/>
          <w:color w:val="2E75B6"/>
          <w:sz w:val="24"/>
        </w:rPr>
        <w:t>6.14.2. Results</w:t>
      </w:r>
    </w:p>
    <w:p>
      <w:pPr>
        <w:spacing w:after="160"/>
      </w:pPr>
      <w:r>
        <w:t>Table 6.14.1 presents the complete model comparison across all three forecasting approaches evaluated in this thesis on the 60-week test 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MAPE (%)</w:t>
            </w:r>
          </w:p>
        </w:tc>
        <w:tc>
          <w:tcPr>
            <w:tcW w:type="dxa" w:w="1440"/>
          </w:tcPr>
          <w:p>
            <w:r>
              <w:rPr>
                <w:b/>
                <w:sz w:val="20"/>
              </w:rPr>
              <w:t>MAE (units)</w:t>
            </w:r>
          </w:p>
        </w:tc>
        <w:tc>
          <w:tcPr>
            <w:tcW w:type="dxa" w:w="1440"/>
          </w:tcPr>
          <w:p>
            <w:r>
              <w:rPr>
                <w:b/>
                <w:sz w:val="20"/>
              </w:rPr>
              <w:t>RMSE</w:t>
            </w:r>
          </w:p>
        </w:tc>
        <w:tc>
          <w:tcPr>
            <w:tcW w:type="dxa" w:w="1440"/>
          </w:tcPr>
          <w:p>
            <w:r>
              <w:rPr>
                <w:b/>
                <w:sz w:val="20"/>
              </w:rPr>
              <w:t>R2</w:t>
            </w:r>
          </w:p>
        </w:tc>
        <w:tc>
          <w:tcPr>
            <w:tcW w:type="dxa" w:w="1440"/>
          </w:tcPr>
          <w:p>
            <w:r>
              <w:rPr>
                <w:b/>
                <w:sz w:val="20"/>
              </w:rPr>
              <w:t>External Features</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sz w:val="20"/>
              </w:rPr>
              <w:t>XGBoost Model B</w:t>
            </w:r>
          </w:p>
        </w:tc>
        <w:tc>
          <w:tcPr>
            <w:tcW w:type="dxa" w:w="1440"/>
          </w:tcPr>
          <w:p>
            <w:r>
              <w:rPr>
                <w:sz w:val="20"/>
              </w:rPr>
              <w:t>44.16</w:t>
            </w:r>
          </w:p>
        </w:tc>
        <w:tc>
          <w:tcPr>
            <w:tcW w:type="dxa" w:w="1440"/>
          </w:tcPr>
          <w:p>
            <w:r>
              <w:rPr>
                <w:sz w:val="20"/>
              </w:rPr>
              <w:t>24.32</w:t>
            </w:r>
          </w:p>
        </w:tc>
        <w:tc>
          <w:tcPr>
            <w:tcW w:type="dxa" w:w="1440"/>
          </w:tcPr>
          <w:p>
            <w:r>
              <w:rPr>
                <w:sz w:val="20"/>
              </w:rPr>
              <w:t>—</w:t>
            </w:r>
          </w:p>
        </w:tc>
        <w:tc>
          <w:tcPr>
            <w:tcW w:type="dxa" w:w="1440"/>
          </w:tcPr>
          <w:p>
            <w:r>
              <w:rPr>
                <w:sz w:val="20"/>
              </w:rPr>
              <w:t>—</w:t>
            </w:r>
          </w:p>
        </w:tc>
        <w:tc>
          <w:tcPr>
            <w:tcW w:type="dxa" w:w="1440"/>
          </w:tcPr>
          <w:p>
            <w:r>
              <w:rPr>
                <w:sz w:val="20"/>
              </w:rPr>
              <w:t>flu_au_lagged, flu_eu_positives</w:t>
            </w:r>
          </w:p>
        </w:tc>
      </w:tr>
      <w:tr>
        <w:tc>
          <w:tcPr>
            <w:tcW w:type="dxa" w:w="1440"/>
          </w:tcPr>
          <w:p>
            <w:r>
              <w:rPr>
                <w:sz w:val="20"/>
              </w:rPr>
              <w:t>Prophet</w:t>
            </w:r>
          </w:p>
        </w:tc>
        <w:tc>
          <w:tcPr>
            <w:tcW w:type="dxa" w:w="1440"/>
          </w:tcPr>
          <w:p>
            <w:r>
              <w:rPr>
                <w:sz w:val="20"/>
              </w:rPr>
              <w:t>48.32</w:t>
            </w:r>
          </w:p>
        </w:tc>
        <w:tc>
          <w:tcPr>
            <w:tcW w:type="dxa" w:w="1440"/>
          </w:tcPr>
          <w:p>
            <w:r>
              <w:rPr>
                <w:sz w:val="20"/>
              </w:rPr>
              <w:t>22.42</w:t>
            </w:r>
          </w:p>
        </w:tc>
        <w:tc>
          <w:tcPr>
            <w:tcW w:type="dxa" w:w="1440"/>
          </w:tcPr>
          <w:p>
            <w:r>
              <w:rPr>
                <w:sz w:val="20"/>
              </w:rPr>
              <w:t>29.58</w:t>
            </w:r>
          </w:p>
        </w:tc>
        <w:tc>
          <w:tcPr>
            <w:tcW w:type="dxa" w:w="1440"/>
          </w:tcPr>
          <w:p>
            <w:r>
              <w:rPr>
                <w:sz w:val="20"/>
              </w:rPr>
              <w:t>-0.04</w:t>
            </w:r>
          </w:p>
        </w:tc>
        <w:tc>
          <w:tcPr>
            <w:tcW w:type="dxa" w:w="1440"/>
          </w:tcPr>
          <w:p>
            <w:r>
              <w:rPr>
                <w:sz w:val="20"/>
              </w:rPr>
              <w:t>flu_au_lagged, flu_eu_positives</w:t>
            </w:r>
          </w:p>
        </w:tc>
      </w:tr>
      <w:tr>
        <w:tc>
          <w:tcPr>
            <w:tcW w:type="dxa" w:w="1440"/>
          </w:tcPr>
          <w:p>
            <w:r>
              <w:rPr>
                <w:sz w:val="20"/>
              </w:rPr>
              <w:t>SARIMA(0,1,1)x52</w:t>
            </w:r>
          </w:p>
        </w:tc>
        <w:tc>
          <w:tcPr>
            <w:tcW w:type="dxa" w:w="1440"/>
          </w:tcPr>
          <w:p>
            <w:r>
              <w:rPr>
                <w:sz w:val="20"/>
              </w:rPr>
              <w:t>56.81</w:t>
            </w:r>
          </w:p>
        </w:tc>
        <w:tc>
          <w:tcPr>
            <w:tcW w:type="dxa" w:w="1440"/>
          </w:tcPr>
          <w:p>
            <w:r>
              <w:rPr>
                <w:sz w:val="20"/>
              </w:rPr>
              <w:t>35.86</w:t>
            </w:r>
          </w:p>
        </w:tc>
        <w:tc>
          <w:tcPr>
            <w:tcW w:type="dxa" w:w="1440"/>
          </w:tcPr>
          <w:p>
            <w:r>
              <w:rPr>
                <w:sz w:val="20"/>
              </w:rPr>
              <w:t>—</w:t>
            </w:r>
          </w:p>
        </w:tc>
        <w:tc>
          <w:tcPr>
            <w:tcW w:type="dxa" w:w="1440"/>
          </w:tcPr>
          <w:p>
            <w:r>
              <w:rPr>
                <w:sz w:val="20"/>
              </w:rPr>
              <w:t>—</w:t>
            </w:r>
          </w:p>
        </w:tc>
        <w:tc>
          <w:tcPr>
            <w:tcW w:type="dxa" w:w="1440"/>
          </w:tcPr>
          <w:p>
            <w:r>
              <w:rPr>
                <w:sz w:val="20"/>
              </w:rPr>
              <w:t>None (endogenous only)</w:t>
            </w:r>
          </w:p>
        </w:tc>
      </w:tr>
    </w:tbl>
    <w:p/>
    <w:p>
      <w:pPr>
        <w:spacing w:after="160"/>
      </w:pPr>
      <w:r>
        <w:t>XGBoost Model B achieves the lowest MAPE (44.16%), followed by Prophet (48.32%) and SARIMA (56.81%). Prophet outperforms SARIMA by 8.49 percentage points, confirming that even a seasonality-focused statistical learning model with access to the same epidemiological regressors is insufficient to match the non-linear feature interactions captured by XGBoost's gradient boosting framework.</w:t>
      </w:r>
    </w:p>
    <w:p>
      <w:pPr>
        <w:spacing w:after="160"/>
      </w:pPr>
      <w:r>
        <w:t>Notably, Prophet achieves a lower MAE than XGBoost (22.42 vs 24.32 units) despite a higher MAPE. This apparent contradiction reflects the MAPE's sensitivity to near-zero demand weeks: Prophet's additive uncertainty structure causes it to systematically overpredict during low-demand summer periods, producing a higher relative error, while its absolute errors in peak weeks are slightly smaller.</w:t>
      </w:r>
    </w:p>
    <w:p>
      <w:pPr>
        <w:pStyle w:val="Heading3"/>
      </w:pPr>
      <w:r>
        <w:rPr>
          <w:b/>
          <w:color w:val="2E75B6"/>
          <w:sz w:val="24"/>
        </w:rPr>
        <w:t>6.14.3. Diebold-Mariano Test: XGBoost vs Prophet</w:t>
      </w:r>
    </w:p>
    <w:p>
      <w:pPr>
        <w:spacing w:after="160"/>
      </w:pPr>
      <w:r>
        <w:t>A Diebold-Mariano test (Harvey-Leybourne-Newbold correction) was conducted to formally test whether the XGBoost advantage over Prophet is statistically significant. The result: DM statistic = -1.219, p = 0.228 (not significant at any conventional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Comparison</w:t>
            </w:r>
          </w:p>
        </w:tc>
        <w:tc>
          <w:tcPr>
            <w:tcW w:type="dxa" w:w="2160"/>
          </w:tcPr>
          <w:p>
            <w:r>
              <w:rPr>
                <w:b/>
                <w:sz w:val="20"/>
              </w:rPr>
              <w:t>DM Statistic</w:t>
            </w:r>
          </w:p>
        </w:tc>
        <w:tc>
          <w:tcPr>
            <w:tcW w:type="dxa" w:w="2160"/>
          </w:tcPr>
          <w:p>
            <w:r>
              <w:rPr>
                <w:b/>
                <w:sz w:val="20"/>
              </w:rPr>
              <w:t>p-value</w:t>
            </w:r>
          </w:p>
        </w:tc>
        <w:tc>
          <w:tcPr>
            <w:tcW w:type="dxa" w:w="2160"/>
          </w:tcPr>
          <w:p>
            <w:r>
              <w:rPr>
                <w:b/>
                <w:sz w:val="20"/>
              </w:rPr>
              <w:t>Verdict</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XGBoost vs SARIMA (n=60)</w:t>
            </w:r>
          </w:p>
        </w:tc>
        <w:tc>
          <w:tcPr>
            <w:tcW w:type="dxa" w:w="2160"/>
          </w:tcPr>
          <w:p>
            <w:r>
              <w:rPr>
                <w:sz w:val="20"/>
              </w:rPr>
              <w:t>+6.230</w:t>
            </w:r>
          </w:p>
        </w:tc>
        <w:tc>
          <w:tcPr>
            <w:tcW w:type="dxa" w:w="2160"/>
          </w:tcPr>
          <w:p>
            <w:r>
              <w:rPr>
                <w:sz w:val="20"/>
              </w:rPr>
              <w:t>&lt; 0.001 ***</w:t>
            </w:r>
          </w:p>
        </w:tc>
        <w:tc>
          <w:tcPr>
            <w:tcW w:type="dxa" w:w="2160"/>
          </w:tcPr>
          <w:p>
            <w:r>
              <w:rPr>
                <w:sz w:val="20"/>
              </w:rPr>
              <w:t>XGBoost significantly better</w:t>
            </w:r>
          </w:p>
        </w:tc>
      </w:tr>
      <w:tr>
        <w:tc>
          <w:tcPr>
            <w:tcW w:type="dxa" w:w="2160"/>
          </w:tcPr>
          <w:p>
            <w:r>
              <w:rPr>
                <w:sz w:val="20"/>
              </w:rPr>
              <w:t>XGBoost vs Prophet (n=60)</w:t>
            </w:r>
          </w:p>
        </w:tc>
        <w:tc>
          <w:tcPr>
            <w:tcW w:type="dxa" w:w="2160"/>
          </w:tcPr>
          <w:p>
            <w:r>
              <w:rPr>
                <w:sz w:val="20"/>
              </w:rPr>
              <w:t>-1.219</w:t>
            </w:r>
          </w:p>
        </w:tc>
        <w:tc>
          <w:tcPr>
            <w:tcW w:type="dxa" w:w="2160"/>
          </w:tcPr>
          <w:p>
            <w:r>
              <w:rPr>
                <w:sz w:val="20"/>
              </w:rPr>
              <w:t>0.228</w:t>
            </w:r>
          </w:p>
        </w:tc>
        <w:tc>
          <w:tcPr>
            <w:tcW w:type="dxa" w:w="2160"/>
          </w:tcPr>
          <w:p>
            <w:r>
              <w:rPr>
                <w:sz w:val="20"/>
              </w:rPr>
              <w:t>No significant difference</w:t>
            </w:r>
          </w:p>
        </w:tc>
      </w:tr>
      <w:tr>
        <w:tc>
          <w:tcPr>
            <w:tcW w:type="dxa" w:w="2160"/>
          </w:tcPr>
          <w:p>
            <w:r>
              <w:rPr>
                <w:sz w:val="20"/>
              </w:rPr>
              <w:t>Model B vs Model A (WFV n=192)</w:t>
            </w:r>
          </w:p>
        </w:tc>
        <w:tc>
          <w:tcPr>
            <w:tcW w:type="dxa" w:w="2160"/>
          </w:tcPr>
          <w:p>
            <w:r>
              <w:rPr>
                <w:sz w:val="20"/>
              </w:rPr>
              <w:t>+2.249</w:t>
            </w:r>
          </w:p>
        </w:tc>
        <w:tc>
          <w:tcPr>
            <w:tcW w:type="dxa" w:w="2160"/>
          </w:tcPr>
          <w:p>
            <w:r>
              <w:rPr>
                <w:sz w:val="20"/>
              </w:rPr>
              <w:t>0.026 *</w:t>
            </w:r>
          </w:p>
        </w:tc>
        <w:tc>
          <w:tcPr>
            <w:tcW w:type="dxa" w:w="2160"/>
          </w:tcPr>
          <w:p>
            <w:r>
              <w:rPr>
                <w:sz w:val="20"/>
              </w:rPr>
              <w:t>FluNet features significant</w:t>
            </w:r>
          </w:p>
        </w:tc>
      </w:tr>
    </w:tbl>
    <w:p/>
    <w:p>
      <w:pPr>
        <w:spacing w:after="160"/>
      </w:pPr>
      <w:r>
        <w:t>The non-significant XGBoost vs Prophet result is an academically important and honest finding. It means that while XGBoost numerically outperforms Prophet by 4.16 MAPE percentage points, this advantage cannot be proven to be statistically significant with 60 test observations. In practical terms, both models provide comparable predictive accuracy when equipped with the Australian flu signal, and either could serve as the operational forecasting engine. XGBoost is preferred in this study for three reasons: (1) it produces superior MAPE in all model variants tested, (2) its SHAP explainability framework provides the interpretability layer required for pharmaceutical supply chain deployment, and (3) it natively handles the non-linear interaction between the lag feature and seasonal demand peaks that Prophet approximates less accurately via linear multiplicative seasonality components.</w:t>
      </w:r>
    </w:p>
    <w:p>
      <w:pPr>
        <w:jc w:val="center"/>
      </w:pPr>
      <w:r>
        <w:drawing>
          <wp:inline xmlns:a="http://schemas.openxmlformats.org/drawingml/2006/main" xmlns:pic="http://schemas.openxmlformats.org/drawingml/2006/picture">
            <wp:extent cx="5303520" cy="4051441"/>
            <wp:docPr id="19" name="Picture 19"/>
            <wp:cNvGraphicFramePr>
              <a:graphicFrameLocks noChangeAspect="1"/>
            </wp:cNvGraphicFramePr>
            <a:graphic>
              <a:graphicData uri="http://schemas.openxmlformats.org/drawingml/2006/picture">
                <pic:pic>
                  <pic:nvPicPr>
                    <pic:cNvPr id="0" name="prophet_plot.png"/>
                    <pic:cNvPicPr/>
                  </pic:nvPicPr>
                  <pic:blipFill>
                    <a:blip r:embed="rId27"/>
                    <a:stretch>
                      <a:fillRect/>
                    </a:stretch>
                  </pic:blipFill>
                  <pic:spPr>
                    <a:xfrm>
                      <a:off x="0" y="0"/>
                      <a:ext cx="5303520" cy="3419408"/>
                    </a:xfrm>
                    <a:prstGeom prst="rect"/>
                  </pic:spPr>
                </pic:pic>
              </a:graphicData>
            </a:graphic>
          </wp:inline>
        </w:drawing>
      </w:r>
    </w:p>
    <w:p>
      <w:pPr>
        <w:spacing w:after="200"/>
        <w:jc w:val="center"/>
      </w:pPr>
      <w:r>
        <w:rPr>
          <w:b/>
          <w:color w:val="2E75B6"/>
          <w:sz w:val="18"/>
        </w:rPr>
        <w:t xml:space="preserve">Figure 19. </w:t>
      </w:r>
      <w:r>
        <w:rPr>
          <w:i/>
          <w:color w:val="404040"/>
          <w:sz w:val="18"/>
        </w:rPr>
        <w:t>Prophet vs XGBoost Model B vs SARIMA — 60-week test set comparison. Upper panel: time-series predictions with Prophet 80% CI band (green shading). Lower panel: MAPE bar chart showing XGBoost (44.16%) &lt; Prophet (48.32%) &lt; SARIMA (56.81%). DM test: XGBoost vs Prophet p=0.228 (no significant difference); XGBoost vs SARIMA p&lt;0.001 (highly significant).</w:t>
      </w:r>
    </w:p>
    <w:p>
      <w:pPr>
        <w:spacing w:after="160"/>
      </w:pPr>
      <w:r>
        <w:t>The complete three-model comparison strengthens the thesis conclusions: the XGBoost epidemiological framework is the best-performing approach tested, and its advantage over the classical SARIMA baseline is statistically proven. The fact that Prophet — a modern, widely used forecasting library — does not significantly outperform XGBoost confirms that the gradient boosting approach is well-suited to this specific pharmaceutical demand forecasting problem.</w:t>
      </w:r>
    </w:p>
    <w:p>
      <w:r>
        <w:br w:type="page"/>
      </w:r>
    </w:p>
    <w:p>
      <w:pPr>
        <w:pStyle w:val="Heading2"/>
      </w:pPr>
      <w:r>
        <w:rPr>
          <w:color w:val="2E75B6"/>
          <w:sz w:val="26"/>
        </w:rPr>
        <w:t>6.19. TFG Version 2: External Signal Integration and Model Extensions</w:t>
      </w:r>
    </w:p>
    <w:p>
      <w:pPr>
        <w:spacing w:after="160"/>
      </w:pPr>
      <w:r>
        <w:t>Following the completion of the core pipeline (Steps 1-18), a second experimental phase was conducted to investigate whether additional external data sources and more complex models could further reduce forecasting error. This section documents the methodology, results, and conclusions of four extension experiments. All results are reported honestly, including experiments where the extension performed worse than the established baseline — negative results constitute valid scientific contributions when properly documented.</w:t>
      </w:r>
    </w:p>
    <w:p>
      <w:pPr>
        <w:pStyle w:val="Heading3"/>
      </w:pPr>
      <w:r>
        <w:rPr>
          <w:b/>
          <w:color w:val="2E75B6"/>
          <w:sz w:val="24"/>
        </w:rPr>
        <w:t>6.19.1. New External Data Sources</w:t>
      </w:r>
    </w:p>
    <w:p>
      <w:pPr>
        <w:spacing w:after="160"/>
      </w:pPr>
      <w:r>
        <w:t>Two categories of external signals were collected and integrated into a new dataset version (integrated_dataset_v2.csv), leaving the original dataset untouched.</w:t>
      </w:r>
    </w:p>
    <w:p>
      <w:pPr>
        <w:spacing w:after="160"/>
      </w:pPr>
      <w:r>
        <w:t>Google Trends respiratory search signals (Step 19): Six Spanish-language and six European-language search terms related to respiratory illness (gripe, resfriado, paracetamol, tos, bronquitis, nebulizador) were downloaded weekly via the pytrends library for the period 2012-2020. Cross-correlation analysis identified optimal lags: 'gripe' searches preceded R03 demand by 2 weeks (r = 0.41), confirming that population search behaviour provides a weak but measurable leading signal.</w:t>
      </w:r>
    </w:p>
    <w:p>
      <w:pPr>
        <w:spacing w:after="160"/>
      </w:pPr>
      <w:r>
        <w:t>Open-Meteo meteorological signals (Step 20): Daily temperature and relative humidity were retrieved from the Open-Meteo historical archive for 7 European capitals (Madrid, Paris, Berlin, Rome, Amsterdam, Warsaw, Bucharest). A population-weighted average was computed and resampled to weekly frequency (W-SUN). CCF analysis showed temperature leading R03 demand by 4 weeks (r = -0.38, cold temperatures associated with higher respiratory demand) and humidity by 3 weeks (r = 0.27). All data is freely available with no API key required.</w:t>
      </w:r>
    </w:p>
    <w:p>
      <w:pPr>
        <w:spacing w:after="160"/>
      </w:pPr>
      <w:r>
        <w:t>Dataset v2 integration (Step 21): Optimal lags determined by CCF analysis were applied to each signal using temporal shifting (pd.Series.shift), avoiding any look-ahead bias. The resulting dataset contains 298 rows and 13 columns: the 5 original features plus 5 lagged external signals (trends_gripe_es_lag2, trends_resfriado_es_lag1, trends_paracetamol_es_lag1, temp_europe_lag4, humidity_europe_lag3). NaN values introduced by lagging were filled via backward and forward fill to preserve all rows.</w:t>
      </w:r>
    </w:p>
    <w:p>
      <w:pPr>
        <w:spacing w:after="120"/>
      </w:pPr>
      <w:r>
        <w:rPr>
          <w:b/>
          <w:color w:val="2E75B6"/>
        </w:rPr>
        <w:t xml:space="preserve">Note: </w:t>
      </w:r>
      <w:r>
        <w:rPr>
          <w:color w:val="404040"/>
        </w:rPr>
        <w:t>Correlations of new features with R03: temp_europe_lag4 r=-0.38, trends_gripe_es_lag2 r=0.41, humidity_europe_lag3 r=0.27. Individually significant but weaker than the Australian flu signal (r=0.70).</w:t>
      </w:r>
    </w:p>
    <w:p>
      <w:pPr>
        <w:pStyle w:val="Heading3"/>
      </w:pPr>
      <w:r>
        <w:rPr>
          <w:b/>
          <w:color w:val="2E75B6"/>
          <w:sz w:val="24"/>
        </w:rPr>
        <w:t>6.19.2. LightGBM Model Extension</w:t>
      </w:r>
    </w:p>
    <w:p>
      <w:pPr>
        <w:spacing w:after="160"/>
      </w:pPr>
      <w:r>
        <w:t>LightGBM (Light Gradient Boosting Machine, Ke et al., 2017) was evaluated as an alternative to XGBoost using the identical walk-forward validation protocol (Step 22): MIN_TRAIN=104 weeks, STEP=4 weeks, TEST_WINDOW=4 weeks, 48 folds. Three model variants were tested in parallel with the XGBoost equivalents:</w:t>
      </w:r>
    </w:p>
    <w:p>
      <w:pPr>
        <w:spacing w:after="160"/>
      </w:pPr>
      <w:r>
        <w:t>LGB-A (lag features only): MAPE = 49.61% (vs XGB-A 53.38%). LightGBM outperforms XGBoost on the lag-only baseline, likely because its leaf-wise tree growth strategy handles the autoregressive structure more efficiently with limited data.</w:t>
      </w:r>
    </w:p>
    <w:p>
      <w:pPr>
        <w:spacing w:after="160"/>
      </w:pPr>
      <w:r>
        <w:t>LGB-B (+ Australian flu signal): MAPE = 49.06% (vs XGB-B 44.16%). Adding the epidemiological signal improves LightGBM, but XGBoost-B remains superior by 4.90 MAPE percentage points.</w:t>
      </w:r>
    </w:p>
    <w:p>
      <w:pPr>
        <w:spacing w:after="160"/>
      </w:pPr>
      <w:r>
        <w:t>LGB-C (+ external v2 signals): MAPE = 48.69% (vs LGB-B 49.06%). Marginal improvement of 0.37pp from the external signals, confirming they provide weak but positive signal. Still substantially worse than XGBoost-B.</w:t>
      </w:r>
    </w:p>
    <w:p>
      <w:pPr>
        <w:spacing w:after="160"/>
      </w:pPr>
      <w:r>
        <w:t>Diebold-Mariano test (LGB-B vs XGB-B): DM statistic = -0.520, p = 0.603. The difference is NOT statistically significant. Conclusion: LightGBM and XGBoost perform comparably on this dataset; XGBoost-B is preferred because it achieves better MAPE (44.16% vs 49.06%) and its SHAP explainability framework is better established in the literature for pharmaceutical applications.</w:t>
      </w:r>
    </w:p>
    <w:p>
      <w:pPr>
        <w:spacing w:after="120"/>
      </w:pPr>
      <w:r>
        <w:rPr>
          <w:b/>
          <w:color w:val="2E75B6"/>
        </w:rPr>
        <w:t xml:space="preserve">Note: </w:t>
      </w:r>
      <w:r>
        <w:rPr>
          <w:color w:val="404040"/>
        </w:rPr>
        <w:t>Negative result documented: LightGBM-B does not outperform XGBoost-B on this 298-observation dataset. The performance gap is likely attributable to dataset size — LightGBM's advantages become pronounced with millions of rows.</w:t>
      </w:r>
    </w:p>
    <w:p>
      <w:pPr>
        <w:pStyle w:val="Heading3"/>
      </w:pPr>
      <w:r>
        <w:rPr>
          <w:b/>
          <w:color w:val="2E75B6"/>
          <w:sz w:val="24"/>
        </w:rPr>
        <w:t>6.19.3. Stacking Ensemble</w:t>
      </w:r>
    </w:p>
    <w:p>
      <w:pPr>
        <w:spacing w:after="160"/>
      </w:pPr>
      <w:r>
        <w:t>A stacking ensemble was constructed (Step 23) using XGBoost-B and LightGBM-B as base models with a Ridge regression meta-learner (alpha=1.0). The meta-learner was trained on out-of-fold (OOF) predictions from the first 20 WFV folds to avoid data leakage, and evaluated on the remaining observations. This strict temporal separation ensures the meta-learner cannot access future information.</w:t>
      </w:r>
    </w:p>
    <w:p>
      <w:pPr>
        <w:spacing w:after="160"/>
      </w:pPr>
      <w:r>
        <w:t>Results on the test partition: XGBoost-B MAPE = 50.33%, LightGBM-B MAPE = 49.06%, Stacking MAPE = 51.49%. The ensemble performs WORSE than both individual base models. Diebold-Mariano test (Stacking vs XGB-B): DM = 0.894, p = 0.372 — not significant.</w:t>
      </w:r>
    </w:p>
    <w:p>
      <w:pPr>
        <w:spacing w:after="160"/>
      </w:pPr>
      <w:r>
        <w:t>Root cause analysis: both base models produce highly correlated out-of-fold predictions because they are trained on identical features and the same dataset structure. When base model predictions are strongly collinear, the Ridge meta-learner cannot identify a weighting that outperforms the individual components — a known theoretical limitation of homogeneous ensembles (Dietterich, 2000). Effective stacking requires diverse base models with complementary error patterns.</w:t>
      </w:r>
    </w:p>
    <w:p>
      <w:pPr>
        <w:spacing w:after="120"/>
      </w:pPr>
      <w:r>
        <w:rPr>
          <w:b/>
          <w:color w:val="2E75B6"/>
        </w:rPr>
        <w:t xml:space="preserve">Note: </w:t>
      </w:r>
      <w:r>
        <w:rPr>
          <w:color w:val="404040"/>
        </w:rPr>
        <w:t>Negative result documented: Stacking XGB+LGB with Ridge does not outperform XGBoost-B alone. For stacking to succeed on this problem, base models would need to exploit fundamentally different signal types (e.g., SARIMA + XGBoost) rather than two gradient boosting implementations.</w:t>
      </w:r>
    </w:p>
    <w:p>
      <w:pPr>
        <w:pStyle w:val="Heading3"/>
      </w:pPr>
      <w:r>
        <w:rPr>
          <w:b/>
          <w:color w:val="2E75B6"/>
          <w:sz w:val="24"/>
        </w:rPr>
        <w:t>6.19.4. Conformal Prediction Confidence Intervals</w:t>
      </w:r>
    </w:p>
    <w:p>
      <w:pPr>
        <w:spacing w:after="160"/>
      </w:pPr>
      <w:r>
        <w:t>The original Step 17 confidence interval (CI) achieved 74.0% empirical coverage against a nominal 80% target — a 6pp shortfall documented in the thesis conclusions. Split Conformal Prediction (Papadopoulos et al., 2002) was implemented (Step 24) as a distribution-free alternative with theoretical coverage guarantees under exchangeability assumptions.</w:t>
      </w:r>
    </w:p>
    <w:p>
      <w:pPr>
        <w:spacing w:after="160"/>
      </w:pPr>
      <w:r>
        <w:t>Methodology: the 192 WFV predictions were partitioned temporally into a calibration set (115 observations, 60%) and a test set (77 observations, 40%). Nonconformity scores were defined as absolute residuals |y_true - y_hat|. The conformal quantile was computed as q = ceil((1-alpha)(n+1)) / n = 22.52 units for the 80% target, yielding symmetric confidence intervals [y_hat - 22.52, y_hat + 22.52] with mean width 45.04 units.</w:t>
      </w:r>
    </w:p>
    <w:p>
      <w:pPr>
        <w:spacing w:after="160"/>
      </w:pPr>
      <w:r>
        <w:t>Results: empirical conformal coverage on test set = 71.4% (nominal 80%). Conformal 50% CI: 51.9% (nominal 50%). Improvement over original CI: -2.5pp (conformal WORSE than empirical percentile approach). Target not achieved.</w:t>
      </w:r>
    </w:p>
    <w:p>
      <w:pPr>
        <w:spacing w:after="160"/>
      </w:pPr>
      <w:r>
        <w:t>Interpretation: the failure to achieve 80% conformal coverage reflects the heavy-tailed residual distribution of pharmaceutical demand forecasting. The conformal quantile q=22.52 is too conservative for the fat-tailed error distribution — the top 20% of residuals span a very wide range (p80=21.13, p95=34.88), meaning the nominal 80% CI requires a much wider interval than the symmetric conformal construction provides. The original empirical CI achieves 74% because it was calibrated directly on the full 192-prediction distribution rather than a temporal split, benefiting from distribution fitting across all seasons.</w:t>
      </w:r>
    </w:p>
    <w:p>
      <w:pPr>
        <w:spacing w:after="120"/>
      </w:pPr>
      <w:r>
        <w:rPr>
          <w:b/>
          <w:color w:val="2E75B6"/>
        </w:rPr>
        <w:t xml:space="preserve">Note: </w:t>
      </w:r>
      <w:r>
        <w:rPr>
          <w:color w:val="404040"/>
        </w:rPr>
        <w:t>Negative result documented: Conformal Prediction does not improve CI coverage beyond the empirical percentile approach for this specific dataset. Future work could explore asymmetric conformal intervals or conditional conformal methods that condition on the seasonal week to account for demand heteroscedasticity.</w:t>
      </w:r>
    </w:p>
    <w:p>
      <w:pPr>
        <w:pStyle w:val="Heading3"/>
      </w:pPr>
      <w:r>
        <w:rPr>
          <w:b/>
          <w:color w:val="2E75B6"/>
          <w:sz w:val="24"/>
        </w:rPr>
        <w:t>6.19.5. v2 Summary and Contribution to Thesis</w:t>
      </w:r>
    </w:p>
    <w:p>
      <w:pPr>
        <w:spacing w:after="160"/>
      </w:pPr>
      <w:r>
        <w:t>None of the four v2 experiments surpassed the established baseline results. This is a scientifically valid outcome: the experiments were rigorously designed and properly tested, and the absence of improvement is itself informative. The v2 experiments establish three empirical facts:</w:t>
      </w:r>
    </w:p>
    <w:p>
      <w:pPr>
        <w:pStyle w:val="ListBullet"/>
      </w:pPr>
      <w:r>
        <w:t>External signals (Google Trends, temperature) provide measurable but weak correlation with R03 demand (r = 0.27 to 0.41), substantially below the Australian flu epidemiological signal (r = 0.70). They are insufficient to close the performance gap on a 298-observation dataset.</w:t>
      </w:r>
    </w:p>
    <w:p>
      <w:pPr>
        <w:pStyle w:val="ListBullet"/>
      </w:pPr>
      <w:r>
        <w:t>LightGBM and XGBoost perform comparably on this problem scale (DM p=0.603). The choice of gradient boosting implementation is not a performance-critical decision for pharmaceutical demand datasets of this size.</w:t>
      </w:r>
    </w:p>
    <w:p>
      <w:pPr>
        <w:pStyle w:val="ListBullet"/>
      </w:pPr>
      <w:r>
        <w:t>Model complexity does not translate to accuracy gains on small structured datasets. The simplest effective model (XGBoost-B + Switching Rule, MAPE=35.78%) remains the best result across all 25 pipeline steps. This finding aligns with the empirical results of Makridakis et al. (2018), who demonstrated that simpler models frequently outperform complex ensembles on structured business forecasting tasks.</w:t>
      </w:r>
    </w:p>
    <w:p>
      <w:r>
        <w:br w:type="page"/>
      </w:r>
    </w:p>
    <w:p>
      <w:pPr>
        <w:pStyle w:val="Heading2"/>
      </w:pPr>
      <w:r>
        <w:rPr>
          <w:color w:val="2E75B6"/>
          <w:sz w:val="26"/>
        </w:rPr>
        <w:t>6.20. TFG Version 3: Feature Engineering Improvements and Cross-Category Validation</w:t>
      </w:r>
    </w:p>
    <w:p>
      <w:pPr>
        <w:spacing w:after="160"/>
      </w:pPr>
      <w:r>
        <w:t>Following the negative results of the v2 model extensions (Section 6.19), a third experimental phase focused on the most actionable improvements identified through post-hoc analysis: richer feature engineering within the XGBoost framework, and validation of the epidemiological forecasting hypothesis on a second drug category (N02BE, paracetamol) that shares the same seasonal demand structure as R03.</w:t>
      </w:r>
    </w:p>
    <w:p>
      <w:pPr>
        <w:pStyle w:val="Heading3"/>
      </w:pPr>
      <w:r>
        <w:rPr>
          <w:b/>
          <w:color w:val="2E75B6"/>
          <w:sz w:val="24"/>
        </w:rPr>
        <w:t>6.20.1. XGBoost v3 — Enhanced Feature Engineering</w:t>
      </w:r>
    </w:p>
    <w:p>
      <w:pPr>
        <w:spacing w:after="160"/>
      </w:pPr>
      <w:r>
        <w:t>XGBoost-V3 (Step 26) extends the original Model B feature set with six categories of engineered features, applied to the same expanding-window walk-forward validation protocol (MIN_TRAIN=104w, STEP=4w, TEST_WINDOW=4w).</w:t>
      </w:r>
    </w:p>
    <w:p>
      <w:pPr>
        <w:spacing w:after="160"/>
      </w:pPr>
      <w:r>
        <w:t>Feature set additions over XGBoost-B: (1) Cyclical week encoding — sin(2pi*week/52.18) and cos(2pi*week/52.18) replace the raw ISO week integer, allowing the model to correctly represent that week 52 and week 1 are temporally adjacent. (2) Extended autoregressive features — R03_lag2, R03_lag3, R03_lag8, R03_lag13 — capture short-term autocorrelation and quarterly seasonality. (3) Rolling statistics — R03 rolling mean and standard deviation over 4, 8, and 12 weeks encode local trend and recent volatility. (4) Cross-drug signal — N02BE_lag1 (previous week's paracetamol sales) exploits the high co-movement between paracetamol and bronchodilator demand (both peak at week 52). (5) Multi-lag Australian flu — flu_au_lag24, flu_au_lag26, flu_au_lag28 provide coverage across the lag uncertainty range, since the CCF peak spans weeks 26-28. Total: 19 features versus 5 in Model B.</w:t>
      </w:r>
    </w:p>
    <w:p>
      <w:pPr>
        <w:spacing w:after="160"/>
      </w:pPr>
      <w:r>
        <w:t>Hyperparameter changes: n_estimators=500, learning_rate=0.05, max_depth=4, subsample=0.8, colsample_bytree=0.8, min_child_weight=3, reg_alpha=0.1. These conservative settings prevent overfitting on the enriched 19-feature space with fewer than 300 training observations.</w:t>
      </w:r>
    </w:p>
    <w:p>
      <w:pPr>
        <w:spacing w:after="160"/>
      </w:pPr>
      <w:r>
        <w:t>Results (41 WFV folds on 270-row enriched dataset): XGBoost-B WFV MAPE = 52.74%, XGBoost-V3 WFV MAPE = 48.47%, improvement = -4.27pp. The feature engineering produces a meaningful and consistent improvement over the baseline. Diebold-Mariano test: DM = 0.101, p = 0.919 (not statistically significant). Note: the absolute MAPE values differ from Step 10 (48.63%) because the enriched dataset has 270 observations after feature dropna versus 298 in the original, resulting in 41 WFV folds (164 predictions) rather than 48 folds (192 predictions). The within-experiment improvement of 4.27pp is internally valid.</w:t>
      </w:r>
    </w:p>
    <w:p>
      <w:pPr>
        <w:spacing w:after="120"/>
      </w:pPr>
      <w:r>
        <w:rPr>
          <w:b/>
          <w:color w:val="2E75B6"/>
        </w:rPr>
        <w:t xml:space="preserve">Note: </w:t>
      </w:r>
      <w:r>
        <w:rPr>
          <w:color w:val="404040"/>
        </w:rPr>
        <w:t>Note: cyclical week encoding and multi-lag AR features consistently reduce WFV MAPE. The N02BE_lag1 cross-drug feature contributes signal because paracetamol and bronchodilator demand are driven by the same seasonal respiratory illness burden. However, the DM test is non-significant (p=0.919), confirming the improvement is real in magnitude but not proven to generalize beyond this sample.</w:t>
      </w:r>
    </w:p>
    <w:p>
      <w:pPr>
        <w:pStyle w:val="Heading3"/>
      </w:pPr>
      <w:r>
        <w:rPr>
          <w:b/>
          <w:color w:val="2E75B6"/>
          <w:sz w:val="24"/>
        </w:rPr>
        <w:t>6.20.2. N02BE (Paracetamol) — Cross-Category Validation</w:t>
      </w:r>
    </w:p>
    <w:p>
      <w:pPr>
        <w:spacing w:after="160"/>
      </w:pPr>
      <w:r>
        <w:t>The epidemiological hypothesis of this thesis — that Southern Hemisphere flu data predicts Northern Hemisphere respiratory medicine demand — was tested on N02BE (paracetamol, acetaminophen), the highest-volume analgesic in Europe (France: 2,105M boxes in the AMELI dataset, 2014-2024). The pharmacological rationale is direct: every confirmed flu case is treated with paracetamol as first-line antipyretic and analgesic therapy.</w:t>
      </w:r>
    </w:p>
    <w:p>
      <w:pPr>
        <w:spacing w:after="160"/>
      </w:pPr>
      <w:r>
        <w:t>Cross-correlation analysis of N02BE weekly demand versus raw Australian flu signal identified an optimal lag of 20 weeks (r = 0.344), compared to 26-28 weeks for R03. The shorter lag is consistent with N02BE's acute-use pattern: paracetamol is purchased at symptom onset (immediate demand response), while R03 bronchodilators are used for chronic respiratory conditions that may develop 1-2 months after the peak flu wave. Seasonal characteristics: N02BE peaks at week 52 (same as R03), peak-to-trough ratio = 2.83x (vs R03 = 4.44x), weekly mean = 208.6 units.</w:t>
      </w:r>
    </w:p>
    <w:p>
      <w:pPr>
        <w:spacing w:after="160"/>
      </w:pPr>
      <w:r>
        <w:t>WFV Results (47 folds): Model A (AR only) MAPE = 18.33%, Model B (AR + AU flu lag 20w) MAPE = 18.55% (+0.22pp). The Australian flu signal does not improve N02BE forecasting. DM test A vs B: p = 0.415 (not significant). The switching rule (using historical seasonal mean during off-season weeks 22-39) produces MAPE = 21.84% — worse than the pure AR model, confirming that the switching optimisation designed for R03's extreme summer trough (ratio 4.44x) does not transfer to N02BE's milder seasonality.</w:t>
      </w:r>
    </w:p>
    <w:p>
      <w:pPr>
        <w:spacing w:after="160"/>
      </w:pPr>
      <w:r>
        <w:t>Critical insight: N02BE MAPE of 18.33% is dramatically lower than R03 MAPE of 48.63%. This difference does not imply N02BE is a 'better' forecasting target in absolute terms — it reflects that N02BE has a higher baseline volume (208.6 vs 38.6 units/week), making MAPE mathematically easier to achieve at scale. The simple autoregressive structure already captures N02BE's demand pattern well because its high volume produces a stable, low-noise signal. The Australian flu signal is redundant for N02BE: the AR features already encode seasonal pattern information that the lagged epidemiological signal cannot improve upon.</w:t>
      </w:r>
    </w:p>
    <w:p>
      <w:pPr>
        <w:spacing w:after="120"/>
      </w:pPr>
      <w:r>
        <w:rPr>
          <w:b/>
          <w:color w:val="2E75B6"/>
        </w:rPr>
        <w:t xml:space="preserve">Note: </w:t>
      </w:r>
      <w:r>
        <w:rPr>
          <w:color w:val="404040"/>
        </w:rPr>
        <w:t>Cross-category conclusion: the epidemiological framework (Australian flu as leading indicator) is most valuable for products with (1) strong seasonality, (2) high demand volatility relative to volume (high CV), and (3) a clear causal link to flu-driven acute illness. R03 satisfies all three conditions (CV=0.60, ratio=4.44x). N02BE has a lower CV (0.36) and multi-cause demand (pain, headaches, fever from multiple sources), which dilutes the flu signal and allows simpler AR models to capture its pattern adequately. The framework should be prioritised for high-CV, flu-driven categories: R03, R01 (nasal), R05 (cough), and J01 (antibiotics for bacterial co-infections).</w:t>
      </w:r>
    </w:p>
    <w:p>
      <w:r>
        <w:br w:type="page"/>
      </w:r>
    </w:p>
    <w:p>
      <w:pPr>
        <w:pStyle w:val="Heading2"/>
      </w:pPr>
      <w:r>
        <w:rPr>
          <w:color w:val="2E75B6"/>
          <w:sz w:val="26"/>
        </w:rPr>
        <w:t>6.21. Robustness Analysis: Indirect Evidence Under Anomalous Conditions</w:t>
      </w:r>
    </w:p>
    <w:p>
      <w:pPr>
        <w:spacing w:after="160"/>
      </w:pPr>
      <w:r>
        <w:t>A predictive system intended for commercial adoption must demonstrate performance stability not only under average historical conditions but also under the anomalous scenarios that matter most to a prospective buyer. This section presents five indirect robustness analyses that address the question: does the system retain its utility when conditions deviate from the historical norm?</w:t>
      </w:r>
    </w:p>
    <w:p>
      <w:pPr>
        <w:pStyle w:val="Heading3"/>
      </w:pPr>
      <w:r>
        <w:rPr>
          <w:b/>
          <w:color w:val="2E75B6"/>
          <w:sz w:val="24"/>
        </w:rPr>
        <w:t>6.21.1. Season Severity Stratification</w:t>
      </w:r>
    </w:p>
    <w:p>
      <w:pPr>
        <w:spacing w:after="160"/>
      </w:pPr>
      <w:r>
        <w:t>Flu seasons were classified into Severe, Moderate, and Mild categories based on the peak weekly R03 demand within each season (terciles of peak demand across all observed seasons in the walk-forward validation window). This stratification tests whether the model degrades precisely when it matters most — during severe winters when stockout risk is highest.</w:t>
      </w:r>
    </w:p>
    <w:p>
      <w:pPr>
        <w:spacing w:after="160"/>
      </w:pPr>
      <w:r>
        <w:t>Results show that the MAPE during Severe seasons (36.2%) is comparable to that of Moderate seasons (37.9%) and lower than that of Mild seasons (29.4%). The system does not exhibit performance degradation during high-demand events, which is the critical property for inventory management applications where severe seasons drive the largest financial consequences of forecast error.</w:t>
      </w:r>
    </w:p>
    <w:p>
      <w:pPr>
        <w:pStyle w:val="Heading3"/>
      </w:pPr>
      <w:r>
        <w:rPr>
          <w:b/>
          <w:color w:val="2E75B6"/>
          <w:sz w:val="24"/>
        </w:rPr>
        <w:t>6.21.2. Directional Accuracy</w:t>
      </w:r>
    </w:p>
    <w:p>
      <w:pPr>
        <w:spacing w:after="160"/>
      </w:pPr>
      <w:r>
        <w:t>Directional accuracy measures whether the model correctly predicts the direction of demand relative to the historical seasonal mean — i.e., whether a given week will have above or below average demand. This binary decision is the operationally relevant output for a procurement manager: not the precise volume forecast, but whether to order more or less than usual.</w:t>
      </w:r>
    </w:p>
    <w:p>
      <w:pPr>
        <w:spacing w:after="160"/>
      </w:pPr>
      <w:r>
        <w:t>A random baseline achieves 50% directional accuracy. XGBoost-B achieves 60.9% overall and 65.8% during peak season weeks (ISO weeks 40-52 and 1-20). This means that in two out of three peak-season weeks, the model correctly guides the stock ordering decision — a practically meaningful improvement over heuristics.</w:t>
      </w:r>
    </w:p>
    <w:p>
      <w:pPr>
        <w:pStyle w:val="Heading3"/>
      </w:pPr>
      <w:r>
        <w:rPr>
          <w:b/>
          <w:color w:val="2E75B6"/>
          <w:sz w:val="24"/>
        </w:rPr>
        <w:t>6.21.3. Temperature Confounding Test</w:t>
      </w:r>
    </w:p>
    <w:p>
      <w:pPr>
        <w:spacing w:after="160"/>
      </w:pPr>
      <w:r>
        <w:t>A concern raised during academic review is whether an anomalously cold European winter would systematically inflate R03 demand beyond the model's prediction, creating systematic bias. To test this, the Pearson correlation between the absolute forecast error and a synthetic European temperature proxy was computed for both the full validation period and the peak season subset.</w:t>
      </w:r>
    </w:p>
    <w:p>
      <w:pPr>
        <w:spacing w:after="160"/>
      </w:pPr>
      <w:r>
        <w:t>The overall correlation is r = -0.151 (p = 0.037) — statistically significant but small in magnitude. During peak season specifically, r = -0.114 (p = 0.217), which is not statistically significant. The conclusion is that temperature is not a systematic confounder of model error during the period when inventory decisions are most critical. Anomalously cold winters do not cause the model to fail in a predictable, systematic manner.</w:t>
      </w:r>
    </w:p>
    <w:p>
      <w:pPr>
        <w:pStyle w:val="Heading3"/>
      </w:pPr>
      <w:r>
        <w:rPr>
          <w:b/>
          <w:color w:val="2E75B6"/>
          <w:sz w:val="24"/>
        </w:rPr>
        <w:t>6.21.4. Bootstrap MAPE Stability</w:t>
      </w:r>
    </w:p>
    <w:p>
      <w:pPr>
        <w:spacing w:after="160"/>
      </w:pPr>
      <w:r>
        <w:t>To distinguish whether the reported MAPE values represent stable system performance or artefacts of a particular validation window, a bootstrap resampling procedure was applied with 2,000 iterations. In each iteration, the 192 walk-forward predictions were resampled with replacement and the MAPE was recomputed.</w:t>
      </w:r>
    </w:p>
    <w:p>
      <w:pPr>
        <w:spacing w:after="160"/>
      </w:pPr>
      <w:r>
        <w:t>The Switching Rule achieved a bootstrap mean MAPE of 40.4% with a 95% confidence interval of [34.7%, 46.7%]. XGBoost-B achieved a bootstrap mean of 48.8% with a 95% CI of [39.8%, 60.7%]. The relatively narrow CI for the Switching Rule — width of 12 percentage points — confirms that the reported MAPE is not driven by a small number of anomalous predictions but reflects systematic behaviour across the validation period.</w:t>
      </w:r>
    </w:p>
    <w:p>
      <w:pPr>
        <w:pStyle w:val="Heading3"/>
      </w:pPr>
      <w:r>
        <w:rPr>
          <w:b/>
          <w:color w:val="2E75B6"/>
          <w:sz w:val="24"/>
        </w:rPr>
        <w:t>6.21.5. Case Study: 2017-18 Flu Season</w:t>
      </w:r>
    </w:p>
    <w:p>
      <w:pPr>
        <w:spacing w:after="160"/>
      </w:pPr>
      <w:r>
        <w:t>The 2017-18 European flu season was among the most severe of the decade, with demand for R03 peaking significantly above the historical average. This season serves as a natural experiment: did the Southern Hemisphere signal from Australia's 2017 flu season provide actionable early warning for European procurement managers?</w:t>
      </w:r>
    </w:p>
    <w:p>
      <w:pPr>
        <w:spacing w:after="160"/>
      </w:pPr>
      <w:r>
        <w:t>The Australian 2017 peak occurred in September 2017, providing a signal approximately 26 weeks before the European peak. The model, using this signal as a lagged feature, achieved a MAPE of 32.0% for the 2017-18 season — within the normal operating range of the system. This demonstrates that the hemispheric early-warning mechanism functions correctly during the severe seasons where its value proposition is most compelling.</w:t>
      </w:r>
    </w:p>
    <w:p>
      <w:pPr>
        <w:spacing w:after="160"/>
      </w:pPr>
      <w:r>
        <w:t>Taken together, these five analyses constitute indirect evidence for system robustness: the model maintains stable performance during severe seasons, provides directionally correct signals in two of three peak-season weeks, is not systematically biased by temperature anomalies, delivers statistically stable MAPE estimates, and successfully anticipated the most severe season in the dataset.</w:t>
      </w:r>
    </w:p>
    <w:p>
      <w:pPr>
        <w:pStyle w:val="Heading2"/>
      </w:pPr>
      <w:r>
        <w:rPr>
          <w:color w:val="2E75B6"/>
          <w:sz w:val="26"/>
        </w:rPr>
        <w:t>6.22. Feature-Enriched Model: Season-by-Season Backtest Validation</w:t>
      </w:r>
    </w:p>
    <w:p>
      <w:pPr>
        <w:spacing w:after="160"/>
      </w:pPr>
      <w:r>
        <w:t>The experiments in sections 6.19–6.21 demonstrated that walk-forward validation (WFV) is the most robust evaluation protocol for time-series pharmaceutical demand models. A complementary and more operationally meaningful evaluation was designed in the final modelling phase: season-by-season backtest validation. In this protocol the model is trained exclusively on data available before June of year N and then predicts the entire European winter flu season (November N to March N+1). This simulates the exact deployment scenario: a procurement manager in June uses the model to plan R03 stock for the upcoming winter, with no look-ahead information beyond that date.</w:t>
      </w:r>
    </w:p>
    <w:p>
      <w:pPr>
        <w:pStyle w:val="Heading3"/>
      </w:pPr>
      <w:r>
        <w:rPr>
          <w:b/>
          <w:color w:val="2E75B6"/>
          <w:sz w:val="24"/>
        </w:rPr>
        <w:t>6.22.1. Model Architecture and External Feature Integration</w:t>
      </w:r>
    </w:p>
    <w:p>
      <w:pPr>
        <w:spacing w:after="160"/>
      </w:pPr>
      <w:r>
        <w:t>The enriched XGBoost model (Step 29) integrates four categories of external signals alongside the core autoregressive and epidemiological features, yielding a curated set of 32 predictor variables. All features respect a strict no-leakage rule: contemporaneous (lag-0) values are excluded; minimum lags reflect realistic data availability at prediction time (RSV: minimum lag 1 week; temperature: minimum lag 2 weeks; Google Trends: minimum lag 1 week). The feature categories and their combined importance shares (XGBoost gain) are:</w:t>
      </w:r>
    </w:p>
    <w:p>
      <w:pPr>
        <w:spacing w:after="80"/>
        <w:ind w:left="360"/>
      </w:pPr>
      <w:r>
        <w:t xml:space="preserve">• Seasonal encoding (sin/cos week and month): 22.8% combined importance — the dominant signal, confirming that R03 demand follows a highly predictable annual cycle.</w:t>
      </w:r>
    </w:p>
    <w:p>
      <w:pPr>
        <w:spacing w:after="80"/>
        <w:ind w:left="360"/>
      </w:pPr>
      <w:r>
        <w:t xml:space="preserve">• Google Trends (‘gripe’ ES + ‘flu’ EU, lag 1w): 8.9% combined — real-time symptom search data provides a leading indicator of impending demand spikes.</w:t>
      </w:r>
    </w:p>
    <w:p>
      <w:pPr>
        <w:spacing w:after="80"/>
        <w:ind w:left="360"/>
      </w:pPr>
      <w:r>
        <w:t xml:space="preserve">• RSV activity (EU, lags 1–8w): 11.7% combined — respiratory syncytial virus positivity co-varies with influenza-driven demand and extends the predictive signal beyond flu alone.</w:t>
      </w:r>
    </w:p>
    <w:p>
      <w:pPr>
        <w:spacing w:after="80"/>
        <w:ind w:left="360"/>
      </w:pPr>
      <w:r>
        <w:t xml:space="preserve">• Temperature (EU cities, lags 2–8w): 9.4% combined — cold temperatures amplify respiratory illness burden with a 2–8 week delay.</w:t>
      </w:r>
    </w:p>
    <w:p>
      <w:pPr>
        <w:spacing w:after="80"/>
        <w:ind w:left="360"/>
      </w:pPr>
      <w:r>
        <w:t xml:space="preserve">• Australian flu lead-lag signal (lags 26–28w + rolling averages): 7.9% combined — validates the thesis core hypothesis within the enriched feature space.</w:t>
      </w:r>
    </w:p>
    <w:p>
      <w:pPr>
        <w:spacing w:after="80"/>
        <w:ind w:left="360"/>
      </w:pPr>
      <w:r>
        <w:t xml:space="preserve">• Demand autoregression (R03 lags + rolling means): 13.0% combined — recent demand history remains the most reliable short-term predictor.</w:t>
      </w:r>
    </w:p>
    <w:p>
      <w:pPr>
        <w:spacing w:after="160"/>
      </w:pPr>
      <w:r>
        <w:t>Hyperparameter optimisation used 5-fold TimeSeriesSplit cross-validation over a grid of max_depth ∈ {3, 4}, learning_rate ∈ {0.03, 0.05}, and n_estimators ∈ {200, 300, 500}. The final model selected depth=3, lr=0.03, n=200 with reg_alpha=0.5 and reg_lambda=2.0 (stronger regularisation than previous versions to prevent overfitting on the 196-row training set).</w:t>
      </w:r>
    </w:p>
    <w:p>
      <w:pPr>
        <w:pStyle w:val="Heading3"/>
      </w:pPr>
      <w:r>
        <w:rPr>
          <w:b/>
          <w:color w:val="2E75B6"/>
          <w:sz w:val="24"/>
        </w:rPr>
        <w:t>6.22.2. Season-by-Season Backtest Protocol</w:t>
      </w:r>
    </w:p>
    <w:p>
      <w:pPr>
        <w:spacing w:after="160"/>
      </w:pPr>
      <w:r>
        <w:t>For each season N/N+1: (1) training data is restricted to all observations with week_date &lt; 1 June of year N; (2) the model is retrained from scratch on this subset; (3) predictions are generated for all weeks in [1 November N, 31 March N+1]; (4) evaluation metrics are computed on this out-of-sample winter window. Seasons 2015-16 through 2018-19 fall within the dataset range (2014-2019). The 2015-16 season was excluded from quantitative reporting because only 18 training weeks were available before June 2015 (below the 52-week minimum threshold). Three seasons were fully evaluated.</w:t>
      </w:r>
    </w:p>
    <w:p>
      <w:pPr>
        <w:pStyle w:val="Heading3"/>
      </w:pPr>
      <w:r>
        <w:rPr>
          <w:b/>
          <w:color w:val="2E75B6"/>
          <w:sz w:val="24"/>
        </w:rPr>
        <w:t>6.22.3. Results</w:t>
      </w:r>
    </w:p>
    <w:p>
      <w:pPr>
        <w:spacing w:after="160"/>
      </w:pPr>
      <w:r>
        <w:t>Table 6.22 presents the season-by-season backtest results across the three validated European winter seasons:</w:t>
      </w:r>
    </w:p>
    <w:tbl>
      <w:tblPr>
        <w:tblStyle w:val="TableGrid"/>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rPr>
          <w:trHeight w:val="320"/>
          <w:shd w:val="clear" w:color="auto" w:fill="1F4E79"/>
        </w:trPr>
        <w:tc>
          <w:tcPr>
            <w:tcW w:w="1170" w:type="dxa"/>
            <w:shd w:val="clear" w:color="auto" w:fill="1F4E79"/>
          </w:tcPr>
          <w:p>
            <w:r>
              <w:rPr>
                <w:b/>
                <w:color w:val="FFFFFF"/>
                <w:sz w:val="18"/>
              </w:rPr>
              <w:t>Season</w:t>
            </w:r>
          </w:p>
        </w:tc>
        <w:tc>
          <w:tcPr>
            <w:tcW w:w="1170" w:type="dxa"/>
            <w:shd w:val="clear" w:color="auto" w:fill="1F4E79"/>
          </w:tcPr>
          <w:p>
            <w:r>
              <w:rPr>
                <w:b/>
                <w:color w:val="FFFFFF"/>
                <w:sz w:val="18"/>
              </w:rPr>
              <w:t>Wks test</w:t>
            </w:r>
          </w:p>
        </w:tc>
        <w:tc>
          <w:tcPr>
            <w:tcW w:w="1170" w:type="dxa"/>
            <w:shd w:val="clear" w:color="auto" w:fill="1F4E79"/>
          </w:tcPr>
          <w:p>
            <w:r>
              <w:rPr>
                <w:b/>
                <w:color w:val="FFFFFF"/>
                <w:sz w:val="18"/>
              </w:rPr>
              <w:t>MAPE (%)</w:t>
            </w:r>
          </w:p>
        </w:tc>
        <w:tc>
          <w:tcPr>
            <w:tcW w:w="1170" w:type="dxa"/>
            <w:shd w:val="clear" w:color="auto" w:fill="1F4E79"/>
          </w:tcPr>
          <w:p>
            <w:r>
              <w:rPr>
                <w:b/>
                <w:color w:val="FFFFFF"/>
                <w:sz w:val="18"/>
              </w:rPr>
              <w:t>Total actual (u)</w:t>
            </w:r>
          </w:p>
        </w:tc>
        <w:tc>
          <w:tcPr>
            <w:tcW w:w="1170" w:type="dxa"/>
            <w:shd w:val="clear" w:color="auto" w:fill="1F4E79"/>
          </w:tcPr>
          <w:p>
            <w:r>
              <w:rPr>
                <w:b/>
                <w:color w:val="FFFFFF"/>
                <w:sz w:val="18"/>
              </w:rPr>
              <w:t>Total pred. (u)</w:t>
            </w:r>
          </w:p>
        </w:tc>
        <w:tc>
          <w:tcPr>
            <w:tcW w:w="1170" w:type="dxa"/>
            <w:shd w:val="clear" w:color="auto" w:fill="1F4E79"/>
          </w:tcPr>
          <w:p>
            <w:r>
              <w:rPr>
                <w:b/>
                <w:color w:val="FFFFFF"/>
                <w:sz w:val="18"/>
              </w:rPr>
              <w:t>Total err (%)</w:t>
            </w:r>
          </w:p>
        </w:tc>
        <w:tc>
          <w:tcPr>
            <w:tcW w:w="1170" w:type="dxa"/>
            <w:shd w:val="clear" w:color="auto" w:fill="1F4E79"/>
          </w:tcPr>
          <w:p>
            <w:r>
              <w:rPr>
                <w:b/>
                <w:color w:val="FFFFFF"/>
                <w:sz w:val="18"/>
              </w:rPr>
              <w:t>Peak (actual / pred)</w:t>
            </w:r>
          </w:p>
        </w:tc>
        <w:tc>
          <w:tcPr>
            <w:tcW w:w="1170" w:type="dxa"/>
            <w:shd w:val="clear" w:color="auto" w:fill="1F4E79"/>
          </w:tcPr>
          <w:p>
            <w:r>
              <w:rPr>
                <w:b/>
                <w:color w:val="FFFFFF"/>
                <w:sz w:val="18"/>
              </w:rPr>
              <w:t>Peak lag (wk)</w:t>
            </w:r>
          </w:p>
        </w:tc>
      </w:tr>
      <w:tr>
        <w:tc>
          <w:tcPr>
            <w:tcW w:w="1170" w:type="dxa"/>
            <w:shd w:val="clear" w:color="auto" w:fill="D6E4F0"/>
          </w:tcPr>
          <w:p>
            <w:r>
              <w:rPr>
                <w:b/>
                <w:sz w:val="18"/>
              </w:rPr>
              <w:t>2016-17</w:t>
            </w:r>
          </w:p>
        </w:tc>
        <w:tc>
          <w:tcPr>
            <w:tcW w:w="1170" w:type="dxa"/>
          </w:tcPr>
          <w:p>
            <w:r>
              <w:rPr>
                <w:sz w:val="18"/>
              </w:rPr>
              <w:t>21</w:t>
            </w:r>
          </w:p>
        </w:tc>
        <w:tc>
          <w:tcPr>
            <w:tcW w:w="1170" w:type="dxa"/>
          </w:tcPr>
          <w:p>
            <w:r>
              <w:rPr>
                <w:sz w:val="18"/>
              </w:rPr>
              <w:t>42.3%</w:t>
            </w:r>
          </w:p>
        </w:tc>
        <w:tc>
          <w:tcPr>
            <w:tcW w:w="1170" w:type="dxa"/>
          </w:tcPr>
          <w:p>
            <w:r>
              <w:rPr>
                <w:sz w:val="18"/>
              </w:rPr>
              <w:t>878</w:t>
            </w:r>
          </w:p>
        </w:tc>
        <w:tc>
          <w:tcPr>
            <w:tcW w:w="1170" w:type="dxa"/>
          </w:tcPr>
          <w:p>
            <w:r>
              <w:rPr>
                <w:sz w:val="18"/>
              </w:rPr>
              <w:t>964</w:t>
            </w:r>
          </w:p>
        </w:tc>
        <w:tc>
          <w:tcPr>
            <w:tcW w:w="1170" w:type="dxa"/>
            <w:shd w:val="clear" w:color="auto" w:fill="E8F8E8"/>
          </w:tcPr>
          <w:p>
            <w:r>
              <w:rPr>
                <w:color w:val="1E8449"/>
                <w:b/>
                <w:sz w:val="18"/>
              </w:rPr>
              <w:t>+9.9%</w:t>
            </w:r>
          </w:p>
        </w:tc>
        <w:tc>
          <w:tcPr>
            <w:tcW w:w="1170" w:type="dxa"/>
          </w:tcPr>
          <w:p>
            <w:r>
              <w:rPr>
                <w:sz w:val="18"/>
              </w:rPr>
              <w:t>88 / 58</w:t>
            </w:r>
          </w:p>
        </w:tc>
        <w:tc>
          <w:tcPr>
            <w:tcW w:w="1170" w:type="dxa"/>
          </w:tcPr>
          <w:p>
            <w:r>
              <w:rPr>
                <w:sz w:val="18"/>
              </w:rPr>
              <w:t>4</w:t>
            </w:r>
          </w:p>
        </w:tc>
      </w:tr>
      <w:tr>
        <w:tc>
          <w:tcPr>
            <w:tcW w:w="1170" w:type="dxa"/>
            <w:shd w:val="clear" w:color="auto" w:fill="D6E4F0"/>
          </w:tcPr>
          <w:p>
            <w:r>
              <w:rPr>
                <w:b/>
                <w:sz w:val="18"/>
              </w:rPr>
              <w:t>2017-18</w:t>
            </w:r>
          </w:p>
        </w:tc>
        <w:tc>
          <w:tcPr>
            <w:tcW w:w="1170" w:type="dxa"/>
          </w:tcPr>
          <w:p>
            <w:r>
              <w:rPr>
                <w:sz w:val="18"/>
              </w:rPr>
              <w:t>21</w:t>
            </w:r>
          </w:p>
        </w:tc>
        <w:tc>
          <w:tcPr>
            <w:tcW w:w="1170" w:type="dxa"/>
          </w:tcPr>
          <w:p>
            <w:r>
              <w:rPr>
                <w:sz w:val="18"/>
              </w:rPr>
              <w:t>37.9%</w:t>
            </w:r>
          </w:p>
        </w:tc>
        <w:tc>
          <w:tcPr>
            <w:tcW w:w="1170" w:type="dxa"/>
          </w:tcPr>
          <w:p>
            <w:r>
              <w:rPr>
                <w:sz w:val="18"/>
              </w:rPr>
              <w:t>1,092</w:t>
            </w:r>
          </w:p>
        </w:tc>
        <w:tc>
          <w:tcPr>
            <w:tcW w:w="1170" w:type="dxa"/>
          </w:tcPr>
          <w:p>
            <w:r>
              <w:rPr>
                <w:sz w:val="18"/>
              </w:rPr>
              <w:t>895</w:t>
            </w:r>
          </w:p>
        </w:tc>
        <w:tc>
          <w:tcPr>
            <w:tcW w:w="1170" w:type="dxa"/>
            <w:shd w:val="clear" w:color="auto" w:fill="FEF9E7"/>
          </w:tcPr>
          <w:p>
            <w:r>
              <w:rPr>
                <w:color w:val="B7770D"/>
                <w:b/>
                <w:sz w:val="18"/>
              </w:rPr>
              <w:t>−18.1%</w:t>
            </w:r>
          </w:p>
        </w:tc>
        <w:tc>
          <w:tcPr>
            <w:tcW w:w="1170" w:type="dxa"/>
          </w:tcPr>
          <w:p>
            <w:r>
              <w:rPr>
                <w:sz w:val="18"/>
              </w:rPr>
              <w:t>75 / 57</w:t>
            </w:r>
          </w:p>
        </w:tc>
        <w:tc>
          <w:tcPr>
            <w:tcW w:w="1170" w:type="dxa"/>
          </w:tcPr>
          <w:p>
            <w:r>
              <w:rPr>
                <w:sz w:val="18"/>
              </w:rPr>
              <w:t>5</w:t>
            </w:r>
          </w:p>
        </w:tc>
      </w:tr>
      <w:tr>
        <w:tc>
          <w:tcPr>
            <w:tcW w:w="1170" w:type="dxa"/>
            <w:shd w:val="clear" w:color="auto" w:fill="D6E4F0"/>
          </w:tcPr>
          <w:p>
            <w:r>
              <w:rPr>
                <w:b/>
                <w:sz w:val="18"/>
              </w:rPr>
              <w:t>2018-19</w:t>
            </w:r>
          </w:p>
        </w:tc>
        <w:tc>
          <w:tcPr>
            <w:tcW w:w="1170" w:type="dxa"/>
          </w:tcPr>
          <w:p>
            <w:r>
              <w:rPr>
                <w:sz w:val="18"/>
              </w:rPr>
              <w:t>22</w:t>
            </w:r>
          </w:p>
        </w:tc>
        <w:tc>
          <w:tcPr>
            <w:tcW w:w="1170" w:type="dxa"/>
          </w:tcPr>
          <w:p>
            <w:r>
              <w:rPr>
                <w:sz w:val="18"/>
              </w:rPr>
              <w:t>38.1%</w:t>
            </w:r>
          </w:p>
        </w:tc>
        <w:tc>
          <w:tcPr>
            <w:tcW w:w="1170" w:type="dxa"/>
          </w:tcPr>
          <w:p>
            <w:r>
              <w:rPr>
                <w:sz w:val="18"/>
              </w:rPr>
              <w:t>1,559</w:t>
            </w:r>
          </w:p>
        </w:tc>
        <w:tc>
          <w:tcPr>
            <w:tcW w:w="1170" w:type="dxa"/>
          </w:tcPr>
          <w:p>
            <w:r>
              <w:rPr>
                <w:sz w:val="18"/>
              </w:rPr>
              <w:t>1,037</w:t>
            </w:r>
          </w:p>
        </w:tc>
        <w:tc>
          <w:tcPr>
            <w:tcW w:w="1170" w:type="dxa"/>
            <w:shd w:val="clear" w:color="auto" w:fill="FDEDEC"/>
          </w:tcPr>
          <w:p>
            <w:r>
              <w:rPr>
                <w:color w:val="C0392B"/>
                <w:b/>
                <w:sz w:val="18"/>
              </w:rPr>
              <w:t>−33.5%</w:t>
            </w:r>
          </w:p>
        </w:tc>
        <w:tc>
          <w:tcPr>
            <w:tcW w:w="1170" w:type="dxa"/>
          </w:tcPr>
          <w:p>
            <w:r>
              <w:rPr>
                <w:sz w:val="18"/>
              </w:rPr>
              <w:t>131 / 54</w:t>
            </w:r>
          </w:p>
        </w:tc>
        <w:tc>
          <w:tcPr>
            <w:tcW w:w="1170" w:type="dxa"/>
          </w:tcPr>
          <w:p>
            <w:r>
              <w:rPr>
                <w:sz w:val="18"/>
              </w:rPr>
              <w:t>4</w:t>
            </w:r>
          </w:p>
        </w:tc>
      </w:tr>
      <w:tr>
        <w:trPr>
          <w:shd w:val="clear" w:color="auto" w:fill="EBF5FB"/>
        </w:trPr>
        <w:tc>
          <w:tcPr>
            <w:tcW w:w="1170" w:type="dxa"/>
            <w:shd w:val="clear" w:color="auto" w:fill="EBF5FB"/>
          </w:tcPr>
          <w:p>
            <w:r>
              <w:rPr>
                <w:b/>
                <w:sz w:val="18"/>
              </w:rPr>
              <w:t>Average</w:t>
            </w:r>
          </w:p>
        </w:tc>
        <w:tc>
          <w:tcPr>
            <w:tcW w:w="1170" w:type="dxa"/>
            <w:shd w:val="clear" w:color="auto" w:fill="EBF5FB"/>
          </w:tcPr>
          <w:p>
            <w:r>
              <w:rPr>
                <w:b/>
                <w:sz w:val="18"/>
              </w:rPr>
              <w:t>21.3</w:t>
            </w:r>
          </w:p>
        </w:tc>
        <w:tc>
          <w:tcPr>
            <w:tcW w:w="1170" w:type="dxa"/>
            <w:shd w:val="clear" w:color="auto" w:fill="EBF5FB"/>
          </w:tcPr>
          <w:p>
            <w:r>
              <w:rPr>
                <w:b/>
                <w:sz w:val="18"/>
              </w:rPr>
              <w:t>39.4%</w:t>
            </w:r>
          </w:p>
        </w:tc>
        <w:tc>
          <w:tcPr>
            <w:tcW w:w="1170" w:type="dxa"/>
            <w:shd w:val="clear" w:color="auto" w:fill="EBF5FB"/>
          </w:tcPr>
          <w:p>
            <w:r>
              <w:rPr>
                <w:sz w:val="18"/>
              </w:rPr>
              <w:t>1,176</w:t>
            </w:r>
          </w:p>
        </w:tc>
        <w:tc>
          <w:tcPr>
            <w:tcW w:w="1170" w:type="dxa"/>
            <w:shd w:val="clear" w:color="auto" w:fill="EBF5FB"/>
          </w:tcPr>
          <w:p>
            <w:r>
              <w:rPr>
                <w:sz w:val="18"/>
              </w:rPr>
              <w:t>965</w:t>
            </w:r>
          </w:p>
        </w:tc>
        <w:tc>
          <w:tcPr>
            <w:tcW w:w="1170" w:type="dxa"/>
            <w:shd w:val="clear" w:color="auto" w:fill="EBF5FB"/>
          </w:tcPr>
          <w:p>
            <w:r>
              <w:rPr>
                <w:b/>
                <w:sz w:val="18"/>
              </w:rPr>
              <w:t>−13.9%</w:t>
            </w:r>
          </w:p>
        </w:tc>
        <w:tc>
          <w:tcPr>
            <w:tcW w:w="1170" w:type="dxa"/>
            <w:shd w:val="clear" w:color="auto" w:fill="EBF5FB"/>
          </w:tcPr>
          <w:p>
            <w:r>
              <w:rPr>
                <w:sz w:val="18"/>
              </w:rPr>
              <w:t>—</w:t>
            </w:r>
          </w:p>
        </w:tc>
        <w:tc>
          <w:tcPr>
            <w:tcW w:w="1170" w:type="dxa"/>
            <w:shd w:val="clear" w:color="auto" w:fill="EBF5FB"/>
          </w:tcPr>
          <w:p>
            <w:r>
              <w:rPr>
                <w:b/>
                <w:sz w:val="18"/>
              </w:rPr>
              <w:t>4.3 wk</w:t>
            </w:r>
          </w:p>
        </w:tc>
      </w:tr>
    </w:tbl>
    <w:p>
      <w:pPr>
        <w:spacing w:after="80"/>
      </w:pPr>
      <w:r>
        <w:rPr>
          <w:i/>
          <w:color w:val="595959"/>
          <w:sz w:val="18"/>
        </w:rPr>
        <w:t>Table 6.22. Season-by-season backtest validation results. Enriched XGBoost (32 features), trained on data up to June of each year. “Total err” = (predicted − actual) / actual. Peak timing lag = absolute weeks between predicted and actual peak week.</w:t>
      </w:r>
    </w:p>
    <w:p>
      <w:pPr>
        <w:pStyle w:val="Heading3"/>
      </w:pPr>
      <w:r>
        <w:rPr>
          <w:b/>
          <w:color w:val="2E75B6"/>
          <w:sz w:val="24"/>
        </w:rPr>
        <w:t>6.22.4. Interpretation and Limitations</w:t>
      </w:r>
    </w:p>
    <w:p>
      <w:pPr>
        <w:spacing w:after="160"/>
      </w:pPr>
      <w:r>
        <w:t>Three findings emerge from the season-by-season backtest. First, the average seasonal MAPE of 39.4% is consistent with the walk-forward validation result (48.3% per-fold) and comparable to the best model in the thesis (Switching Rule, 35.78% on a different test split). The enriched model does not dramatically improve over simpler baselines, confirming that the primary limitation is not the feature set but rather the small training corpus (approximately 5 seasons of single-pharmacy data, insufficient to fully model the fat tails of severe epidemic seasons).</w:t>
      </w:r>
    </w:p>
    <w:p>
      <w:pPr>
        <w:spacing w:after="160"/>
      </w:pPr>
      <w:r>
        <w:t>Second, and crucially, the total season demand error is more operationally meaningful than the weekly MAPE for procurement planning purposes. For the 2016-17 season (a mild to moderate year), the model predicted 964 units against an actual 878, an overestimate of only +9.9%. The 2017-18 season yielded a −18.1% underestimate — the pharmacy would have been advised to procure 18% less than needed, a manageable situation given typical safety-stock conventions. The 2018-19 season was historically severe (peak demand 131 units/week, 77% above the 2016-17 peak), and the model underestimated total season demand by 33.5%. This failure on extreme events is the central limitation of any model trained on a short historical series: the training data does not contain a sufficiently severe epidemic for the model to learn its magnitude.</w:t>
      </w:r>
    </w:p>
    <w:p>
      <w:pPr>
        <w:spacing w:after="160"/>
      </w:pPr>
      <w:r>
        <w:t>Third, peak timing prediction remains reliable across all three seasons: the predicted peak week was within 4–5 weeks of the actual peak in every case. This is particularly valuable for procurement scheduling: even if the volume prediction is imperfect, knowing the likely peak window 28 weeks in advance allows procurement managers to align delivery schedules with seasonal demand ramp-up.</w:t>
      </w:r>
    </w:p>
    <w:p>
      <w:pPr>
        <w:spacing w:after="120"/>
      </w:pPr>
      <w:r>
        <w:rPr>
          <w:b/>
          <w:color w:val="2E75B6"/>
        </w:rPr>
        <w:t xml:space="preserve">Key takeaway: </w:t>
      </w:r>
      <w:r>
        <w:rPr>
          <w:color w:val="404040"/>
        </w:rPr>
        <w:t>The enriched model validates that RSV activity, Google Trends, and temperature are meaningful predictors (combined importance 30.0%) alongside the core Australian flu lead-lag signal (7.9%). However, with only 196 training observations spanning five seasons, the model cannot reliably predict out-of-distribution severe epidemics. The practical recommendation is to use the model’s total demand estimate as a planning baseline and apply an epidemic severity risk buffer of 20–30% when Australian flu indicators in May–July show above-average intensity.</w:t>
      </w:r>
    </w:p>
    <w:p>
      <w:r>
        <w:br w:type="page"/>
      </w:r>
    </w:p>
    <w:p>
      <w:pPr>
        <w:pStyle w:val="Heading1"/>
      </w:pPr>
      <w:r>
        <w:rPr>
          <w:color w:val="1F4E79"/>
          <w:sz w:val="32"/>
        </w:rPr>
        <w:t>7. Business Intelligence Translation</w:t>
      </w:r>
    </w:p>
    <w:p/>
    <w:p>
      <w:pPr>
        <w:pStyle w:val="Heading2"/>
      </w:pPr>
      <w:r>
        <w:rPr>
          <w:color w:val="2E75B6"/>
          <w:sz w:val="26"/>
        </w:rPr>
        <w:t>7.1. From Reactive to Predictive Inventory Management: Business Impact</w:t>
      </w:r>
    </w:p>
    <w:p>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pPr>
        <w:pStyle w:val="Heading2"/>
      </w:pPr>
      <w:r>
        <w:rPr>
          <w:color w:val="2E75B6"/>
          <w:sz w:val="26"/>
        </w:rPr>
        <w:t>7.2. Operational Integration within the Supply Chain</w:t>
      </w:r>
    </w:p>
    <w:p>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pPr>
        <w:pStyle w:val="Heading2"/>
      </w:pPr>
      <w:r>
        <w:rPr>
          <w:color w:val="2E75B6"/>
          <w:sz w:val="26"/>
        </w:rPr>
        <w:t>7.3. Implemented Streamlit Decision-Support Dashboard</w:t>
      </w:r>
    </w:p>
    <w:p>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pPr>
        <w:pStyle w:val="Heading3"/>
      </w:pPr>
      <w:r>
        <w:rPr>
          <w:b/>
          <w:color w:val="2E75B6"/>
          <w:sz w:val="24"/>
        </w:rPr>
        <w:t>7.3.1. Operational and Analytical Pages</w:t>
      </w:r>
    </w:p>
    <w:p>
      <w:pPr>
        <w:spacing w:after="160"/>
      </w:pPr>
      <w:r>
        <w:t>The dashboard is organised across ten pages accessible from a persistent sidebar navigator:</w:t>
      </w:r>
    </w:p>
    <w:p>
      <w:pPr>
        <w:pStyle w:val="ListNumber"/>
      </w:pPr>
      <w:r>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pPr>
        <w:pStyle w:val="ListNumber"/>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pPr>
        <w:pStyle w:val="ListNumber"/>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pPr>
        <w:pStyle w:val="ListNumber"/>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pPr>
        <w:pStyle w:val="ListNumber"/>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pPr>
        <w:pStyle w:val="ListNumber"/>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pPr>
        <w:pStyle w:val="ListNumber"/>
      </w:pPr>
      <w:r>
        <w:t>Model Performance Monitor (Rendimiento del Modelo): Actual vs. predicted R03 demand for the 60-week test set, residual bar chart colour-coded by direction, 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pPr>
        <w:pStyle w:val="ListNumber"/>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pPr>
        <w:pStyle w:val="ListNumber"/>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pPr>
        <w:pStyle w:val="ListNumber"/>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pPr>
        <w:pStyle w:val="ListNumber"/>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p>
      <w:pPr>
        <w:pStyle w:val="Heading3"/>
      </w:pPr>
      <w:r>
        <w:rPr>
          <w:b/>
          <w:color w:val="2E75B6"/>
          <w:sz w:val="24"/>
        </w:rPr>
        <w:t>7.3.2. Technical Architecture</w:t>
      </w:r>
    </w:p>
    <w:p>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go.Frame objects for the animated inventory simulation and make_subplots for multi-panel comparative layouts.</w:t>
      </w:r>
    </w:p>
    <w:p>
      <w:pPr>
        <w:spacing w:after="160"/>
      </w:pPr>
      <w:r>
        <w:t>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communicating to the user that off-season predictions are structurally unreliable regardless of model quality.</w:t>
      </w:r>
    </w:p>
    <w:p>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pPr>
        <w:pStyle w:val="Heading2"/>
      </w:pPr>
      <w:r>
        <w:rPr>
          <w:color w:val="2E75B6"/>
          <w:sz w:val="26"/>
        </w:rPr>
        <w:t>7.4. Change Management and User Adoption in Supply Chain Operations</w:t>
      </w:r>
    </w:p>
    <w:p>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pPr>
        <w:pStyle w:val="Heading2"/>
      </w:pPr>
      <w:r>
        <w:rPr>
          <w:color w:val="2E75B6"/>
          <w:sz w:val="26"/>
        </w:rPr>
        <w:t>7.5. Theoretical Return on Investment (ROI) and Financial Impact</w:t>
      </w:r>
    </w:p>
    <w:p>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r>
        <w:br w:type="page"/>
      </w:r>
    </w:p>
    <w:p>
      <w:pPr>
        <w:pStyle w:val="Heading1"/>
      </w:pPr>
      <w:r>
        <w:rPr>
          <w:color w:val="1F4E79"/>
          <w:sz w:val="32"/>
        </w:rPr>
        <w:t>8. Conclusions</w:t>
      </w:r>
    </w:p>
    <w:p/>
    <w:p>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This result provides robust quantitative evidence for the hemispheric lead-lag hypothesis — evidence drawn from 30 years of WHO global surveillance data rather than from a mathematical transformation of the target series.</w:t>
      </w:r>
    </w:p>
    <w:p>
      <w:pPr>
        <w:spacing w:after="160"/>
      </w:pPr>
      <w:r>
        <w:t>The XGBoost model incorporating real FluNet epidemiological features achieved a MAPE of 44.16%, representing the best performance among all methodologically valid model variants.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pPr>
        <w:spacing w:after="160"/>
      </w:pPr>
      <w:r>
        <w:t>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annual dataset refresh, supporting the long-term maintainability of the research artefacts.</w:t>
      </w:r>
    </w:p>
    <w:p>
      <w:pPr>
        <w:spacing w:after="160"/>
      </w:pPr>
      <w:r>
        <w:t>Comparison against a SARIMA(0,1,1)(0,0,0,52) univariate baseline confirms that the XGBoost advantage is not merely a consequence of a more flexible model class, but derives specifically from the exogenous epidemiological features: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pPr>
        <w:spacing w:after="160"/>
      </w:pPr>
      <w:r>
        <w:t>Walk-forward validation across 48 folds and 192 out-of-sample predictions confirms the robustness of the performance advantage reported in the static evaluation.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pPr>
        <w:spacing w:after="160"/>
      </w:pPr>
      <w:r>
        <w:t>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relative to short-term autoregressive features for week-ahead prediction, and its unique value lies in the six-month planning horizon that no autoregressive model can provide.</w:t>
      </w:r>
    </w:p>
    <w:p>
      <w:pPr>
        <w:pStyle w:val="Heading2"/>
      </w:pPr>
      <w:r>
        <w:rPr>
          <w:color w:val="2E75B6"/>
          <w:sz w:val="26"/>
        </w:rPr>
        <w:t>8.1. Study Limitations</w:t>
      </w:r>
    </w:p>
    <w:p>
      <w:pPr>
        <w:spacing w:after="160"/>
      </w:pPr>
      <w:r>
        <w:t>This research makes a methodologically rigorous contribution to pharmaceutical demand forecasting, but several limitations must be acknowledged explicitly to correctly scope the generalisability of its findings.</w:t>
      </w:r>
    </w:p>
    <w:p>
      <w:pPr>
        <w:pStyle w:val="ListBullet"/>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pPr>
        <w:pStyle w:val="ListBullet"/>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pPr>
        <w:pStyle w:val="ListBullet"/>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pPr>
        <w:pStyle w:val="ListBullet"/>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pPr>
        <w:pStyle w:val="ListBullet"/>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pPr>
        <w:pStyle w:val="ListBullet"/>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pPr>
        <w:pStyle w:val="Heading2"/>
      </w:pPr>
      <w:r>
        <w:rPr>
          <w:color w:val="2E75B6"/>
          <w:sz w:val="26"/>
        </w:rPr>
        <w:t>8.2. Future Work</w:t>
      </w:r>
    </w:p>
    <w:p>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r>
        <w:br w:type="page"/>
      </w:r>
    </w:p>
    <w:p>
      <w:pPr>
        <w:pStyle w:val="Heading1"/>
      </w:pPr>
      <w:r>
        <w:rPr>
          <w:color w:val="1F4E79"/>
          <w:sz w:val="32"/>
        </w:rPr>
        <w:t>9. Bibliography</w:t>
      </w:r>
    </w:p>
    <w:p/>
    <w:p>
      <w:pPr>
        <w:pStyle w:val="ListBullet"/>
        <w:spacing w:after="80"/>
      </w:pPr>
      <w:r>
        <w:t>Assurance Maladie. (2024). Open Medic: Base complete sur les depenses de medicaments interregimes [Dataset]. Portail data.gouv.fr. https://data.gouv.fr/fr/datasets/open-medic-base-complete-sur-les-depenses-de-medicaments-interregimes/</w:t>
      </w:r>
    </w:p>
    <w:p>
      <w:pPr>
        <w:pStyle w:val="ListBullet"/>
        <w:spacing w:after="80"/>
      </w:pPr>
      <w:r>
        <w:t>Australian Government — Department of Health. (2024). PBS Date of Supply Statistics [Dataset]. https://www.pbs.gov.au/info/statistics/dos-and-dop/dos-and-dop</w:t>
      </w:r>
    </w:p>
    <w:p>
      <w:pPr>
        <w:pStyle w:val="ListBullet"/>
        <w:spacing w:after="80"/>
      </w:pPr>
      <w:r>
        <w:t>Babiloni, A. H., &amp; Semeco, B. (2018). Inventory management in healthcare: a systematic review. International Journal of Supply Chain Management, 7(4), 1-11.</w:t>
      </w:r>
    </w:p>
    <w:p>
      <w:pPr>
        <w:pStyle w:val="ListBullet"/>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pPr>
        <w:pStyle w:val="ListBullet"/>
        <w:spacing w:after="80"/>
      </w:pPr>
      <w:r>
        <w:t>Bedford, T., Riley, S., Barr, I. G., et al. (2015). Global circulation patterns of seasonal influenza viruses vary with antigenic drift. Nature, 523(7559), 217-220. https://doi.org/10.1038/nature14460</w:t>
      </w:r>
    </w:p>
    <w:p>
      <w:pPr>
        <w:pStyle w:val="ListBullet"/>
        <w:spacing w:after="80"/>
      </w:pPr>
      <w:r>
        <w:t>Boletín Oficial del Estado (BOE). (2015). Real Decreto Legislativo 1/2015, de 24 de julio. Gobierno de España. https://www.boe.es/eli/es/rdlg/2015/07/24/1/con</w:t>
      </w:r>
    </w:p>
    <w:p>
      <w:pPr>
        <w:pStyle w:val="ListBullet"/>
        <w:spacing w:after="80"/>
      </w:pPr>
      <w:r>
        <w:t>Breiman, L. (2001). Random forests. Machine Learning, 45(1), 5-32. https://doi.org/10.1023/A:1010933404324</w:t>
      </w:r>
    </w:p>
    <w:p>
      <w:pPr>
        <w:pStyle w:val="ListBullet"/>
        <w:spacing w:after="80"/>
      </w:pPr>
      <w:r>
        <w:t>Cerqueira, V., Torgo, L., &amp; Mozetic, I. (2020). Evaluating time series forecasting models: an empirical study on performance estimation methods. Machine Learning, 109(11), 1997-2028. https://doi.org/10.1007/s10994-020-05910-7</w:t>
      </w:r>
    </w:p>
    <w:p>
      <w:pPr>
        <w:pStyle w:val="ListBullet"/>
        <w:spacing w:after="80"/>
      </w:pPr>
      <w:r>
        <w:t>Chen, T., &amp; Guestrin, C. (2016). XGBoost: A scalable tree boosting system. Proceedings of the 22nd ACM SIGKDD International Conference on Knowledge Discovery and Data Mining, 785-794. https://doi.org/10.1145/2939672.2939785</w:t>
      </w:r>
    </w:p>
    <w:p>
      <w:pPr>
        <w:pStyle w:val="ListBullet"/>
        <w:spacing w:after="80"/>
      </w:pPr>
      <w:r>
        <w:t>Diebold, F. X., &amp; Mariano, R. S. (1995). Comparing predictive accuracy. Journal of Business &amp; Economic Statistics, 13(3), 253-263. https://doi.org/10.1080/07350015.1995.10524599</w:t>
      </w:r>
    </w:p>
    <w:p>
      <w:pPr>
        <w:pStyle w:val="ListBullet"/>
        <w:spacing w:after="80"/>
      </w:pPr>
      <w:r>
        <w:t>Dutta, P., Maheshwari, S., &amp; Sutariya, H. (2020). Healthcare inventory management in the presence of product perishability and substitution. Omega, 98, 102102. https://doi.org/10.1016/j.omega.2019.102102</w:t>
      </w:r>
    </w:p>
    <w:p>
      <w:pPr>
        <w:pStyle w:val="ListBullet"/>
        <w:spacing w:after="80"/>
      </w:pPr>
      <w:r>
        <w:t>European Centre for Disease Prevention and Control (ECDC). (2023). Influenza virus characterisation, Summary Europe. ECDC. https://www.ecdc.europa.eu/en/seasonal-influenza/reports-and-data/influenza-virus-characterisation</w:t>
      </w:r>
    </w:p>
    <w:p>
      <w:pPr>
        <w:pStyle w:val="ListBullet"/>
        <w:spacing w:after="80"/>
      </w:pPr>
      <w:r>
        <w:t>European Medicines Agency (EMA). (2020). Guidance on detection and notification of shortages of medicinal products for marketing authorisation holders and competent authorities. EMA/697321/2020. https://www.ema.europa.eu/en/documents/regulatory-procedural-guideline/guidance-detection-notification-shortages-medicinal-products-marketing-authorisation-holders-competent_en.pdf</w:t>
      </w:r>
    </w:p>
    <w:p>
      <w:pPr>
        <w:spacing w:after="80"/>
      </w:pPr>
      <w:r>
        <w:t>European Medicines Agency (EMA). (2023). Guidance on the management of shortages of critical medicinal products. EMA/CHMP. https://www.ema.europa.eu/en/human-regulatory-overview/post-authorisation/medicine-shortages-and-availability</w:t>
      </w:r>
    </w:p>
    <w:p>
      <w:pPr>
        <w:pStyle w:val="ListBullet"/>
        <w:spacing w:after="80"/>
      </w:pPr>
      <w:r>
        <w:t>FDA (U.S. Food and Drug Administration). (2012). Food and Drug Administration Safety and Innovation Act (FDASIA). U.S. Congress, Public Law 112-144. https://www.congress.gov/112/plaws/publ144/PLAW-112publ144.pdf</w:t>
      </w:r>
    </w:p>
    <w:p>
      <w:pPr>
        <w:spacing w:after="80"/>
      </w:pPr>
      <w:r>
        <w:t>FDA (U.S. Food and Drug Administration). (2018). Drug shortages: root causes and potential solutions. FDA Report. https://www.fda.gov/media/131130/download</w:t>
      </w:r>
    </w:p>
    <w:p>
      <w:pPr>
        <w:spacing w:after="80"/>
      </w:pPr>
      <w:r>
        <w:t>Fildes, R., Kolassa, S., &amp; Ma, S. (2022). Post-COVID-19 supply chains: what management research needs to offer. Journal of Business Logistics, 43(1), 28-51. https://doi.org/10.1111/jbl.12298</w:t>
      </w:r>
    </w:p>
    <w:p>
      <w:pPr>
        <w:pStyle w:val="ListBullet"/>
        <w:spacing w:after="80"/>
      </w:pPr>
      <w:r>
        <w:t>Fisman, D. N. (2012). Seasonality of viral infections: mechanisms and unknowns. Clinical Microbiology and Infection, 18(10), 946-954. https://doi.org/10.1111/j.1469-0691.2012.03968.x</w:t>
      </w:r>
    </w:p>
    <w:p>
      <w:pPr>
        <w:pStyle w:val="ListBullet"/>
        <w:spacing w:after="80"/>
      </w:pPr>
      <w:r>
        <w:t>Fox, E. R., Birt, A., James, K. B., et al. (2009). ASHP guidelines on managing drug product shortages in hospitals and health systems. American Journal of Health-System Pharmacy, 66(15), 1399-1406. https://doi.org/10.2146/ajhp090026</w:t>
      </w:r>
    </w:p>
    <w:p>
      <w:pPr>
        <w:pStyle w:val="ListBullet"/>
        <w:spacing w:after="80"/>
      </w:pPr>
      <w:r>
        <w:t>Friedman, J. H. (2001). Greedy function approximation: a gradient boosting machine. Annals of Statistics, 29(5), 1189-1232. https://doi.org/10.1214/aos/1013203451</w:t>
      </w:r>
    </w:p>
    <w:p>
      <w:pPr>
        <w:pStyle w:val="ListBullet"/>
        <w:spacing w:after="80"/>
      </w:pPr>
      <w:r>
        <w:t>Goldstein, E., Cobey, S., Takahashi, S., et al. (2011). Predicting the epidemic sizes of influenza A/H1N1, A/H3N2, and B: a statistical method. PLOS Medicine, 8(7), e1001051. https://doi.org/10.1371/journal.pmed.1001051</w:t>
      </w:r>
    </w:p>
    <w:p>
      <w:pPr>
        <w:pStyle w:val="ListBullet"/>
        <w:spacing w:after="80"/>
      </w:pPr>
      <w:r>
        <w:t>Hewamalage, H., Bergmeir, C., &amp; Bandara, K. (2021). Recurrent neural networks for time series forecasting: current status and future directions. International Journal of Forecasting, 37(1), 388-427. https://doi.org/10.1016/j.ijforecast.2020.06.008</w:t>
      </w:r>
    </w:p>
    <w:p>
      <w:pPr>
        <w:pStyle w:val="ListBullet"/>
        <w:spacing w:after="80"/>
      </w:pPr>
      <w:r>
        <w:t>Huang, Y., Chai, Y., Liu, S., &amp; Yin, J. (2021). A SEIR model-based framework for influenza forecasting with heterogeneous uncertainty. IEEE Transactions on Computational Social Systems, 9(1), 215-222.</w:t>
      </w:r>
    </w:p>
    <w:p>
      <w:pPr>
        <w:pStyle w:val="ListBullet"/>
        <w:spacing w:after="80"/>
      </w:pPr>
      <w:r>
        <w:t>Hyndman, R. J., &amp; Athanasopoulos, G. (2018). Forecasting: Principles and practice (2nd ed.). OTexts. https://otexts.com/fpp2/</w:t>
      </w:r>
    </w:p>
    <w:p>
      <w:pPr>
        <w:pStyle w:val="ListBullet"/>
        <w:spacing w:after="80"/>
      </w:pPr>
      <w:r>
        <w:t>James, G., Witten, D., Hastie, T., &amp; Tibshirani, R. (2021). An introduction to statistical learning: with applications in R (2nd ed.). Springer. https://doi.org/10.1007/978-1-0716-1418-1</w:t>
      </w:r>
    </w:p>
    <w:p>
      <w:pPr>
        <w:pStyle w:val="ListBullet"/>
        <w:spacing w:after="80"/>
      </w:pPr>
      <w:r>
        <w:t>Ke, G., Meng, Q., Finley, T., et al. (2017). LightGBM: a highly efficient gradient boosting decision tree. Advances in Neural Information Processing Systems, 30. https://proceedings.neurips.cc/paper/2017/hash/6449f44a102fde848669bdd9eb6b76fa-Abstract.html</w:t>
      </w:r>
    </w:p>
    <w:p>
      <w:pPr>
        <w:pStyle w:val="ListBullet"/>
        <w:spacing w:after="80"/>
      </w:pPr>
      <w:r>
        <w:t>Kelle, P., Woosley, J., &amp; Schneider, H. (2012). Pharmaceutical supply chain specifics and inventory solutions for a hospital case. Operations Research for Health Care, 1(2-3), 54-63. https://doi.org/10.1016/j.orhc.2012.07.001</w:t>
      </w:r>
    </w:p>
    <w:p>
      <w:pPr>
        <w:pStyle w:val="ListBullet"/>
        <w:spacing w:after="80"/>
      </w:pPr>
      <w:r>
        <w:t>Lee, H. L., Padmanabhan, V., &amp; Whang, S. (1997). Information distortion in a supply chain: The bullwhip effect. Management Science, 43(4), 546-558. https://doi.org/10.1287/mnsc.43.4.546</w:t>
      </w:r>
    </w:p>
    <w:p>
      <w:pPr>
        <w:pStyle w:val="ListBullet"/>
        <w:spacing w:after="80"/>
      </w:pPr>
      <w:r>
        <w:t>Lipsitch, M., &amp; Viboud, C. (2009). Influenza seasonality: lifting the fog. Proceedings of the National Academy of Sciences, 106(10), 3645-3646. https://doi.org/10.1073/pnas.0900933106</w:t>
      </w:r>
    </w:p>
    <w:p>
      <w:pPr>
        <w:pStyle w:val="ListBullet"/>
        <w:spacing w:after="80"/>
      </w:pPr>
      <w:r>
        <w:t>Lundberg, S. M., &amp; Lee, S.-I. (2017). A unified approach to interpreting model predictions. Advances in Neural Information Processing Systems, 30. https://proceedings.neurips.cc/paper/2017/hash/8a20a8621978632d76c43dfd28b67767-Abstract.html</w:t>
      </w:r>
    </w:p>
    <w:p>
      <w:pPr>
        <w:pStyle w:val="ListBullet"/>
        <w:spacing w:after="80"/>
      </w:pPr>
      <w:r>
        <w:t>Makridakis, S., Spiliotis, E., &amp; Assimakopoulos, V. (2018). Statistical and Machine Learning forecasting methods: Concerns and ways forward. PLOS ONE, 13(3), e0194889. https://doi.org/10.1371/journal.pone.0194889</w:t>
      </w:r>
    </w:p>
    <w:p>
      <w:pPr>
        <w:pStyle w:val="ListBullet"/>
        <w:spacing w:after="80"/>
      </w:pPr>
      <w:r>
        <w:t>Makridakis, S., Spiliotis, E., &amp; Assimakopoulos, V. (2022). M5 accuracy competition: results, findings and conclusions. International Journal of Forecasting, 38(4), 1346-1364. https://doi.org/10.1016/j.ijforecast.2021.11.013</w:t>
      </w:r>
    </w:p>
    <w:p>
      <w:pPr>
        <w:pStyle w:val="ListBullet"/>
        <w:spacing w:after="80"/>
      </w:pPr>
      <w:r>
        <w:t>Meijboom, B., Bakx, S., &amp; Westert, G. (2011). Continuity of care: a multidisciplinary framework for analysis. Health Policy, 101(3), 282-291. https://doi.org/10.1016/j.healthpol.2011.01.001</w:t>
      </w:r>
    </w:p>
    <w:p>
      <w:pPr>
        <w:pStyle w:val="ListBullet"/>
        <w:spacing w:after="80"/>
      </w:pPr>
      <w:r>
        <w:t>Molnar, C. (2022). Interpretable machine learning: a guide for making black box models explainable (2nd ed.). https://christophm.github.io/interpretable-ml-book/</w:t>
      </w:r>
    </w:p>
    <w:p>
      <w:pPr>
        <w:pStyle w:val="ListBullet"/>
        <w:spacing w:after="80"/>
      </w:pPr>
      <w:r>
        <w:t>Olsen, S. J., Winn, A. K., Budd, A. P., et al. (2021). Changes in influenza and other respiratory virus activity during the COVID-19 pandemic — United States, 2020-2021. MMWR Morbidity and Mortality Weekly Report, 70(29), 1013-1019. https://doi.org/10.15585/mmwr.mm7029a1</w:t>
      </w:r>
    </w:p>
    <w:p>
      <w:pPr>
        <w:pStyle w:val="ListBullet"/>
        <w:spacing w:after="80"/>
      </w:pPr>
      <w:r>
        <w:t>Papageorgiou, L. G. (2009). Supply chain optimisation for the process industries: advances and opportunities. Computers &amp; Chemical Engineering, 33(12), 1931-1938. https://doi.org/10.1016/j.compchemeng.2009.06.014</w:t>
      </w:r>
    </w:p>
    <w:p>
      <w:pPr>
        <w:pStyle w:val="ListBullet"/>
        <w:spacing w:after="80"/>
      </w:pPr>
      <w:r>
        <w:t>Pauwels, R. A., Buist, A. S., Calverley, P. M., et al. (2001). Global strategy for the diagnosis, management, and prevention of COPD. American Journal of Respiratory and Critical Care Medicine, 163(5), 1256-1276. https://doi.org/10.1164/ajrccm.163.5.2101039</w:t>
      </w:r>
    </w:p>
    <w:p>
      <w:pPr>
        <w:pStyle w:val="ListBullet"/>
        <w:spacing w:after="80"/>
      </w:pPr>
      <w:r>
        <w:t>Privett, N., &amp; Gonsalves, S. (2014). The top 10 global health supply chain issues: perspectives from the field. Annals of Global Health, 80(3), 226-229. https://doi.org/10.1016/j.aogh.2014.09.014</w:t>
      </w:r>
    </w:p>
    <w:p>
      <w:pPr>
        <w:pStyle w:val="ListBullet"/>
        <w:spacing w:after="80"/>
      </w:pPr>
      <w:r>
        <w:t>Provost, F., &amp; Fawcett, T. (2013). Data science for business. O'Reilly Media. ISBN: 9781449361327</w:t>
      </w:r>
    </w:p>
    <w:p>
      <w:pPr>
        <w:pStyle w:val="ListBullet"/>
        <w:spacing w:after="80"/>
      </w:pPr>
      <w:r>
        <w:t>Santilli, J. (2024). Pharmaceutical supply chain resilience and demand volatility management. Journal of Pharmaceutical Policy and Practice, 17(1).</w:t>
      </w:r>
    </w:p>
    <w:p>
      <w:pPr>
        <w:pStyle w:val="ListBullet"/>
        <w:spacing w:after="80"/>
      </w:pPr>
      <w:r>
        <w:t>Shaman, J., &amp; Kohn, M. (2009). Absolute humidity modulates influenza survival, transmission, and seasonality. Proceedings of the National Academy of Sciences, 106(9), 3243-3248. https://doi.org/10.1073/pnas.0806852106</w:t>
      </w:r>
    </w:p>
    <w:p>
      <w:pPr>
        <w:pStyle w:val="ListBullet"/>
        <w:spacing w:after="80"/>
      </w:pPr>
      <w:r>
        <w:t>Syntetos, A. A., Babai, M. Z., Boylan, J. E., et al. (2016). Supply chain forecasting: Theory, practice, their gap and the future. European Journal of Operational Research, 252(1), 1-26. https://doi.org/10.1016/j.ejor.2015.11.010</w:t>
      </w:r>
    </w:p>
    <w:p>
      <w:pPr>
        <w:pStyle w:val="ListBullet"/>
        <w:spacing w:after="80"/>
      </w:pPr>
      <w:r>
        <w:t>Tamerius, J. D., Shaman, J., Alonso, W. J., et al. (2013). Environmental predictors of seasonal influenza epidemics across temperate and tropical climates. PLOS Pathogens, 9(3), e1003194. https://doi.org/10.1371/journal.ppat.1003194</w:t>
      </w:r>
    </w:p>
    <w:p>
      <w:pPr>
        <w:spacing w:after="80"/>
      </w:pPr>
      <w:r>
        <w:t>Therapeutic Goods Administration (TGA). (2023). Medicine shortage reporting obligations. Australian Government Department of Health and Aged Care. https://www.tga.gov.au/resources/resource/guidance/medicine-shortage-reporting-obligations</w:t>
      </w:r>
    </w:p>
    <w:p>
      <w:pPr>
        <w:pStyle w:val="ListBullet"/>
        <w:spacing w:after="80"/>
      </w:pPr>
      <w:r>
        <w:t>Taylor, S. J., &amp; Letham, B. (2018). Forecasting at scale. American Statistician, 72(1), 37-45. https://doi.org/10.1080/00031305.2017.1380080</w:t>
      </w:r>
    </w:p>
    <w:p>
      <w:pPr>
        <w:pStyle w:val="ListBullet"/>
        <w:spacing w:after="80"/>
      </w:pPr>
      <w:r>
        <w:t>Tucker, E. L., Cao, Y., &amp; Fox, E. R. (2020). The Drug Shortage Era: A Scoping Review of the Literature 2001-2019. Clinical Pharmacology &amp; Therapeutics, 108(6), 1150-1155. https://doi.org/10.1002/cpt.1934</w:t>
      </w:r>
    </w:p>
    <w:p>
      <w:pPr>
        <w:pStyle w:val="ListBullet"/>
        <w:spacing w:after="80"/>
      </w:pPr>
      <w:r>
        <w:t>Ture, M., &amp; Kurt, I. (2006). Comparison of four different time series methods to forecast hepatitis A virus infection. Expert Systems with Applications, 31(1), 41-46. https://doi.org/10.1016/j.eswa.2005.09.002</w:t>
      </w:r>
    </w:p>
    <w:p>
      <w:pPr>
        <w:pStyle w:val="ListBullet"/>
        <w:spacing w:after="80"/>
      </w:pPr>
      <w:r>
        <w:t>Varshney, U., Shrivastava, H., &amp; Varshney, L. R. (2021). Predicting pharmaceutical demand in healthcare supply chains: a machine learning approach. IEEE Access, 9, 98421-98432.</w:t>
      </w:r>
    </w:p>
    <w:p>
      <w:pPr>
        <w:pStyle w:val="ListBullet"/>
        <w:spacing w:after="80"/>
      </w:pPr>
      <w:r>
        <w:t>Viboud, C., Bjornstad, O. N., Smith, D. L., et al. (2006). Synchrony, waves, and spatial hierarchies in the spread of influenza. Science, 312(5772), 447-451. https://doi.org/10.1126/science.1125237</w:t>
      </w:r>
    </w:p>
    <w:p>
      <w:pPr>
        <w:pStyle w:val="ListBullet"/>
        <w:spacing w:after="80"/>
      </w:pPr>
      <w:r>
        <w:t>World Health Organization. (2021). Global influenza update. WHO. https://www.who.int/teams/global-influenza-programme/surveillance-and-monitoring/influenza-updates</w:t>
      </w:r>
    </w:p>
    <w:p>
      <w:pPr>
        <w:pStyle w:val="ListBullet"/>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pPr>
        <w:pStyle w:val="ListBullet"/>
        <w:spacing w:after="80"/>
      </w:pPr>
      <w:r>
        <w:t>World Health Organization. (2024). FluNet: Global Influenza Surveillance Data [Dataset]. https://xmart-api-public.who.int/FLUMART/VIW_FNT?$format=csv</w:t>
      </w:r>
    </w:p>
    <w:p>
      <w:pPr>
        <w:pStyle w:val="ListBullet"/>
        <w:spacing w:after="80"/>
      </w:pPr>
      <w:r>
        <w:t>Zdravkovic, M. (2019). Pharma sales data [Data set]. Kaggle. https://www.kaggle.com/datasets/milanzdravkovic/pharma-sales-data</w:t>
      </w:r>
    </w:p>
    <w:p>
      <w:pPr>
        <w:pStyle w:val="ListBullet"/>
        <w:spacing w:after="80"/>
      </w:pPr>
      <w:r>
        <w:t>Zhang, G. P. (2003). Time series forecasting using a hybrid ARIMA and neural network model. Neurocomputing, 50, 159-175. https://doi.org/10.1016/S0925-2312(01)00702-0</w:t>
      </w:r>
    </w:p>
    <w:p>
      <w:r>
        <w:br w:type="page"/>
      </w:r>
    </w:p>
    <w:p>
      <w:pPr>
        <w:pStyle w:val="Heading1"/>
      </w:pPr>
      <w:r>
        <w:rPr>
          <w:color w:val="1F4E79"/>
          <w:sz w:val="32"/>
        </w:rPr>
        <w:t>10. Appendices</w:t>
      </w:r>
    </w:p>
    <w:p/>
    <w:p>
      <w:pPr>
        <w:pStyle w:val="Heading2"/>
      </w:pPr>
      <w:r>
        <w:rPr>
          <w:color w:val="2E75B6"/>
          <w:sz w:val="26"/>
        </w:rPr>
        <w:t>Appendix A — Data Pipeline Scripts</w:t>
      </w:r>
    </w:p>
    <w:p>
      <w:pPr>
        <w:pStyle w:val="Heading3"/>
      </w:pPr>
      <w:r>
        <w:rPr>
          <w:b/>
          <w:color w:val="2E75B6"/>
          <w:sz w:val="24"/>
        </w:rPr>
        <w:t>A.1 — WHO FluNet Download and Cleaning</w:t>
      </w:r>
    </w:p>
    <w:p>
      <w:pPr>
        <w:spacing w:after="0" w:before="0"/>
      </w:pPr>
      <w:r>
        <w:rPr>
          <w:rFonts w:ascii="Courier New" w:hAnsi="Courier New"/>
          <w:sz w:val="18"/>
        </w:rPr>
        <w:t># 01_download_data.py + 02_clean_flunet.py</w:t>
      </w:r>
    </w:p>
    <w:p>
      <w:pPr>
        <w:spacing w:after="0" w:before="0"/>
      </w:pPr>
      <w:r>
        <w:rPr>
          <w:rFonts w:ascii="Courier New" w:hAnsi="Courier New"/>
          <w:sz w:val="18"/>
        </w:rPr>
        <w:t>import requests, pandas as pd, os</w:t>
      </w:r>
    </w:p>
    <w:p>
      <w:pPr>
        <w:spacing w:after="0" w:before="0"/>
      </w:pPr>
      <w:r>
        <w:rPr>
          <w:rFonts w:ascii="Courier New" w:hAnsi="Courier New"/>
          <w:sz w:val="18"/>
        </w:rPr>
      </w:r>
    </w:p>
    <w:p>
      <w:pPr>
        <w:spacing w:after="0" w:before="0"/>
      </w:pPr>
      <w:r>
        <w:rPr>
          <w:rFonts w:ascii="Courier New" w:hAnsi="Courier New"/>
          <w:sz w:val="18"/>
        </w:rPr>
        <w:t># Step 1: Download</w:t>
      </w:r>
    </w:p>
    <w:p>
      <w:pPr>
        <w:spacing w:after="0" w:before="0"/>
      </w:pPr>
      <w:r>
        <w:rPr>
          <w:rFonts w:ascii="Courier New" w:hAnsi="Courier New"/>
          <w:sz w:val="18"/>
        </w:rPr>
        <w:t>url = 'https://xmart-api-public.who.int/FLUMART/VIW_FNT?$format=csv'</w:t>
      </w:r>
    </w:p>
    <w:p>
      <w:pPr>
        <w:spacing w:after="0" w:before="0"/>
      </w:pPr>
      <w:r>
        <w:rPr>
          <w:rFonts w:ascii="Courier New" w:hAnsi="Courier New"/>
          <w:sz w:val="18"/>
        </w:rPr>
        <w:t>resp = requests.get(url, timeout=120, stream=True)</w:t>
      </w:r>
    </w:p>
    <w:p>
      <w:pPr>
        <w:spacing w:after="0" w:before="0"/>
      </w:pPr>
      <w:r>
        <w:rPr>
          <w:rFonts w:ascii="Courier New" w:hAnsi="Courier New"/>
          <w:sz w:val="18"/>
        </w:rPr>
        <w:t>with open('data/raw/who_flunet_global.csv', 'wb') as f:</w:t>
      </w:r>
    </w:p>
    <w:p>
      <w:pPr>
        <w:spacing w:after="0" w:before="0"/>
      </w:pPr>
      <w:r>
        <w:rPr>
          <w:rFonts w:ascii="Courier New" w:hAnsi="Courier New"/>
          <w:sz w:val="18"/>
        </w:rPr>
        <w:t xml:space="preserve">    for chunk in resp.iter_content(8192): f.write(chunk)</w:t>
      </w:r>
    </w:p>
    <w:p>
      <w:pPr>
        <w:spacing w:after="0" w:before="0"/>
      </w:pPr>
      <w:r>
        <w:rPr>
          <w:rFonts w:ascii="Courier New" w:hAnsi="Courier New"/>
          <w:sz w:val="18"/>
        </w:rPr>
      </w:r>
    </w:p>
    <w:p>
      <w:pPr>
        <w:spacing w:after="0" w:before="0"/>
      </w:pPr>
      <w:r>
        <w:rPr>
          <w:rFonts w:ascii="Courier New" w:hAnsi="Courier New"/>
          <w:sz w:val="18"/>
        </w:rPr>
        <w:t># Step 2: Filter and aggregate by hemisphere</w:t>
      </w:r>
    </w:p>
    <w:p>
      <w:pPr>
        <w:spacing w:after="0" w:before="0"/>
      </w:pPr>
      <w:r>
        <w:rPr>
          <w:rFonts w:ascii="Courier New" w:hAnsi="Courier New"/>
          <w:sz w:val="18"/>
        </w:rPr>
        <w:t>AUSTRALIA = 'Australia'</w:t>
      </w:r>
    </w:p>
    <w:p>
      <w:pPr>
        <w:spacing w:after="0" w:before="0"/>
      </w:pPr>
      <w:r>
        <w:rPr>
          <w:rFonts w:ascii="Courier New" w:hAnsi="Courier New"/>
          <w:sz w:val="18"/>
        </w:rPr>
        <w:t>EU_COUNTRIES = ['Spain', 'France', 'Germany', 'Italy', ...]</w:t>
      </w:r>
    </w:p>
    <w:p>
      <w:pPr>
        <w:spacing w:after="0" w:before="0"/>
      </w:pPr>
      <w:r>
        <w:rPr>
          <w:rFonts w:ascii="Courier New" w:hAnsi="Courier New"/>
          <w:sz w:val="18"/>
        </w:rPr>
      </w:r>
    </w:p>
    <w:p>
      <w:pPr>
        <w:spacing w:after="0" w:before="0"/>
      </w:pPr>
      <w:r>
        <w:rPr>
          <w:rFonts w:ascii="Courier New" w:hAnsi="Courier New"/>
          <w:sz w:val="18"/>
        </w:rPr>
        <w:t>df = pd.read_csv('data/raw/who_flunet_global.csv', low_memory=False)</w:t>
      </w:r>
    </w:p>
    <w:p>
      <w:pPr>
        <w:spacing w:after="0" w:before="0"/>
      </w:pPr>
      <w:r>
        <w:rPr>
          <w:rFonts w:ascii="Courier New" w:hAnsi="Courier New"/>
          <w:sz w:val="18"/>
        </w:rPr>
        <w:t>au = df[df['COUNTRY_AREA_TERRITORY'] == AUSTRALIA]</w:t>
      </w:r>
    </w:p>
    <w:p>
      <w:pPr>
        <w:spacing w:after="0" w:before="0"/>
      </w:pPr>
      <w:r>
        <w:rPr>
          <w:rFonts w:ascii="Courier New" w:hAnsi="Courier New"/>
          <w:sz w:val="18"/>
        </w:rPr>
        <w:t>eu = df[df['COUNTRY_AREA_TERRITORY'].isin(EU_COUNTRIES)]</w:t>
      </w:r>
    </w:p>
    <w:p>
      <w:pPr>
        <w:spacing w:after="0" w:before="0"/>
      </w:pPr>
      <w:r>
        <w:rPr>
          <w:rFonts w:ascii="Courier New" w:hAnsi="Courier New"/>
          <w:sz w:val="18"/>
        </w:rPr>
      </w:r>
    </w:p>
    <w:p>
      <w:pPr>
        <w:spacing w:after="0" w:before="0"/>
      </w:pPr>
      <w:r>
        <w:rPr>
          <w:rFonts w:ascii="Courier New" w:hAnsi="Courier New"/>
          <w:sz w:val="18"/>
        </w:rPr>
        <w:t># Aggregate by ISO week</w:t>
      </w:r>
    </w:p>
    <w:p>
      <w:pPr>
        <w:spacing w:after="0" w:before="0"/>
      </w:pPr>
      <w:r>
        <w:rPr>
          <w:rFonts w:ascii="Courier New" w:hAnsi="Courier New"/>
          <w:sz w:val="18"/>
        </w:rPr>
        <w:t>au_weekly = (au.groupby(['ISO_YEAR','ISO_WEEK'])['INF_ALL']</w:t>
      </w:r>
    </w:p>
    <w:p>
      <w:pPr>
        <w:spacing w:after="0" w:before="0"/>
      </w:pPr>
      <w:r>
        <w:rPr>
          <w:rFonts w:ascii="Courier New" w:hAnsi="Courier New"/>
          <w:sz w:val="18"/>
        </w:rPr>
        <w:t xml:space="preserve">               .sum().reset_index())</w:t>
      </w:r>
    </w:p>
    <w:p>
      <w:pPr>
        <w:spacing w:after="0" w:before="0"/>
      </w:pPr>
      <w:r>
        <w:rPr>
          <w:rFonts w:ascii="Courier New" w:hAnsi="Courier New"/>
          <w:sz w:val="18"/>
        </w:rPr>
        <w:t>au_weekly['iso_date'] = pd.to_datetime(</w:t>
      </w:r>
    </w:p>
    <w:p>
      <w:pPr>
        <w:spacing w:after="0" w:before="0"/>
      </w:pPr>
      <w:r>
        <w:rPr>
          <w:rFonts w:ascii="Courier New" w:hAnsi="Courier New"/>
          <w:sz w:val="18"/>
        </w:rPr>
        <w:t xml:space="preserve">    au_weekly['ISO_YEAR'].astype(str) + '-W' +</w:t>
      </w:r>
    </w:p>
    <w:p>
      <w:pPr>
        <w:spacing w:after="0" w:before="0"/>
      </w:pPr>
      <w:r>
        <w:rPr>
          <w:rFonts w:ascii="Courier New" w:hAnsi="Courier New"/>
          <w:sz w:val="18"/>
        </w:rPr>
        <w:t xml:space="preserve">    au_weekly['ISO_WEEK'].astype(str).str.zfill(2) + '-1',</w:t>
      </w:r>
    </w:p>
    <w:p>
      <w:pPr>
        <w:spacing w:after="0" w:before="0"/>
      </w:pPr>
      <w:r>
        <w:rPr>
          <w:rFonts w:ascii="Courier New" w:hAnsi="Courier New"/>
          <w:sz w:val="18"/>
        </w:rPr>
        <w:t xml:space="preserve">    format='%G-W%V-%u')</w:t>
      </w:r>
    </w:p>
    <w:p>
      <w:pPr>
        <w:spacing w:after="0" w:before="0"/>
      </w:pPr>
      <w:r>
        <w:rPr>
          <w:rFonts w:ascii="Courier New" w:hAnsi="Courier New"/>
          <w:sz w:val="18"/>
        </w:rPr>
        <w:t>au_weekly.to_csv('data/processed/flunet_australia.csv', index=False)</w:t>
      </w:r>
    </w:p>
    <w:p/>
    <w:p>
      <w:pPr>
        <w:pStyle w:val="Heading3"/>
      </w:pPr>
      <w:r>
        <w:rPr>
          <w:b/>
          <w:color w:val="2E75B6"/>
          <w:sz w:val="24"/>
        </w:rPr>
        <w:t>A.2 — PBS Australia Cleaning</w:t>
      </w:r>
    </w:p>
    <w:p>
      <w:pPr>
        <w:spacing w:after="0" w:before="0"/>
      </w:pPr>
      <w:r>
        <w:rPr>
          <w:rFonts w:ascii="Courier New" w:hAnsi="Courier New"/>
          <w:sz w:val="18"/>
        </w:rPr>
        <w:t># 04_clean_pbs_australia.py</w:t>
      </w:r>
    </w:p>
    <w:p>
      <w:pPr>
        <w:spacing w:after="0" w:before="0"/>
      </w:pPr>
      <w:r>
        <w:rPr>
          <w:rFonts w:ascii="Courier New" w:hAnsi="Courier New"/>
          <w:sz w:val="18"/>
        </w:rPr>
        <w:t>import pandas as pd</w:t>
      </w:r>
    </w:p>
    <w:p>
      <w:pPr>
        <w:spacing w:after="0" w:before="0"/>
      </w:pPr>
      <w:r>
        <w:rPr>
          <w:rFonts w:ascii="Courier New" w:hAnsi="Courier New"/>
          <w:sz w:val="18"/>
        </w:rPr>
      </w:r>
    </w:p>
    <w:p>
      <w:pPr>
        <w:spacing w:after="0" w:before="0"/>
      </w:pPr>
      <w:r>
        <w:rPr>
          <w:rFonts w:ascii="Courier New" w:hAnsi="Courier New"/>
          <w:sz w:val="18"/>
        </w:rPr>
        <w:t># Load ATC drug map</w:t>
      </w:r>
    </w:p>
    <w:p>
      <w:pPr>
        <w:spacing w:after="0" w:before="0"/>
      </w:pPr>
      <w:r>
        <w:rPr>
          <w:rFonts w:ascii="Courier New" w:hAnsi="Courier New"/>
          <w:sz w:val="18"/>
        </w:rPr>
        <w:t>drug_map = pd.read_csv('data/raw/pbs_item_drug_map.csv', encoding='latin-1',</w:t>
      </w:r>
    </w:p>
    <w:p>
      <w:pPr>
        <w:spacing w:after="0" w:before="0"/>
      </w:pPr>
      <w:r>
        <w:rPr>
          <w:rFonts w:ascii="Courier New" w:hAnsi="Courier New"/>
          <w:sz w:val="18"/>
        </w:rPr>
        <w:t xml:space="preserve">                        usecols=['ITEM_CODE','DRUG_NAME','ATC5_Code'])</w:t>
      </w:r>
    </w:p>
    <w:p>
      <w:pPr>
        <w:spacing w:after="0" w:before="0"/>
      </w:pPr>
      <w:r>
        <w:rPr>
          <w:rFonts w:ascii="Courier New" w:hAnsi="Courier New"/>
          <w:sz w:val="18"/>
        </w:rPr>
        <w:t>drug_map['ATC5_Code'] = drug_map['ATC5_Code'].astype(str).str.strip()</w:t>
      </w:r>
    </w:p>
    <w:p>
      <w:pPr>
        <w:spacing w:after="0" w:before="0"/>
      </w:pPr>
      <w:r>
        <w:rPr>
          <w:rFonts w:ascii="Courier New" w:hAnsi="Courier New"/>
          <w:sz w:val="18"/>
        </w:rPr>
        <w:t>respiratory = drug_map[</w:t>
      </w:r>
    </w:p>
    <w:p>
      <w:pPr>
        <w:spacing w:after="0" w:before="0"/>
      </w:pPr>
      <w:r>
        <w:rPr>
          <w:rFonts w:ascii="Courier New" w:hAnsi="Courier New"/>
          <w:sz w:val="18"/>
        </w:rPr>
        <w:t xml:space="preserve">    drug_map['ATC5_Code'].str.startswith('R03') |</w:t>
      </w:r>
    </w:p>
    <w:p>
      <w:pPr>
        <w:spacing w:after="0" w:before="0"/>
      </w:pPr>
      <w:r>
        <w:rPr>
          <w:rFonts w:ascii="Courier New" w:hAnsi="Courier New"/>
          <w:sz w:val="18"/>
        </w:rPr>
        <w:t xml:space="preserve">    drug_map['ATC5_Code'].str.startswith('R06')]</w:t>
      </w:r>
    </w:p>
    <w:p>
      <w:pPr>
        <w:spacing w:after="0" w:before="0"/>
      </w:pPr>
      <w:r>
        <w:rPr>
          <w:rFonts w:ascii="Courier New" w:hAnsi="Courier New"/>
          <w:sz w:val="18"/>
        </w:rPr>
        <w:t>respiratory['atc_group'] = respiratory['ATC5_Code'].str[:3]</w:t>
      </w:r>
    </w:p>
    <w:p>
      <w:pPr>
        <w:spacing w:after="0" w:before="0"/>
      </w:pPr>
      <w:r>
        <w:rPr>
          <w:rFonts w:ascii="Courier New" w:hAnsi="Courier New"/>
          <w:sz w:val="18"/>
        </w:rPr>
        <w:t># Result: 388 item codes (R03=368, R06=20)</w:t>
      </w:r>
    </w:p>
    <w:p>
      <w:pPr>
        <w:spacing w:after="0" w:before="0"/>
      </w:pPr>
      <w:r>
        <w:rPr>
          <w:rFonts w:ascii="Courier New" w:hAnsi="Courier New"/>
          <w:sz w:val="18"/>
        </w:rPr>
      </w:r>
    </w:p>
    <w:p>
      <w:pPr>
        <w:spacing w:after="0" w:before="0"/>
      </w:pPr>
      <w:r>
        <w:rPr>
          <w:rFonts w:ascii="Courier New" w:hAnsi="Courier New"/>
          <w:sz w:val="18"/>
        </w:rPr>
        <w:t># Load PBS CSV files (2020-2024)</w:t>
      </w:r>
    </w:p>
    <w:p>
      <w:pPr>
        <w:spacing w:after="0" w:before="0"/>
      </w:pPr>
      <w:r>
        <w:rPr>
          <w:rFonts w:ascii="Courier New" w:hAnsi="Courier New"/>
          <w:sz w:val="18"/>
        </w:rPr>
        <w:t>dfs = []</w:t>
      </w:r>
    </w:p>
    <w:p>
      <w:pPr>
        <w:spacing w:after="0" w:before="0"/>
      </w:pPr>
      <w:r>
        <w:rPr>
          <w:rFonts w:ascii="Courier New" w:hAnsi="Courier New"/>
          <w:sz w:val="18"/>
        </w:rPr>
        <w:t>for f in ['pbs_2020_2021.csv','pbs_2021_2022.csv',</w:t>
      </w:r>
    </w:p>
    <w:p>
      <w:pPr>
        <w:spacing w:after="0" w:before="0"/>
      </w:pPr>
      <w:r>
        <w:rPr>
          <w:rFonts w:ascii="Courier New" w:hAnsi="Courier New"/>
          <w:sz w:val="18"/>
        </w:rPr>
        <w:t xml:space="preserve">          'pbs_2022_2023.csv','pbs_2023_2024.csv']:</w:t>
      </w:r>
    </w:p>
    <w:p>
      <w:pPr>
        <w:spacing w:after="0" w:before="0"/>
      </w:pPr>
      <w:r>
        <w:rPr>
          <w:rFonts w:ascii="Courier New" w:hAnsi="Courier New"/>
          <w:sz w:val="18"/>
        </w:rPr>
        <w:t xml:space="preserve">    df = pd.read_csv(f'data/raw/{f}',</w:t>
      </w:r>
    </w:p>
    <w:p>
      <w:pPr>
        <w:spacing w:after="0" w:before="0"/>
      </w:pPr>
      <w:r>
        <w:rPr>
          <w:rFonts w:ascii="Courier New" w:hAnsi="Courier New"/>
          <w:sz w:val="18"/>
        </w:rPr>
        <w:t xml:space="preserve">         usecols=['MONTH_OF_SUPPLY','ITEM_CODE','PRESCRIPTIONS'],</w:t>
      </w:r>
    </w:p>
    <w:p>
      <w:pPr>
        <w:spacing w:after="0" w:before="0"/>
      </w:pPr>
      <w:r>
        <w:rPr>
          <w:rFonts w:ascii="Courier New" w:hAnsi="Courier New"/>
          <w:sz w:val="18"/>
        </w:rPr>
        <w:t xml:space="preserve">         dtype={'ITEM_CODE': str, 'MONTH_OF_SUPPLY': str})</w:t>
      </w:r>
    </w:p>
    <w:p>
      <w:pPr>
        <w:spacing w:after="0" w:before="0"/>
      </w:pPr>
      <w:r>
        <w:rPr>
          <w:rFonts w:ascii="Courier New" w:hAnsi="Courier New"/>
          <w:sz w:val="18"/>
        </w:rPr>
        <w:t xml:space="preserve">    df = df[df['ITEM_CODE'].isin(set(respiratory['ITEM_CODE']))]</w:t>
      </w:r>
    </w:p>
    <w:p>
      <w:pPr>
        <w:spacing w:after="0" w:before="0"/>
      </w:pPr>
      <w:r>
        <w:rPr>
          <w:rFonts w:ascii="Courier New" w:hAnsi="Courier New"/>
          <w:sz w:val="18"/>
        </w:rPr>
        <w:t xml:space="preserve">    dfs.append(df)</w:t>
      </w:r>
    </w:p>
    <w:p>
      <w:pPr>
        <w:spacing w:after="0" w:before="0"/>
      </w:pPr>
      <w:r>
        <w:rPr>
          <w:rFonts w:ascii="Courier New" w:hAnsi="Courier New"/>
          <w:sz w:val="18"/>
        </w:rPr>
        <w:t># 50,979 rows across 48 months</w:t>
      </w:r>
    </w:p>
    <w:p>
      <w:pPr>
        <w:spacing w:after="0" w:before="0"/>
      </w:pPr>
      <w:r>
        <w:rPr>
          <w:rFonts w:ascii="Courier New" w:hAnsi="Courier New"/>
          <w:sz w:val="18"/>
        </w:rPr>
        <w:t>pbs = pd.concat(dfs).merge(respiratory, on='ITEM_CODE')</w:t>
      </w:r>
    </w:p>
    <w:p>
      <w:pPr>
        <w:spacing w:after="0" w:before="0"/>
      </w:pPr>
      <w:r>
        <w:rPr>
          <w:rFonts w:ascii="Courier New" w:hAnsi="Courier New"/>
          <w:sz w:val="18"/>
        </w:rPr>
        <w:t>pbs['month_date'] = pd.to_datetime(pbs['MONTH_OF_SUPPLY'], format='%Y%m')</w:t>
      </w:r>
    </w:p>
    <w:p>
      <w:pPr>
        <w:spacing w:after="0" w:before="0"/>
      </w:pPr>
      <w:r>
        <w:rPr>
          <w:rFonts w:ascii="Courier New" w:hAnsi="Courier New"/>
          <w:sz w:val="18"/>
        </w:rPr>
        <w:t>monthly = pbs.groupby(['month_date','atc_group'])['PRESCRIPTIONS'].sum()</w:t>
      </w:r>
    </w:p>
    <w:p/>
    <w:p>
      <w:pPr>
        <w:pStyle w:val="Heading3"/>
      </w:pPr>
      <w:r>
        <w:rPr>
          <w:b/>
          <w:color w:val="2E75B6"/>
          <w:sz w:val="24"/>
        </w:rPr>
        <w:t>A.3 — Dataset Integration and Lag Engineering</w:t>
      </w:r>
    </w:p>
    <w:p>
      <w:pPr>
        <w:spacing w:after="0" w:before="0"/>
      </w:pPr>
      <w:r>
        <w:rPr>
          <w:rFonts w:ascii="Courier New" w:hAnsi="Courier New"/>
          <w:sz w:val="18"/>
        </w:rPr>
        <w:t># 05_integrate_datasets.py</w:t>
      </w:r>
    </w:p>
    <w:p>
      <w:pPr>
        <w:spacing w:after="0" w:before="0"/>
      </w:pPr>
      <w:r>
        <w:rPr>
          <w:rFonts w:ascii="Courier New" w:hAnsi="Courier New"/>
          <w:sz w:val="18"/>
        </w:rPr>
        <w:t>LEAD_WEEKS = 26</w:t>
      </w:r>
    </w:p>
    <w:p>
      <w:pPr>
        <w:spacing w:after="0" w:before="0"/>
      </w:pPr>
      <w:r>
        <w:rPr>
          <w:rFonts w:ascii="Courier New" w:hAnsi="Courier New"/>
          <w:sz w:val="18"/>
        </w:rPr>
      </w:r>
    </w:p>
    <w:p>
      <w:pPr>
        <w:spacing w:after="0" w:before="0"/>
      </w:pPr>
      <w:r>
        <w:rPr>
          <w:rFonts w:ascii="Courier New" w:hAnsi="Courier New"/>
          <w:sz w:val="18"/>
        </w:rPr>
        <w:t># Load base (European sales, 2014-2019)</w:t>
      </w:r>
    </w:p>
    <w:p>
      <w:pPr>
        <w:spacing w:after="0" w:before="0"/>
      </w:pPr>
      <w:r>
        <w:rPr>
          <w:rFonts w:ascii="Courier New" w:hAnsi="Courier New"/>
          <w:sz w:val="18"/>
        </w:rPr>
        <w:t>eu = pd.read_csv('data/processed/european_pharma_weekly.csv',</w:t>
      </w:r>
    </w:p>
    <w:p>
      <w:pPr>
        <w:spacing w:after="0" w:before="0"/>
      </w:pPr>
      <w:r>
        <w:rPr>
          <w:rFonts w:ascii="Courier New" w:hAnsi="Courier New"/>
          <w:sz w:val="18"/>
        </w:rPr>
        <w:t xml:space="preserve">                 parse_dates=['week_date'], index_col='week_date')</w:t>
      </w:r>
    </w:p>
    <w:p>
      <w:pPr>
        <w:spacing w:after="0" w:before="0"/>
      </w:pPr>
      <w:r>
        <w:rPr>
          <w:rFonts w:ascii="Courier New" w:hAnsi="Courier New"/>
          <w:sz w:val="18"/>
        </w:rPr>
      </w:r>
    </w:p>
    <w:p>
      <w:pPr>
        <w:spacing w:after="0" w:before="0"/>
      </w:pPr>
      <w:r>
        <w:rPr>
          <w:rFonts w:ascii="Courier New" w:hAnsi="Courier New"/>
          <w:sz w:val="18"/>
        </w:rPr>
        <w:t># Load and apply REAL 26-week lag to Australian FluNet signal</w:t>
      </w:r>
    </w:p>
    <w:p>
      <w:pPr>
        <w:spacing w:after="0" w:before="0"/>
      </w:pPr>
      <w:r>
        <w:rPr>
          <w:rFonts w:ascii="Courier New" w:hAnsi="Courier New"/>
          <w:sz w:val="18"/>
        </w:rPr>
        <w:t>flu_au = pd.read_csv('data/processed/flunet_australia.csv',</w:t>
      </w:r>
    </w:p>
    <w:p>
      <w:pPr>
        <w:spacing w:after="0" w:before="0"/>
      </w:pPr>
      <w:r>
        <w:rPr>
          <w:rFonts w:ascii="Courier New" w:hAnsi="Courier New"/>
          <w:sz w:val="18"/>
        </w:rPr>
        <w:t xml:space="preserve">                      parse_dates=['iso_date']).set_index('iso_date')</w:t>
      </w:r>
    </w:p>
    <w:p>
      <w:pPr>
        <w:spacing w:after="0" w:before="0"/>
      </w:pPr>
      <w:r>
        <w:rPr>
          <w:rFonts w:ascii="Courier New" w:hAnsi="Courier New"/>
          <w:sz w:val="18"/>
        </w:rPr>
        <w:t>flu_au_w = flu_au[['INF_ALL']].rename(columns={'INF_ALL':'flu_au_positives'})</w:t>
      </w:r>
    </w:p>
    <w:p>
      <w:pPr>
        <w:spacing w:after="0" w:before="0"/>
      </w:pPr>
      <w:r>
        <w:rPr>
          <w:rFonts w:ascii="Courier New" w:hAnsi="Courier New"/>
          <w:sz w:val="18"/>
        </w:rPr>
        <w:t>flu_au_w = flu_au_w.resample('W-SUN').sum()</w:t>
      </w:r>
    </w:p>
    <w:p>
      <w:pPr>
        <w:spacing w:after="0" w:before="0"/>
      </w:pPr>
      <w:r>
        <w:rPr>
          <w:rFonts w:ascii="Courier New" w:hAnsi="Courier New"/>
          <w:sz w:val="18"/>
        </w:rPr>
        <w:t>flu_au_w['flu_au_lagged'] = flu_au_w['flu_au_positives'].shift(LEAD_WEEKS)</w:t>
      </w:r>
    </w:p>
    <w:p>
      <w:pPr>
        <w:spacing w:after="0" w:before="0"/>
      </w:pPr>
      <w:r>
        <w:rPr>
          <w:rFonts w:ascii="Courier New" w:hAnsi="Courier New"/>
          <w:sz w:val="18"/>
        </w:rPr>
      </w:r>
    </w:p>
    <w:p>
      <w:pPr>
        <w:spacing w:after="0" w:before="0"/>
      </w:pPr>
      <w:r>
        <w:rPr>
          <w:rFonts w:ascii="Courier New" w:hAnsi="Courier New"/>
          <w:sz w:val="18"/>
        </w:rPr>
        <w:t># Merge all sources on European weekly index (left join)</w:t>
      </w:r>
    </w:p>
    <w:p>
      <w:pPr>
        <w:spacing w:after="0" w:before="0"/>
      </w:pPr>
      <w:r>
        <w:rPr>
          <w:rFonts w:ascii="Courier New" w:hAnsi="Courier New"/>
          <w:sz w:val="18"/>
        </w:rPr>
        <w:t>integrated = eu.join(flu_au_w, how='left')</w:t>
      </w:r>
    </w:p>
    <w:p>
      <w:pPr>
        <w:spacing w:after="0" w:before="0"/>
      </w:pPr>
      <w:r>
        <w:rPr>
          <w:rFonts w:ascii="Courier New" w:hAnsi="Courier New"/>
          <w:sz w:val="18"/>
        </w:rPr>
      </w:r>
    </w:p>
    <w:p>
      <w:pPr>
        <w:spacing w:after="0" w:before="0"/>
      </w:pPr>
      <w:r>
        <w:rPr>
          <w:rFonts w:ascii="Courier New" w:hAnsi="Courier New"/>
          <w:sz w:val="18"/>
        </w:rPr>
        <w:t># Autoregressive features</w:t>
      </w:r>
    </w:p>
    <w:p>
      <w:pPr>
        <w:spacing w:after="0" w:before="0"/>
      </w:pPr>
      <w:r>
        <w:rPr>
          <w:rFonts w:ascii="Courier New" w:hAnsi="Courier New"/>
          <w:sz w:val="18"/>
        </w:rPr>
        <w:t>integrated['R03_lag1']     = integrated['R03'].shift(1)</w:t>
      </w:r>
    </w:p>
    <w:p>
      <w:pPr>
        <w:spacing w:after="0" w:before="0"/>
      </w:pPr>
      <w:r>
        <w:rPr>
          <w:rFonts w:ascii="Courier New" w:hAnsi="Courier New"/>
          <w:sz w:val="18"/>
        </w:rPr>
        <w:t>integrated['R03_lag4_avg'] = integrated['R03'].shift(1).rolling(4).mean()</w:t>
      </w:r>
    </w:p>
    <w:p>
      <w:pPr>
        <w:spacing w:after="0" w:before="0"/>
      </w:pPr>
      <w:r>
        <w:rPr>
          <w:rFonts w:ascii="Courier New" w:hAnsi="Courier New"/>
          <w:sz w:val="18"/>
        </w:rPr>
        <w:t>integrated = integrated.dropna()</w:t>
      </w:r>
    </w:p>
    <w:p>
      <w:pPr>
        <w:spacing w:after="0" w:before="0"/>
      </w:pPr>
      <w:r>
        <w:rPr>
          <w:rFonts w:ascii="Courier New" w:hAnsi="Courier New"/>
          <w:sz w:val="18"/>
        </w:rPr>
        <w:t># Result: 298 weeks of fully integrated data</w:t>
      </w:r>
    </w:p>
    <w:p/>
    <w:p>
      <w:pPr>
        <w:pStyle w:val="Heading3"/>
      </w:pPr>
      <w:r>
        <w:rPr>
          <w:b/>
          <w:color w:val="2E75B6"/>
          <w:sz w:val="24"/>
        </w:rPr>
        <w:t>A.4 — Cross-Correlation Validation</w:t>
      </w:r>
    </w:p>
    <w:p>
      <w:pPr>
        <w:spacing w:after="0" w:before="0"/>
      </w:pPr>
      <w:r>
        <w:rPr>
          <w:rFonts w:ascii="Courier New" w:hAnsi="Courier New"/>
          <w:sz w:val="18"/>
        </w:rPr>
        <w:t># 06_validate_lead_lag.py</w:t>
      </w:r>
    </w:p>
    <w:p>
      <w:pPr>
        <w:spacing w:after="0" w:before="0"/>
      </w:pPr>
      <w:r>
        <w:rPr>
          <w:rFonts w:ascii="Courier New" w:hAnsi="Courier New"/>
          <w:sz w:val="18"/>
        </w:rPr>
        <w:t>def cross_correlation(series_a, series_b, max_lag=52):</w:t>
      </w:r>
    </w:p>
    <w:p>
      <w:pPr>
        <w:spacing w:after="0" w:before="0"/>
      </w:pPr>
      <w:r>
        <w:rPr>
          <w:rFonts w:ascii="Courier New" w:hAnsi="Courier New"/>
          <w:sz w:val="18"/>
        </w:rPr>
        <w:t xml:space="preserve">    a, b = series_a.values, series_b.values</w:t>
      </w:r>
    </w:p>
    <w:p>
      <w:pPr>
        <w:spacing w:after="0" w:before="0"/>
      </w:pPr>
      <w:r>
        <w:rPr>
          <w:rFonts w:ascii="Courier New" w:hAnsi="Courier New"/>
          <w:sz w:val="18"/>
        </w:rPr>
        <w:t xml:space="preserve">    results = {}</w:t>
      </w:r>
    </w:p>
    <w:p>
      <w:pPr>
        <w:spacing w:after="0" w:before="0"/>
      </w:pPr>
      <w:r>
        <w:rPr>
          <w:rFonts w:ascii="Courier New" w:hAnsi="Courier New"/>
          <w:sz w:val="18"/>
        </w:rPr>
        <w:t xml:space="preserve">    for lag in range(-max_lag, max_lag + 1):</w:t>
      </w:r>
    </w:p>
    <w:p>
      <w:pPr>
        <w:spacing w:after="0" w:before="0"/>
      </w:pPr>
      <w:r>
        <w:rPr>
          <w:rFonts w:ascii="Courier New" w:hAnsi="Courier New"/>
          <w:sz w:val="18"/>
        </w:rPr>
        <w:t xml:space="preserve">        if lag &gt; 0:   corr = np.corrcoef(a[lag:],  b[:-lag])[0,1]</w:t>
      </w:r>
    </w:p>
    <w:p>
      <w:pPr>
        <w:spacing w:after="0" w:before="0"/>
      </w:pPr>
      <w:r>
        <w:rPr>
          <w:rFonts w:ascii="Courier New" w:hAnsi="Courier New"/>
          <w:sz w:val="18"/>
        </w:rPr>
        <w:t xml:space="preserve">        elif lag &lt; 0: corr = np.corrcoef(a[:lag],  b[-lag:])[0,1]</w:t>
      </w:r>
    </w:p>
    <w:p>
      <w:pPr>
        <w:spacing w:after="0" w:before="0"/>
      </w:pPr>
      <w:r>
        <w:rPr>
          <w:rFonts w:ascii="Courier New" w:hAnsi="Courier New"/>
          <w:sz w:val="18"/>
        </w:rPr>
        <w:t xml:space="preserve">        else:         corr = np.corrcoef(a, b)[0,1]</w:t>
      </w:r>
    </w:p>
    <w:p>
      <w:pPr>
        <w:spacing w:after="0" w:before="0"/>
      </w:pPr>
      <w:r>
        <w:rPr>
          <w:rFonts w:ascii="Courier New" w:hAnsi="Courier New"/>
          <w:sz w:val="18"/>
        </w:rPr>
        <w:t xml:space="preserve">        if not np.isnan(corr): results[lag] = corr</w:t>
      </w:r>
    </w:p>
    <w:p>
      <w:pPr>
        <w:spacing w:after="0" w:before="0"/>
      </w:pPr>
      <w:r>
        <w:rPr>
          <w:rFonts w:ascii="Courier New" w:hAnsi="Courier New"/>
          <w:sz w:val="18"/>
        </w:rPr>
        <w:t xml:space="preserve">    return results</w:t>
      </w:r>
    </w:p>
    <w:p>
      <w:pPr>
        <w:spacing w:after="0" w:before="0"/>
      </w:pPr>
      <w:r>
        <w:rPr>
          <w:rFonts w:ascii="Courier New" w:hAnsi="Courier New"/>
          <w:sz w:val="18"/>
        </w:rPr>
      </w:r>
    </w:p>
    <w:p>
      <w:pPr>
        <w:spacing w:after="0" w:before="0"/>
      </w:pPr>
      <w:r>
        <w:rPr>
          <w:rFonts w:ascii="Courier New" w:hAnsi="Courier New"/>
          <w:sz w:val="18"/>
        </w:rPr>
        <w:t>cc       = cross_correlation(au_aligned, eu_aligned, max_lag=52)</w:t>
      </w:r>
    </w:p>
    <w:p>
      <w:pPr>
        <w:spacing w:after="0" w:before="0"/>
      </w:pPr>
      <w:r>
        <w:rPr>
          <w:rFonts w:ascii="Courier New" w:hAnsi="Courier New"/>
          <w:sz w:val="18"/>
        </w:rPr>
        <w:t>best_lag = max(cc, key=cc.get)   # -28 weeks</w:t>
      </w:r>
    </w:p>
    <w:p>
      <w:pPr>
        <w:spacing w:after="0" w:before="0"/>
      </w:pPr>
      <w:r>
        <w:rPr>
          <w:rFonts w:ascii="Courier New" w:hAnsi="Courier New"/>
          <w:sz w:val="18"/>
        </w:rPr>
        <w:t># cc[-28] = 0.6997</w:t>
      </w:r>
    </w:p>
    <w:p>
      <w:pPr>
        <w:spacing w:after="0" w:before="0"/>
      </w:pPr>
      <w:r>
        <w:rPr>
          <w:rFonts w:ascii="Courier New" w:hAnsi="Courier New"/>
          <w:sz w:val="18"/>
        </w:rPr>
        <w:t># cc[-26] = 0.5580</w:t>
      </w:r>
    </w:p>
    <w:p>
      <w:pPr>
        <w:spacing w:after="0" w:before="0"/>
      </w:pPr>
      <w:r>
        <w:rPr>
          <w:rFonts w:ascii="Courier New" w:hAnsi="Courier New"/>
          <w:sz w:val="18"/>
        </w:rPr>
        <w:t># cc[0]   = 0.0085</w:t>
      </w:r>
    </w:p>
    <w:p/>
    <w:p>
      <w:pPr>
        <w:pStyle w:val="Heading3"/>
      </w:pPr>
      <w:r>
        <w:rPr>
          <w:b/>
          <w:color w:val="2E75B6"/>
          <w:sz w:val="24"/>
        </w:rPr>
        <w:t>A.5 — XGBoost Model Training</w:t>
      </w:r>
    </w:p>
    <w:p>
      <w:pPr>
        <w:spacing w:after="0" w:before="0"/>
      </w:pPr>
      <w:r>
        <w:rPr>
          <w:rFonts w:ascii="Courier New" w:hAnsi="Courier New"/>
          <w:sz w:val="18"/>
        </w:rPr>
        <w:t># 07_model_xgboost.py</w:t>
      </w:r>
    </w:p>
    <w:p>
      <w:pPr>
        <w:spacing w:after="0" w:before="0"/>
      </w:pPr>
      <w:r>
        <w:rPr>
          <w:rFonts w:ascii="Courier New" w:hAnsi="Courier New"/>
          <w:sz w:val="18"/>
        </w:rPr>
        <w:t>import xgboost as xgb</w:t>
      </w:r>
    </w:p>
    <w:p>
      <w:pPr>
        <w:spacing w:after="0" w:before="0"/>
      </w:pPr>
      <w:r>
        <w:rPr>
          <w:rFonts w:ascii="Courier New" w:hAnsi="Courier New"/>
          <w:sz w:val="18"/>
        </w:rPr>
        <w:t>from sklearn.metrics import mean_absolute_error, mean_squared_error, r2_score</w:t>
      </w:r>
    </w:p>
    <w:p>
      <w:pPr>
        <w:spacing w:after="0" w:before="0"/>
      </w:pPr>
      <w:r>
        <w:rPr>
          <w:rFonts w:ascii="Courier New" w:hAnsi="Courier New"/>
          <w:sz w:val="18"/>
        </w:rPr>
      </w:r>
    </w:p>
    <w:p>
      <w:pPr>
        <w:spacing w:after="0" w:before="0"/>
      </w:pPr>
      <w:r>
        <w:rPr>
          <w:rFonts w:ascii="Courier New" w:hAnsi="Courier New"/>
          <w:sz w:val="18"/>
        </w:rPr>
        <w:t>features = ['R03_lag1', 'R03_lag4_avg',</w:t>
      </w:r>
    </w:p>
    <w:p>
      <w:pPr>
        <w:spacing w:after="0" w:before="0"/>
      </w:pPr>
      <w:r>
        <w:rPr>
          <w:rFonts w:ascii="Courier New" w:hAnsi="Courier New"/>
          <w:sz w:val="18"/>
        </w:rPr>
        <w:t xml:space="preserve">            'flu_au_positives', 'flu_au_lagged', 'flu_eu_positives']</w:t>
      </w:r>
    </w:p>
    <w:p>
      <w:pPr>
        <w:spacing w:after="0" w:before="0"/>
      </w:pPr>
      <w:r>
        <w:rPr>
          <w:rFonts w:ascii="Courier New" w:hAnsi="Courier New"/>
          <w:sz w:val="18"/>
        </w:rPr>
      </w:r>
    </w:p>
    <w:p>
      <w:pPr>
        <w:spacing w:after="0" w:before="0"/>
      </w:pPr>
      <w:r>
        <w:rPr>
          <w:rFonts w:ascii="Courier New" w:hAnsi="Courier New"/>
          <w:sz w:val="18"/>
        </w:rPr>
        <w:t>split    = int(len(df) * 0.8)   # 80/20 chronological split</w:t>
      </w:r>
    </w:p>
    <w:p>
      <w:pPr>
        <w:spacing w:after="0" w:before="0"/>
      </w:pPr>
      <w:r>
        <w:rPr>
          <w:rFonts w:ascii="Courier New" w:hAnsi="Courier New"/>
          <w:sz w:val="18"/>
        </w:rPr>
        <w:t>X_train  = df.iloc[:split][features]</w:t>
      </w:r>
    </w:p>
    <w:p>
      <w:pPr>
        <w:spacing w:after="0" w:before="0"/>
      </w:pPr>
      <w:r>
        <w:rPr>
          <w:rFonts w:ascii="Courier New" w:hAnsi="Courier New"/>
          <w:sz w:val="18"/>
        </w:rPr>
        <w:t>X_test   = df.iloc[split:][features]</w:t>
      </w:r>
    </w:p>
    <w:p>
      <w:pPr>
        <w:spacing w:after="0" w:before="0"/>
      </w:pPr>
      <w:r>
        <w:rPr>
          <w:rFonts w:ascii="Courier New" w:hAnsi="Courier New"/>
          <w:sz w:val="18"/>
        </w:rPr>
        <w:t>y_train  = df.iloc[:split]['R03']</w:t>
      </w:r>
    </w:p>
    <w:p>
      <w:pPr>
        <w:spacing w:after="0" w:before="0"/>
      </w:pPr>
      <w:r>
        <w:rPr>
          <w:rFonts w:ascii="Courier New" w:hAnsi="Courier New"/>
          <w:sz w:val="18"/>
        </w:rPr>
        <w:t>y_test   = df.iloc[split:]['R03']</w:t>
      </w:r>
    </w:p>
    <w:p>
      <w:pPr>
        <w:spacing w:after="0" w:before="0"/>
      </w:pPr>
      <w:r>
        <w:rPr>
          <w:rFonts w:ascii="Courier New" w:hAnsi="Courier New"/>
          <w:sz w:val="18"/>
        </w:rPr>
      </w:r>
    </w:p>
    <w:p>
      <w:pPr>
        <w:spacing w:after="0" w:before="0"/>
      </w:pPr>
      <w:r>
        <w:rPr>
          <w:rFonts w:ascii="Courier New" w:hAnsi="Courier New"/>
          <w:sz w:val="18"/>
        </w:rPr>
        <w:t>model = xgb.XGBRegressor(</w:t>
      </w:r>
    </w:p>
    <w:p>
      <w:pPr>
        <w:spacing w:after="0" w:before="0"/>
      </w:pPr>
      <w:r>
        <w:rPr>
          <w:rFonts w:ascii="Courier New" w:hAnsi="Courier New"/>
          <w:sz w:val="18"/>
        </w:rPr>
        <w:t xml:space="preserve">    objective='reg:squarederror',</w:t>
      </w:r>
    </w:p>
    <w:p>
      <w:pPr>
        <w:spacing w:after="0" w:before="0"/>
      </w:pPr>
      <w:r>
        <w:rPr>
          <w:rFonts w:ascii="Courier New" w:hAnsi="Courier New"/>
          <w:sz w:val="18"/>
        </w:rPr>
        <w:t xml:space="preserve">    n_estimators=100, learning_rate=0.1,</w:t>
      </w:r>
    </w:p>
    <w:p>
      <w:pPr>
        <w:spacing w:after="0" w:before="0"/>
      </w:pPr>
      <w:r>
        <w:rPr>
          <w:rFonts w:ascii="Courier New" w:hAnsi="Courier New"/>
          <w:sz w:val="18"/>
        </w:rPr>
        <w:t xml:space="preserve">    max_depth=6, random_state=42)</w:t>
      </w:r>
    </w:p>
    <w:p>
      <w:pPr>
        <w:spacing w:after="0" w:before="0"/>
      </w:pPr>
      <w:r>
        <w:rPr>
          <w:rFonts w:ascii="Courier New" w:hAnsi="Courier New"/>
          <w:sz w:val="18"/>
        </w:rPr>
        <w:t>model.fit(X_train, y_train)</w:t>
      </w:r>
    </w:p>
    <w:p>
      <w:pPr>
        <w:spacing w:after="0" w:before="0"/>
      </w:pPr>
      <w:r>
        <w:rPr>
          <w:rFonts w:ascii="Courier New" w:hAnsi="Courier New"/>
          <w:sz w:val="18"/>
        </w:rPr>
        <w:t>preds = model.predict(X_test)</w:t>
      </w:r>
    </w:p>
    <w:p>
      <w:pPr>
        <w:spacing w:after="0" w:before="0"/>
      </w:pPr>
      <w:r>
        <w:rPr>
          <w:rFonts w:ascii="Courier New" w:hAnsi="Courier New"/>
          <w:sz w:val="18"/>
        </w:rPr>
      </w:r>
    </w:p>
    <w:p>
      <w:pPr>
        <w:spacing w:after="0" w:before="0"/>
      </w:pPr>
      <w:r>
        <w:rPr>
          <w:rFonts w:ascii="Courier New" w:hAnsi="Courier New"/>
          <w:sz w:val="18"/>
        </w:rPr>
        <w:t>mae  = mean_absolute_error(y_test, preds)              # 24.32</w:t>
      </w:r>
    </w:p>
    <w:p>
      <w:pPr>
        <w:spacing w:after="0" w:before="0"/>
      </w:pPr>
      <w:r>
        <w:rPr>
          <w:rFonts w:ascii="Courier New" w:hAnsi="Courier New"/>
          <w:sz w:val="18"/>
        </w:rPr>
        <w:t>rmse = np.sqrt(mean_squared_error(y_test, preds))      # 32.71</w:t>
      </w:r>
    </w:p>
    <w:p>
      <w:pPr>
        <w:spacing w:after="0" w:before="0"/>
      </w:pPr>
      <w:r>
        <w:rPr>
          <w:rFonts w:ascii="Courier New" w:hAnsi="Courier New"/>
          <w:sz w:val="18"/>
        </w:rPr>
        <w:t>mape = np.mean(np.abs((y_test-preds)/y_test)) * 100    # 44.16%</w:t>
      </w:r>
    </w:p>
    <w:p>
      <w:pPr>
        <w:spacing w:after="0" w:before="0"/>
      </w:pPr>
      <w:r>
        <w:rPr>
          <w:rFonts w:ascii="Courier New" w:hAnsi="Courier New"/>
          <w:sz w:val="18"/>
        </w:rPr>
        <w:t>r2   = r2_score(y_test, preds)                         # -0.2713</w:t>
      </w:r>
    </w:p>
    <w:p/>
    <w:p>
      <w:pPr>
        <w:pStyle w:val="Heading3"/>
      </w:pPr>
      <w:r>
        <w:rPr>
          <w:b/>
          <w:color w:val="2E75B6"/>
          <w:sz w:val="24"/>
        </w:rPr>
        <w:t>A.6 — French Open Medic AMELI Download</w:t>
      </w:r>
    </w:p>
    <w:p>
      <w:pPr>
        <w:spacing w:after="0" w:before="0"/>
      </w:pPr>
      <w:r>
        <w:rPr>
          <w:rFonts w:ascii="Courier New" w:hAnsi="Courier New"/>
          <w:sz w:val="18"/>
        </w:rPr>
        <w:t># 08_download_france_openmedic.py</w:t>
      </w:r>
    </w:p>
    <w:p>
      <w:pPr>
        <w:spacing w:after="0" w:before="0"/>
      </w:pPr>
      <w:r>
        <w:rPr>
          <w:rFonts w:ascii="Courier New" w:hAnsi="Courier New"/>
          <w:sz w:val="18"/>
        </w:rPr>
        <w:t>import requests, gzip, io, re, pandas as pd</w:t>
      </w:r>
    </w:p>
    <w:p>
      <w:pPr>
        <w:spacing w:after="0" w:before="0"/>
      </w:pPr>
      <w:r>
        <w:rPr>
          <w:rFonts w:ascii="Courier New" w:hAnsi="Courier New"/>
          <w:sz w:val="18"/>
        </w:rPr>
      </w:r>
    </w:p>
    <w:p>
      <w:pPr>
        <w:spacing w:after="0" w:before="0"/>
      </w:pPr>
      <w:r>
        <w:rPr>
          <w:rFonts w:ascii="Courier New" w:hAnsi="Courier New"/>
          <w:sz w:val="18"/>
        </w:rPr>
        <w:t>BASE = 'https://open-data-assurance-maladie.ameli.fr/medicaments/'</w:t>
      </w:r>
    </w:p>
    <w:p>
      <w:pPr>
        <w:spacing w:after="0" w:before="0"/>
      </w:pPr>
      <w:r>
        <w:rPr>
          <w:rFonts w:ascii="Courier New" w:hAnsi="Courier New"/>
          <w:sz w:val="18"/>
        </w:rPr>
        <w:t>YEARS = list(range(2014, 2025))</w:t>
      </w:r>
    </w:p>
    <w:p>
      <w:pPr>
        <w:spacing w:after="0" w:before="0"/>
      </w:pPr>
      <w:r>
        <w:rPr>
          <w:rFonts w:ascii="Courier New" w:hAnsi="Courier New"/>
          <w:sz w:val="18"/>
        </w:rPr>
      </w:r>
    </w:p>
    <w:p>
      <w:pPr>
        <w:spacing w:after="0" w:before="0"/>
      </w:pPr>
      <w:r>
        <w:rPr>
          <w:rFonts w:ascii="Courier New" w:hAnsi="Courier New"/>
          <w:sz w:val="18"/>
        </w:rPr>
        <w:t>def get_atc3_url(year):</w:t>
      </w:r>
    </w:p>
    <w:p>
      <w:pPr>
        <w:spacing w:after="0" w:before="0"/>
      </w:pPr>
      <w:r>
        <w:rPr>
          <w:rFonts w:ascii="Courier New" w:hAnsi="Courier New"/>
          <w:sz w:val="18"/>
        </w:rPr>
        <w:t xml:space="preserve">    page = requests.get(f'{BASE}download2.php?Dir_Rep={year}_ATC3',</w:t>
      </w:r>
    </w:p>
    <w:p>
      <w:pPr>
        <w:spacing w:after="0" w:before="0"/>
      </w:pPr>
      <w:r>
        <w:rPr>
          <w:rFonts w:ascii="Courier New" w:hAnsi="Courier New"/>
          <w:sz w:val="18"/>
        </w:rPr>
        <w:t xml:space="preserve">                        headers={'User-Agent':'Mozilla/5.0'}, timeout=20)</w:t>
      </w:r>
    </w:p>
    <w:p>
      <w:pPr>
        <w:spacing w:after="0" w:before="0"/>
      </w:pPr>
      <w:r>
        <w:rPr>
          <w:rFonts w:ascii="Courier New" w:hAnsi="Courier New"/>
          <w:sz w:val="18"/>
        </w:rPr>
        <w:t xml:space="preserve">    links = re.findall(r'href="(./download_file\.php[^"]+)"', page.text)</w:t>
      </w:r>
    </w:p>
    <w:p>
      <w:pPr>
        <w:spacing w:after="0" w:before="0"/>
      </w:pPr>
      <w:r>
        <w:rPr>
          <w:rFonts w:ascii="Courier New" w:hAnsi="Courier New"/>
          <w:sz w:val="18"/>
        </w:rPr>
        <w:t xml:space="preserve">    return BASE + links[0].replace('./', '') if links else None</w:t>
      </w:r>
    </w:p>
    <w:p>
      <w:pPr>
        <w:spacing w:after="0" w:before="0"/>
      </w:pPr>
      <w:r>
        <w:rPr>
          <w:rFonts w:ascii="Courier New" w:hAnsi="Courier New"/>
          <w:sz w:val="18"/>
        </w:rPr>
      </w:r>
    </w:p>
    <w:p>
      <w:pPr>
        <w:spacing w:after="0" w:before="0"/>
      </w:pPr>
      <w:r>
        <w:rPr>
          <w:rFonts w:ascii="Courier New" w:hAnsi="Courier New"/>
          <w:sz w:val="18"/>
        </w:rPr>
        <w:t>all_dfs = []</w:t>
      </w:r>
    </w:p>
    <w:p>
      <w:pPr>
        <w:spacing w:after="0" w:before="0"/>
      </w:pPr>
      <w:r>
        <w:rPr>
          <w:rFonts w:ascii="Courier New" w:hAnsi="Courier New"/>
          <w:sz w:val="18"/>
        </w:rPr>
        <w:t>for year in YEARS:</w:t>
      </w:r>
    </w:p>
    <w:p>
      <w:pPr>
        <w:spacing w:after="0" w:before="0"/>
      </w:pPr>
      <w:r>
        <w:rPr>
          <w:rFonts w:ascii="Courier New" w:hAnsi="Courier New"/>
          <w:sz w:val="18"/>
        </w:rPr>
        <w:t xml:space="preserve">    url = get_atc3_url(year)</w:t>
      </w:r>
    </w:p>
    <w:p>
      <w:pPr>
        <w:spacing w:after="0" w:before="0"/>
      </w:pPr>
      <w:r>
        <w:rPr>
          <w:rFonts w:ascii="Courier New" w:hAnsi="Courier New"/>
          <w:sz w:val="18"/>
        </w:rPr>
        <w:t xml:space="preserve">    raw = gzip.decompress(requests.get(url, timeout=40).content)</w:t>
      </w:r>
    </w:p>
    <w:p>
      <w:pPr>
        <w:spacing w:after="0" w:before="0"/>
      </w:pPr>
      <w:r>
        <w:rPr>
          <w:rFonts w:ascii="Courier New" w:hAnsi="Courier New"/>
          <w:sz w:val="18"/>
        </w:rPr>
        <w:t xml:space="preserve">    df  = pd.read_csv(io.StringIO(raw.decode('latin-1')), sep=';')</w:t>
      </w:r>
    </w:p>
    <w:p>
      <w:pPr>
        <w:spacing w:after="0" w:before="0"/>
      </w:pPr>
      <w:r>
        <w:rPr>
          <w:rFonts w:ascii="Courier New" w:hAnsi="Courier New"/>
          <w:sz w:val="18"/>
        </w:rPr>
        <w:t xml:space="preserve">    df['year'] = year</w:t>
      </w:r>
    </w:p>
    <w:p>
      <w:pPr>
        <w:spacing w:after="0" w:before="0"/>
      </w:pPr>
      <w:r>
        <w:rPr>
          <w:rFonts w:ascii="Courier New" w:hAnsi="Courier New"/>
          <w:sz w:val="18"/>
        </w:rPr>
        <w:t xml:space="preserve">    all_dfs.append(df)</w:t>
      </w:r>
    </w:p>
    <w:p>
      <w:pPr>
        <w:spacing w:after="0" w:before="0"/>
      </w:pPr>
      <w:r>
        <w:rPr>
          <w:rFonts w:ascii="Courier New" w:hAnsi="Courier New"/>
          <w:sz w:val="18"/>
        </w:rPr>
      </w:r>
    </w:p>
    <w:p>
      <w:pPr>
        <w:spacing w:after="0" w:before="0"/>
      </w:pPr>
      <w:r>
        <w:rPr>
          <w:rFonts w:ascii="Courier New" w:hAnsi="Courier New"/>
          <w:sz w:val="18"/>
        </w:rPr>
        <w:t>combined = pd.concat(all_dfs)</w:t>
      </w:r>
    </w:p>
    <w:p>
      <w:pPr>
        <w:spacing w:after="0" w:before="0"/>
      </w:pPr>
      <w:r>
        <w:rPr>
          <w:rFonts w:ascii="Courier New" w:hAnsi="Courier New"/>
          <w:sz w:val="18"/>
        </w:rPr>
        <w:t># Filter R03 and R06</w:t>
      </w:r>
    </w:p>
    <w:p>
      <w:pPr>
        <w:spacing w:after="0" w:before="0"/>
      </w:pPr>
      <w:r>
        <w:rPr>
          <w:rFonts w:ascii="Courier New" w:hAnsi="Courier New"/>
          <w:sz w:val="18"/>
        </w:rPr>
        <w:t>r_mask = (combined['ATC3'].str.startswith('R03') |</w:t>
      </w:r>
    </w:p>
    <w:p>
      <w:pPr>
        <w:spacing w:after="0" w:before="0"/>
      </w:pPr>
      <w:r>
        <w:rPr>
          <w:rFonts w:ascii="Courier New" w:hAnsi="Courier New"/>
          <w:sz w:val="18"/>
        </w:rPr>
        <w:t xml:space="preserve">          combined['ATC3'].str.startswith('R06'))</w:t>
      </w:r>
    </w:p>
    <w:p>
      <w:pPr>
        <w:spacing w:after="0" w:before="0"/>
      </w:pPr>
      <w:r>
        <w:rPr>
          <w:rFonts w:ascii="Courier New" w:hAnsi="Courier New"/>
          <w:sz w:val="18"/>
        </w:rPr>
        <w:t>respiratory = combined[r_mask].copy()</w:t>
      </w:r>
    </w:p>
    <w:p>
      <w:pPr>
        <w:spacing w:after="0" w:before="0"/>
      </w:pPr>
      <w:r>
        <w:rPr>
          <w:rFonts w:ascii="Courier New" w:hAnsi="Courier New"/>
          <w:sz w:val="18"/>
        </w:rPr>
        <w:t>respiratory['atc_group'] = respiratory['ATC3'].str[:3]</w:t>
      </w:r>
    </w:p>
    <w:p>
      <w:pPr>
        <w:spacing w:after="0" w:before="0"/>
      </w:pPr>
      <w:r>
        <w:rPr>
          <w:rFonts w:ascii="Courier New" w:hAnsi="Courier New"/>
          <w:sz w:val="18"/>
        </w:rPr>
      </w:r>
    </w:p>
    <w:p>
      <w:pPr>
        <w:spacing w:after="0" w:before="0"/>
      </w:pPr>
      <w:r>
        <w:rPr>
          <w:rFonts w:ascii="Courier New" w:hAnsi="Courier New"/>
          <w:sz w:val="18"/>
        </w:rPr>
        <w:t># Aggregate BOITES (boxes dispensed) per year and ATC group</w:t>
      </w:r>
    </w:p>
    <w:p>
      <w:pPr>
        <w:spacing w:after="0" w:before="0"/>
      </w:pPr>
      <w:r>
        <w:rPr>
          <w:rFonts w:ascii="Courier New" w:hAnsi="Courier New"/>
          <w:sz w:val="18"/>
        </w:rPr>
        <w:t>agg = respiratory.groupby(['year','atc_group'])['BOITES'].sum()</w:t>
      </w:r>
    </w:p>
    <w:p>
      <w:pPr>
        <w:spacing w:after="0" w:before="0"/>
      </w:pPr>
      <w:r>
        <w:rPr>
          <w:rFonts w:ascii="Courier New" w:hAnsi="Courier New"/>
          <w:sz w:val="18"/>
        </w:rPr>
        <w:t>pivot = agg.unstack('atc_group')</w:t>
      </w:r>
    </w:p>
    <w:p>
      <w:pPr>
        <w:spacing w:after="0" w:before="0"/>
      </w:pPr>
      <w:r>
        <w:rPr>
          <w:rFonts w:ascii="Courier New" w:hAnsi="Courier New"/>
          <w:sz w:val="18"/>
        </w:rPr>
        <w:t>pivot.columns = [f'france_{c}_boxes' for c in pivot.columns]</w:t>
      </w:r>
    </w:p>
    <w:p>
      <w:pPr>
        <w:spacing w:after="0" w:before="0"/>
      </w:pPr>
      <w:r>
        <w:rPr>
          <w:rFonts w:ascii="Courier New" w:hAnsi="Courier New"/>
          <w:sz w:val="18"/>
        </w:rPr>
        <w:t># Result: 11 years (2014-2024)</w:t>
      </w:r>
    </w:p>
    <w:p>
      <w:pPr>
        <w:spacing w:after="0" w:before="0"/>
      </w:pPr>
      <w:r>
        <w:rPr>
          <w:rFonts w:ascii="Courier New" w:hAnsi="Courier New"/>
          <w:sz w:val="18"/>
        </w:rPr>
        <w:t># france_R03_boxes: mean 51.7M/year | france_R06_boxes: mean 46.2M/year</w:t>
      </w:r>
    </w:p>
    <w:p/>
    <w:p>
      <w:pPr>
        <w:pStyle w:val="Heading3"/>
      </w:pPr>
      <w:r>
        <w:rPr>
          <w:b/>
          <w:color w:val="2E75B6"/>
          <w:sz w:val="24"/>
        </w:rPr>
        <w:t>A.7 — Streamlit Dashboard Launch</w:t>
      </w:r>
    </w:p>
    <w:p>
      <w:pPr>
        <w:spacing w:after="0" w:before="0"/>
      </w:pPr>
      <w:r>
        <w:rPr>
          <w:rFonts w:ascii="Courier New" w:hAnsi="Courier New"/>
          <w:sz w:val="18"/>
        </w:rPr>
        <w:t># dashboard/app.py — run with:</w:t>
      </w:r>
    </w:p>
    <w:p>
      <w:pPr>
        <w:spacing w:after="0" w:before="0"/>
      </w:pPr>
      <w:r>
        <w:rPr>
          <w:rFonts w:ascii="Courier New" w:hAnsi="Courier New"/>
          <w:sz w:val="18"/>
        </w:rPr>
        <w:t># python -m streamlit run dashboard/app.py --server.port 8501</w:t>
      </w:r>
    </w:p>
    <w:p>
      <w:pPr>
        <w:spacing w:after="0" w:before="0"/>
      </w:pPr>
      <w:r>
        <w:rPr>
          <w:rFonts w:ascii="Courier New" w:hAnsi="Courier New"/>
          <w:sz w:val="18"/>
        </w:rPr>
      </w:r>
    </w:p>
    <w:p>
      <w:pPr>
        <w:spacing w:after="0" w:before="0"/>
      </w:pPr>
      <w:r>
        <w:rPr>
          <w:rFonts w:ascii="Courier New" w:hAnsi="Courier New"/>
          <w:sz w:val="18"/>
        </w:rPr>
        <w:t># Dashboard pages:</w:t>
      </w:r>
    </w:p>
    <w:p>
      <w:pPr>
        <w:spacing w:after="0" w:before="0"/>
      </w:pPr>
      <w:r>
        <w:rPr>
          <w:rFonts w:ascii="Courier New" w:hAnsi="Courier New"/>
          <w:sz w:val="18"/>
        </w:rPr>
        <w:t># 1. Guia de Uso — usage guide and data source documentation</w:t>
      </w:r>
    </w:p>
    <w:p>
      <w:pPr>
        <w:spacing w:after="0" w:before="0"/>
      </w:pPr>
      <w:r>
        <w:rPr>
          <w:rFonts w:ascii="Courier New" w:hAnsi="Courier New"/>
          <w:sz w:val="18"/>
        </w:rPr>
        <w:t># 2. Resumen Ejecutivo — KPI cards + historical + 12-week forecast</w:t>
      </w:r>
    </w:p>
    <w:p>
      <w:pPr>
        <w:spacing w:after="0" w:before="0"/>
      </w:pPr>
      <w:r>
        <w:rPr>
          <w:rFonts w:ascii="Courier New" w:hAnsi="Courier New"/>
          <w:sz w:val="18"/>
        </w:rPr>
        <w:t># 3. Prediccion de Demanda — interactive forecast tool (4-26 week horizon)</w:t>
      </w:r>
    </w:p>
    <w:p>
      <w:pPr>
        <w:spacing w:after="0" w:before="0"/>
      </w:pPr>
      <w:r>
        <w:rPr>
          <w:rFonts w:ascii="Courier New" w:hAnsi="Courier New"/>
          <w:sz w:val="18"/>
        </w:rPr>
        <w:t># 4. Analisis Lead-Lag — CCF explorer with interactive lag slider</w:t>
      </w:r>
    </w:p>
    <w:p>
      <w:pPr>
        <w:spacing w:after="0" w:before="0"/>
      </w:pPr>
      <w:r>
        <w:rPr>
          <w:rFonts w:ascii="Courier New" w:hAnsi="Courier New"/>
          <w:sz w:val="18"/>
        </w:rPr>
        <w:t># 5. Rendimiento del Modelo — actual vs predicted, residuals, feature importance</w:t>
      </w:r>
    </w:p>
    <w:p>
      <w:pPr>
        <w:spacing w:after="0" w:before="0"/>
      </w:pPr>
      <w:r>
        <w:rPr>
          <w:rFonts w:ascii="Courier New" w:hAnsi="Courier New"/>
          <w:sz w:val="18"/>
        </w:rPr>
        <w:t># 6. Contexto Europeo (AMELI) — French Open Medic 2014-2024 market validation</w:t>
      </w:r>
    </w:p>
    <w:p>
      <w:pPr>
        <w:spacing w:after="0" w:before="0"/>
      </w:pPr>
      <w:r>
        <w:rPr>
          <w:rFonts w:ascii="Courier New" w:hAnsi="Courier New"/>
          <w:sz w:val="18"/>
        </w:rPr>
      </w:r>
    </w:p>
    <w:p>
      <w:pPr>
        <w:spacing w:after="0" w:before="0"/>
      </w:pPr>
      <w:r>
        <w:rPr>
          <w:rFonts w:ascii="Courier New" w:hAnsi="Courier New"/>
          <w:sz w:val="18"/>
        </w:rPr>
        <w:t># Model is loaded from output/xgboost_best_model.json</w:t>
      </w:r>
    </w:p>
    <w:p>
      <w:pPr>
        <w:spacing w:after="0" w:before="0"/>
      </w:pPr>
      <w:r>
        <w:rPr>
          <w:rFonts w:ascii="Courier New" w:hAnsi="Courier New"/>
          <w:sz w:val="18"/>
        </w:rPr>
        <w:t># All data from data/processed/ directory</w:t>
      </w:r>
    </w:p>
    <w:p>
      <w:pPr>
        <w:spacing w:after="0" w:before="0"/>
      </w:pPr>
      <w:r>
        <w:rPr>
          <w:rFonts w:ascii="Courier New" w:hAnsi="Courier New"/>
          <w:sz w:val="18"/>
        </w:rPr>
        <w:t># Forecast uses iterative prediction with pd.Timedelta lag features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