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8"/>
      </w:tblGrid>
      <w:tr w:rsidR="008E61FB" w14:paraId="06DBDF02" w14:textId="77777777">
        <w:tblPrEx>
          <w:tblCellMar>
            <w:top w:w="0" w:type="dxa"/>
            <w:bottom w:w="0" w:type="dxa"/>
          </w:tblCellMar>
        </w:tblPrEx>
        <w:tc>
          <w:tcPr>
            <w:tcW w:w="10368" w:type="dxa"/>
            <w:tcBorders>
              <w:top w:val="single" w:sz="16" w:space="0" w:color="1F4E79"/>
              <w:left w:val="single" w:sz="16" w:space="0" w:color="1F4E79"/>
              <w:bottom w:val="single" w:sz="16" w:space="0" w:color="1F4E79"/>
              <w:right w:val="single" w:sz="16" w:space="0" w:color="1F4E79"/>
            </w:tcBorders>
            <w:shd w:val="clear" w:color="auto" w:fill="FFFFFF"/>
            <w:tcMar>
              <w:top w:w="400" w:type="dxa"/>
              <w:left w:w="440" w:type="dxa"/>
              <w:bottom w:w="400" w:type="dxa"/>
              <w:right w:w="440" w:type="dxa"/>
            </w:tcMar>
          </w:tcPr>
          <w:p w14:paraId="1C8E4C2C" w14:textId="77777777" w:rsidR="008E61FB" w:rsidRDefault="00000000">
            <w:pPr>
              <w:spacing w:after="60"/>
            </w:pPr>
            <w:r>
              <w:rPr>
                <w:b/>
                <w:bCs/>
                <w:caps/>
                <w:color w:val="1F4E79"/>
              </w:rPr>
              <w:t>BUSINESS PROPOSAL</w:t>
            </w:r>
          </w:p>
          <w:p w14:paraId="1A0CE571" w14:textId="77777777" w:rsidR="008E61FB" w:rsidRDefault="00000000">
            <w:pPr>
              <w:spacing w:after="60"/>
            </w:pPr>
            <w:r>
              <w:rPr>
                <w:b/>
                <w:bCs/>
                <w:color w:val="C00000"/>
                <w:sz w:val="44"/>
                <w:szCs w:val="44"/>
              </w:rPr>
              <w:t>Integrated Flow Management and</w:t>
            </w:r>
          </w:p>
          <w:p w14:paraId="7BCACF07" w14:textId="77777777" w:rsidR="008E61FB" w:rsidRDefault="00000000">
            <w:pPr>
              <w:spacing w:after="300"/>
            </w:pPr>
            <w:r>
              <w:rPr>
                <w:b/>
                <w:bCs/>
                <w:color w:val="C00000"/>
                <w:sz w:val="44"/>
                <w:szCs w:val="44"/>
              </w:rPr>
              <w:t>Transshipment Coordination Platform</w:t>
            </w:r>
          </w:p>
          <w:p w14:paraId="2E753B7A" w14:textId="77777777" w:rsidR="008E61FB" w:rsidRDefault="00000000">
            <w:pPr>
              <w:spacing w:after="80"/>
            </w:pPr>
            <w:r>
              <w:rPr>
                <w:b/>
                <w:bCs/>
                <w:color w:val="1F4E79"/>
                <w:sz w:val="24"/>
                <w:szCs w:val="24"/>
              </w:rPr>
              <w:t xml:space="preserve">Prepared for  </w:t>
            </w:r>
            <w:r>
              <w:rPr>
                <w:b/>
                <w:bCs/>
                <w:sz w:val="24"/>
                <w:szCs w:val="24"/>
              </w:rPr>
              <w:t>PT Asian Bulk Logistics (ABL)</w:t>
            </w:r>
          </w:p>
          <w:p w14:paraId="62777B94" w14:textId="77777777" w:rsidR="008E61FB" w:rsidRDefault="00000000">
            <w:pPr>
              <w:spacing w:after="80"/>
            </w:pPr>
            <w:r>
              <w:rPr>
                <w:b/>
                <w:bCs/>
                <w:color w:val="1F4E79"/>
                <w:sz w:val="24"/>
                <w:szCs w:val="24"/>
              </w:rPr>
              <w:t xml:space="preserve">Prepared by  </w:t>
            </w:r>
            <w:r>
              <w:rPr>
                <w:b/>
                <w:bCs/>
                <w:sz w:val="24"/>
                <w:szCs w:val="24"/>
              </w:rPr>
              <w:t>Vector Consulting Indonesia</w:t>
            </w:r>
          </w:p>
          <w:p w14:paraId="1CCCC8D1" w14:textId="77777777" w:rsidR="008E61FB" w:rsidRDefault="00000000">
            <w:pPr>
              <w:spacing w:before="120" w:after="20"/>
            </w:pPr>
            <w:r>
              <w:rPr>
                <w:color w:val="595959"/>
              </w:rPr>
              <w:t>Berau Coal Transshipment Operations  ·  East Kalimantan</w:t>
            </w:r>
          </w:p>
          <w:p w14:paraId="7740AA8D" w14:textId="77777777" w:rsidR="008E61FB" w:rsidRDefault="00000000">
            <w:r>
              <w:rPr>
                <w:color w:val="595959"/>
              </w:rPr>
              <w:t>May 2026  ·  Confidential</w:t>
            </w:r>
          </w:p>
        </w:tc>
      </w:tr>
    </w:tbl>
    <w:p w14:paraId="3C0705E6" w14:textId="77777777" w:rsidR="008E61FB" w:rsidRDefault="008E61FB">
      <w:pPr>
        <w:spacing w:before="20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8"/>
      </w:tblGrid>
      <w:tr w:rsidR="008E61FB" w14:paraId="4379014E" w14:textId="77777777">
        <w:tblPrEx>
          <w:tblCellMar>
            <w:top w:w="0" w:type="dxa"/>
            <w:bottom w:w="0" w:type="dxa"/>
          </w:tblCellMar>
        </w:tblPrEx>
        <w:tc>
          <w:tcPr>
            <w:tcW w:w="10368" w:type="dxa"/>
            <w:tcBorders>
              <w:top w:val="single" w:sz="6" w:space="0" w:color="1F4E79"/>
              <w:left w:val="single" w:sz="6" w:space="0" w:color="1F4E79"/>
              <w:bottom w:val="single" w:sz="6" w:space="0" w:color="1F4E79"/>
              <w:right w:val="single" w:sz="6" w:space="0" w:color="1F4E79"/>
            </w:tcBorders>
            <w:shd w:val="clear" w:color="auto" w:fill="F2F7FB"/>
            <w:tcMar>
              <w:top w:w="160" w:type="dxa"/>
              <w:left w:w="280" w:type="dxa"/>
              <w:bottom w:w="160" w:type="dxa"/>
              <w:right w:w="280" w:type="dxa"/>
            </w:tcMar>
          </w:tcPr>
          <w:p w14:paraId="747A2EE7" w14:textId="77777777" w:rsidR="008E61FB" w:rsidRDefault="00000000">
            <w:pPr>
              <w:spacing w:after="60"/>
            </w:pPr>
            <w:r>
              <w:rPr>
                <w:b/>
                <w:bCs/>
                <w:caps/>
                <w:color w:val="1F4E79"/>
                <w:sz w:val="19"/>
                <w:szCs w:val="19"/>
              </w:rPr>
              <w:t>CONFIDENTIALITY NOTE</w:t>
            </w:r>
          </w:p>
          <w:p w14:paraId="0E6658C5" w14:textId="77777777" w:rsidR="008E61FB" w:rsidRDefault="00000000">
            <w:pPr>
              <w:spacing w:after="60"/>
            </w:pPr>
            <w:r>
              <w:rPr>
                <w:sz w:val="18"/>
                <w:szCs w:val="18"/>
              </w:rPr>
              <w:t>This document is intended solely for proposal discussion and strategic alignment purposes between PT Asian Bulk Logistics (ABL) and Vector Consulting Indonesia. It outlines a proposed operational direction and engagement approach based on preliminary understanding of the current operating environment.</w:t>
            </w:r>
          </w:p>
          <w:p w14:paraId="076832FE" w14:textId="77777777" w:rsidR="008E61FB" w:rsidRDefault="00000000">
            <w:r>
              <w:rPr>
                <w:i/>
                <w:iCs/>
                <w:color w:val="595959"/>
                <w:sz w:val="18"/>
                <w:szCs w:val="18"/>
              </w:rPr>
              <w:t>Detailed operating models, system architecture, data structures, process workflows, and implementation blueprints will be jointly developed during the diagnostic and blueprinting phase of the engagement.</w:t>
            </w:r>
          </w:p>
        </w:tc>
      </w:tr>
    </w:tbl>
    <w:p w14:paraId="1433EEAC" w14:textId="77777777" w:rsidR="008E61FB" w:rsidRDefault="008E61FB">
      <w:pPr>
        <w:spacing w:before="200"/>
      </w:pPr>
    </w:p>
    <w:p w14:paraId="2757EE17" w14:textId="77777777" w:rsidR="008E61FB" w:rsidRDefault="00000000">
      <w:pPr>
        <w:spacing w:before="300"/>
      </w:pPr>
      <w:r>
        <w:rPr>
          <w:b/>
          <w:bCs/>
          <w:color w:val="808080"/>
          <w:sz w:val="26"/>
          <w:szCs w:val="26"/>
        </w:rPr>
        <w:t xml:space="preserve">1.  </w:t>
      </w:r>
      <w:r>
        <w:rPr>
          <w:b/>
          <w:bCs/>
          <w:color w:val="1F4E79"/>
          <w:sz w:val="26"/>
          <w:szCs w:val="26"/>
        </w:rPr>
        <w:t>Executive Summary</w:t>
      </w:r>
    </w:p>
    <w:p w14:paraId="7355A545" w14:textId="77777777" w:rsidR="008E61FB" w:rsidRDefault="008E61FB">
      <w:pPr>
        <w:pBdr>
          <w:bottom w:val="single" w:sz="8" w:space="1" w:color="1F4E79"/>
        </w:pBdr>
        <w:spacing w:after="80"/>
      </w:pPr>
    </w:p>
    <w:p w14:paraId="37B23BC2" w14:textId="77777777" w:rsidR="008E61FB" w:rsidRDefault="00000000">
      <w:pPr>
        <w:spacing w:after="100"/>
      </w:pPr>
      <w:r>
        <w:t>PT Asian Bulk Logistics (ABL) operates in a highly dynamic marine logistics environment where vessel scheduling, tug-barge movements, jetty loading, cargo quality requirements, environmental constraints and OGV commitments must remain continuously synchronised.</w:t>
      </w:r>
    </w:p>
    <w:p w14:paraId="4BAB4656" w14:textId="77777777" w:rsidR="008E61FB" w:rsidRDefault="008E61FB">
      <w:pPr>
        <w:spacing w:before="60"/>
      </w:pPr>
    </w:p>
    <w:p w14:paraId="04B62850" w14:textId="77777777" w:rsidR="008E61FB" w:rsidRDefault="00000000">
      <w:pPr>
        <w:spacing w:after="100"/>
      </w:pPr>
      <w:r>
        <w:t>The operational challenge is not limited to fleet scheduling or asset tracking. It is fundamentally a cross-functional and cross-entity coordination challenge involving coal production and cargo readiness, cargo quality and blending requirements, tug-barge allocation and routing, tide and bridge constraints, CTS and transshipment coordination, OGV laycan commitments, exception handling and recovery coordination, and operational visibility and execution governance.</w:t>
      </w:r>
    </w:p>
    <w:p w14:paraId="5B353B16" w14:textId="77777777" w:rsidR="008E61FB" w:rsidRDefault="008E61FB">
      <w:pPr>
        <w:spacing w:before="60"/>
      </w:pPr>
    </w:p>
    <w:p w14:paraId="24289369" w14:textId="77777777" w:rsidR="008E61FB" w:rsidRDefault="00000000">
      <w:pPr>
        <w:spacing w:after="100"/>
      </w:pPr>
      <w:r>
        <w:t>The current operating environment requires frequent replanning due to changing upstream production conditions, vessel schedule changes, operational constraints and field-level execution variability. Coordination today depends heavily on manual schedule revisions, informal communication channels and fragmented operational reporting — creating gaps between planning intent and field execution.</w:t>
      </w:r>
    </w:p>
    <w:p w14:paraId="43ABE382" w14:textId="77777777" w:rsidR="008E61FB" w:rsidRDefault="008E61FB">
      <w:pPr>
        <w:spacing w:before="60"/>
      </w:pPr>
    </w:p>
    <w:p w14:paraId="3443CD31" w14:textId="77777777" w:rsidR="008E61FB" w:rsidRDefault="00000000">
      <w:pPr>
        <w:spacing w:after="100"/>
      </w:pPr>
      <w:r>
        <w:t>Vector Consulting Indonesia proposes an engagement to support ABL in evolving from fragmented, reactive coordination toward a more synchronised and operationally governed flow-management model. The proposed direction combines operational visibility, scheduling coordination, exception management, simulation-assisted decision support and cross-entity operational alignment.</w:t>
      </w:r>
    </w:p>
    <w:p w14:paraId="282397E9" w14:textId="77777777" w:rsidR="008E61FB" w:rsidRDefault="008E61FB">
      <w:pPr>
        <w:spacing w:before="60"/>
      </w:pPr>
    </w:p>
    <w:p w14:paraId="78878794" w14:textId="77777777" w:rsidR="008E61FB" w:rsidRDefault="00000000">
      <w:pPr>
        <w:spacing w:after="100"/>
      </w:pPr>
      <w:r>
        <w:t>The engagement is structured in phases, beginning with a detailed operational diagnostic and blueprinting exercise to jointly define the future-state operating model, implementation priorities and deployment roadmap.</w:t>
      </w:r>
    </w:p>
    <w:p w14:paraId="026932FA" w14:textId="77777777" w:rsidR="008E61FB" w:rsidRDefault="008E61FB">
      <w:pPr>
        <w:spacing w:before="8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2073"/>
        <w:gridCol w:w="2074"/>
        <w:gridCol w:w="2074"/>
        <w:gridCol w:w="2074"/>
      </w:tblGrid>
      <w:tr w:rsidR="008E61FB" w14:paraId="0E0A3D02" w14:textId="77777777">
        <w:tblPrEx>
          <w:tblCellMar>
            <w:top w:w="0" w:type="dxa"/>
            <w:bottom w:w="0" w:type="dxa"/>
          </w:tblCellMar>
        </w:tblPrEx>
        <w:tc>
          <w:tcPr>
            <w:tcW w:w="2073" w:type="dxa"/>
            <w:tcBorders>
              <w:top w:val="single" w:sz="1" w:space="0" w:color="AAAAAA"/>
              <w:left w:val="single" w:sz="1" w:space="0" w:color="AAAAAA"/>
              <w:bottom w:val="single" w:sz="1" w:space="0" w:color="AAAAAA"/>
              <w:right w:val="single" w:sz="1" w:space="0" w:color="AAAAAA"/>
            </w:tcBorders>
            <w:shd w:val="clear" w:color="auto" w:fill="EAF2F8"/>
            <w:tcMar>
              <w:top w:w="110" w:type="dxa"/>
              <w:left w:w="120" w:type="dxa"/>
              <w:bottom w:w="110" w:type="dxa"/>
              <w:right w:w="120" w:type="dxa"/>
            </w:tcMar>
            <w:vAlign w:val="center"/>
          </w:tcPr>
          <w:p w14:paraId="18D55E30" w14:textId="77777777" w:rsidR="008E61FB" w:rsidRDefault="00000000">
            <w:pPr>
              <w:spacing w:after="16"/>
              <w:jc w:val="center"/>
            </w:pPr>
            <w:r>
              <w:rPr>
                <w:b/>
                <w:bCs/>
                <w:color w:val="1F4E79"/>
                <w:sz w:val="30"/>
                <w:szCs w:val="30"/>
              </w:rPr>
              <w:lastRenderedPageBreak/>
              <w:t>60+</w:t>
            </w:r>
          </w:p>
          <w:p w14:paraId="4C8B2836" w14:textId="77777777" w:rsidR="008E61FB" w:rsidRDefault="00000000">
            <w:pPr>
              <w:spacing w:after="8"/>
              <w:jc w:val="center"/>
            </w:pPr>
            <w:r>
              <w:rPr>
                <w:color w:val="2E6DA4"/>
                <w:sz w:val="17"/>
                <w:szCs w:val="17"/>
              </w:rPr>
              <w:t>Barges Managed</w:t>
            </w:r>
          </w:p>
          <w:p w14:paraId="1192891F" w14:textId="77777777" w:rsidR="008E61FB" w:rsidRDefault="00000000">
            <w:pPr>
              <w:jc w:val="center"/>
            </w:pPr>
            <w:r>
              <w:rPr>
                <w:i/>
                <w:iCs/>
                <w:color w:val="595959"/>
                <w:sz w:val="15"/>
                <w:szCs w:val="15"/>
              </w:rPr>
              <w:t>owned &amp; chartered</w:t>
            </w:r>
          </w:p>
        </w:tc>
        <w:tc>
          <w:tcPr>
            <w:tcW w:w="2073" w:type="dxa"/>
            <w:tcBorders>
              <w:top w:val="single" w:sz="1" w:space="0" w:color="AAAAAA"/>
              <w:left w:val="single" w:sz="1" w:space="0" w:color="AAAAAA"/>
              <w:bottom w:val="single" w:sz="1" w:space="0" w:color="AAAAAA"/>
              <w:right w:val="single" w:sz="1" w:space="0" w:color="AAAAAA"/>
            </w:tcBorders>
            <w:shd w:val="clear" w:color="auto" w:fill="F2F7FB"/>
            <w:tcMar>
              <w:top w:w="110" w:type="dxa"/>
              <w:left w:w="120" w:type="dxa"/>
              <w:bottom w:w="110" w:type="dxa"/>
              <w:right w:w="120" w:type="dxa"/>
            </w:tcMar>
            <w:vAlign w:val="center"/>
          </w:tcPr>
          <w:p w14:paraId="3DA31426" w14:textId="77777777" w:rsidR="008E61FB" w:rsidRDefault="00000000">
            <w:pPr>
              <w:spacing w:after="16"/>
              <w:jc w:val="center"/>
            </w:pPr>
            <w:r>
              <w:rPr>
                <w:b/>
                <w:bCs/>
                <w:color w:val="1F4E79"/>
                <w:sz w:val="30"/>
                <w:szCs w:val="30"/>
              </w:rPr>
              <w:t>2,000 tph</w:t>
            </w:r>
          </w:p>
          <w:p w14:paraId="3448BDE3" w14:textId="77777777" w:rsidR="008E61FB" w:rsidRDefault="00000000">
            <w:pPr>
              <w:spacing w:after="8"/>
              <w:jc w:val="center"/>
            </w:pPr>
            <w:r>
              <w:rPr>
                <w:color w:val="2E6DA4"/>
                <w:sz w:val="17"/>
                <w:szCs w:val="17"/>
              </w:rPr>
              <w:t>BLC Capacity</w:t>
            </w:r>
          </w:p>
          <w:p w14:paraId="65A97D43" w14:textId="77777777" w:rsidR="008E61FB" w:rsidRDefault="00000000">
            <w:pPr>
              <w:jc w:val="center"/>
            </w:pPr>
            <w:r>
              <w:rPr>
                <w:i/>
                <w:iCs/>
                <w:color w:val="595959"/>
                <w:sz w:val="15"/>
                <w:szCs w:val="15"/>
              </w:rPr>
              <w:t>barge loading rate</w:t>
            </w:r>
          </w:p>
        </w:tc>
        <w:tc>
          <w:tcPr>
            <w:tcW w:w="2073" w:type="dxa"/>
            <w:tcBorders>
              <w:top w:val="single" w:sz="1" w:space="0" w:color="AAAAAA"/>
              <w:left w:val="single" w:sz="1" w:space="0" w:color="AAAAAA"/>
              <w:bottom w:val="single" w:sz="1" w:space="0" w:color="AAAAAA"/>
              <w:right w:val="single" w:sz="1" w:space="0" w:color="AAAAAA"/>
            </w:tcBorders>
            <w:shd w:val="clear" w:color="auto" w:fill="EAF2F8"/>
            <w:tcMar>
              <w:top w:w="110" w:type="dxa"/>
              <w:left w:w="120" w:type="dxa"/>
              <w:bottom w:w="110" w:type="dxa"/>
              <w:right w:w="120" w:type="dxa"/>
            </w:tcMar>
            <w:vAlign w:val="center"/>
          </w:tcPr>
          <w:p w14:paraId="32375E57" w14:textId="77777777" w:rsidR="008E61FB" w:rsidRDefault="00000000">
            <w:pPr>
              <w:spacing w:after="16"/>
              <w:jc w:val="center"/>
            </w:pPr>
            <w:r>
              <w:rPr>
                <w:b/>
                <w:bCs/>
                <w:color w:val="1F4E79"/>
                <w:sz w:val="30"/>
                <w:szCs w:val="30"/>
              </w:rPr>
              <w:t>55,000 t/day</w:t>
            </w:r>
          </w:p>
          <w:p w14:paraId="112AF1C5" w14:textId="77777777" w:rsidR="008E61FB" w:rsidRDefault="00000000">
            <w:pPr>
              <w:spacing w:after="8"/>
              <w:jc w:val="center"/>
            </w:pPr>
            <w:r>
              <w:rPr>
                <w:color w:val="2E6DA4"/>
                <w:sz w:val="17"/>
                <w:szCs w:val="17"/>
              </w:rPr>
              <w:t>Peak CTS Capacity</w:t>
            </w:r>
          </w:p>
          <w:p w14:paraId="3789D4F4" w14:textId="77777777" w:rsidR="008E61FB" w:rsidRDefault="00000000">
            <w:pPr>
              <w:jc w:val="center"/>
            </w:pPr>
            <w:r>
              <w:rPr>
                <w:i/>
                <w:iCs/>
                <w:color w:val="595959"/>
                <w:sz w:val="15"/>
                <w:szCs w:val="15"/>
              </w:rPr>
              <w:t>transshipment</w:t>
            </w:r>
          </w:p>
        </w:tc>
        <w:tc>
          <w:tcPr>
            <w:tcW w:w="2073" w:type="dxa"/>
            <w:tcBorders>
              <w:top w:val="single" w:sz="1" w:space="0" w:color="AAAAAA"/>
              <w:left w:val="single" w:sz="1" w:space="0" w:color="AAAAAA"/>
              <w:bottom w:val="single" w:sz="1" w:space="0" w:color="AAAAAA"/>
              <w:right w:val="single" w:sz="1" w:space="0" w:color="AAAAAA"/>
            </w:tcBorders>
            <w:shd w:val="clear" w:color="auto" w:fill="F2F7FB"/>
            <w:tcMar>
              <w:top w:w="110" w:type="dxa"/>
              <w:left w:w="120" w:type="dxa"/>
              <w:bottom w:w="110" w:type="dxa"/>
              <w:right w:w="120" w:type="dxa"/>
            </w:tcMar>
            <w:vAlign w:val="center"/>
          </w:tcPr>
          <w:p w14:paraId="3DBB6BEF" w14:textId="77777777" w:rsidR="008E61FB" w:rsidRDefault="00000000">
            <w:pPr>
              <w:spacing w:after="16"/>
              <w:jc w:val="center"/>
            </w:pPr>
            <w:r>
              <w:rPr>
                <w:b/>
                <w:bCs/>
                <w:color w:val="1F4E79"/>
                <w:sz w:val="30"/>
                <w:szCs w:val="30"/>
              </w:rPr>
              <w:t>20M+ tpa</w:t>
            </w:r>
          </w:p>
          <w:p w14:paraId="5A287AC0" w14:textId="77777777" w:rsidR="008E61FB" w:rsidRDefault="00000000">
            <w:pPr>
              <w:spacing w:after="8"/>
              <w:jc w:val="center"/>
            </w:pPr>
            <w:r>
              <w:rPr>
                <w:color w:val="2E6DA4"/>
                <w:sz w:val="17"/>
                <w:szCs w:val="17"/>
              </w:rPr>
              <w:t>Blending Capacity</w:t>
            </w:r>
          </w:p>
          <w:p w14:paraId="5DFA0A2A" w14:textId="77777777" w:rsidR="008E61FB" w:rsidRDefault="00000000">
            <w:pPr>
              <w:jc w:val="center"/>
            </w:pPr>
            <w:r>
              <w:rPr>
                <w:i/>
                <w:iCs/>
                <w:color w:val="595959"/>
                <w:sz w:val="15"/>
                <w:szCs w:val="15"/>
              </w:rPr>
              <w:t>coal processing</w:t>
            </w:r>
          </w:p>
        </w:tc>
        <w:tc>
          <w:tcPr>
            <w:tcW w:w="2073" w:type="dxa"/>
            <w:tcBorders>
              <w:top w:val="single" w:sz="1" w:space="0" w:color="AAAAAA"/>
              <w:left w:val="single" w:sz="1" w:space="0" w:color="AAAAAA"/>
              <w:bottom w:val="single" w:sz="1" w:space="0" w:color="AAAAAA"/>
              <w:right w:val="single" w:sz="1" w:space="0" w:color="AAAAAA"/>
            </w:tcBorders>
            <w:shd w:val="clear" w:color="auto" w:fill="EAF2F8"/>
            <w:tcMar>
              <w:top w:w="110" w:type="dxa"/>
              <w:left w:w="120" w:type="dxa"/>
              <w:bottom w:w="110" w:type="dxa"/>
              <w:right w:w="120" w:type="dxa"/>
            </w:tcMar>
            <w:vAlign w:val="center"/>
          </w:tcPr>
          <w:p w14:paraId="5C64D51B" w14:textId="77777777" w:rsidR="008E61FB" w:rsidRDefault="00000000">
            <w:pPr>
              <w:spacing w:after="16"/>
              <w:jc w:val="center"/>
            </w:pPr>
            <w:r>
              <w:rPr>
                <w:b/>
                <w:bCs/>
                <w:color w:val="1F4E79"/>
                <w:sz w:val="30"/>
                <w:szCs w:val="30"/>
              </w:rPr>
              <w:t>55–60%</w:t>
            </w:r>
          </w:p>
          <w:p w14:paraId="23506392" w14:textId="77777777" w:rsidR="008E61FB" w:rsidRDefault="00000000">
            <w:pPr>
              <w:spacing w:after="8"/>
              <w:jc w:val="center"/>
            </w:pPr>
            <w:r>
              <w:rPr>
                <w:color w:val="2E6DA4"/>
                <w:sz w:val="17"/>
                <w:szCs w:val="17"/>
              </w:rPr>
              <w:t>Indicative Fleet Productivity</w:t>
            </w:r>
          </w:p>
          <w:p w14:paraId="5E08AE0E" w14:textId="77777777" w:rsidR="008E61FB" w:rsidRDefault="00000000">
            <w:pPr>
              <w:jc w:val="center"/>
            </w:pPr>
            <w:r>
              <w:rPr>
                <w:i/>
                <w:iCs/>
                <w:color w:val="595959"/>
                <w:sz w:val="15"/>
                <w:szCs w:val="15"/>
              </w:rPr>
              <w:t>current baseline</w:t>
            </w:r>
          </w:p>
        </w:tc>
      </w:tr>
    </w:tbl>
    <w:p w14:paraId="39D33B1C" w14:textId="77777777" w:rsidR="008E61FB" w:rsidRDefault="008E61FB">
      <w:pPr>
        <w:spacing w:before="200"/>
      </w:pPr>
    </w:p>
    <w:p w14:paraId="778F82A7" w14:textId="77777777" w:rsidR="008E61FB" w:rsidRDefault="00000000">
      <w:pPr>
        <w:spacing w:before="300"/>
      </w:pPr>
      <w:r>
        <w:rPr>
          <w:b/>
          <w:bCs/>
          <w:color w:val="808080"/>
          <w:sz w:val="26"/>
          <w:szCs w:val="26"/>
        </w:rPr>
        <w:t xml:space="preserve">2.  </w:t>
      </w:r>
      <w:r>
        <w:rPr>
          <w:b/>
          <w:bCs/>
          <w:color w:val="1F4E79"/>
          <w:sz w:val="26"/>
          <w:szCs w:val="26"/>
        </w:rPr>
        <w:t>Purpose of This Proposal</w:t>
      </w:r>
    </w:p>
    <w:p w14:paraId="57942692" w14:textId="77777777" w:rsidR="008E61FB" w:rsidRDefault="008E61FB">
      <w:pPr>
        <w:pBdr>
          <w:bottom w:val="single" w:sz="8" w:space="1" w:color="1F4E79"/>
        </w:pBdr>
        <w:spacing w:after="80"/>
      </w:pPr>
    </w:p>
    <w:p w14:paraId="69988A13" w14:textId="77777777" w:rsidR="008E61FB" w:rsidRDefault="00000000">
      <w:pPr>
        <w:spacing w:after="60"/>
      </w:pPr>
      <w:r>
        <w:t>This proposal is intended to:</w:t>
      </w:r>
    </w:p>
    <w:p w14:paraId="44EBC0C9" w14:textId="77777777" w:rsidR="008E61FB" w:rsidRDefault="00000000">
      <w:pPr>
        <w:pStyle w:val="ListParagraph"/>
        <w:numPr>
          <w:ilvl w:val="0"/>
          <w:numId w:val="2"/>
        </w:numPr>
        <w:spacing w:before="30" w:after="30"/>
      </w:pPr>
      <w:r>
        <w:rPr>
          <w:sz w:val="19"/>
          <w:szCs w:val="19"/>
        </w:rPr>
        <w:t>Outline a proposed operational and technology direction that has been developed based on this understanding.</w:t>
      </w:r>
    </w:p>
    <w:p w14:paraId="234FB33E" w14:textId="77777777" w:rsidR="008E61FB" w:rsidRDefault="00000000">
      <w:pPr>
        <w:pStyle w:val="ListParagraph"/>
        <w:numPr>
          <w:ilvl w:val="0"/>
          <w:numId w:val="2"/>
        </w:numPr>
        <w:spacing w:before="30" w:after="30"/>
      </w:pPr>
      <w:r>
        <w:rPr>
          <w:sz w:val="19"/>
          <w:szCs w:val="19"/>
        </w:rPr>
        <w:t>Establish a phased engagement approach that begins with diagnostic and blueprinting before technology deployment.</w:t>
      </w:r>
    </w:p>
    <w:p w14:paraId="439C0B4B" w14:textId="77777777" w:rsidR="008E61FB" w:rsidRDefault="00000000">
      <w:pPr>
        <w:pStyle w:val="ListParagraph"/>
        <w:numPr>
          <w:ilvl w:val="0"/>
          <w:numId w:val="2"/>
        </w:numPr>
        <w:spacing w:before="30" w:after="30"/>
      </w:pPr>
      <w:r>
        <w:rPr>
          <w:sz w:val="19"/>
          <w:szCs w:val="19"/>
        </w:rPr>
        <w:t>Define how process alignment and coordinated operational visibility can be progressively improved.</w:t>
      </w:r>
    </w:p>
    <w:p w14:paraId="546A17CF" w14:textId="77777777" w:rsidR="008E61FB" w:rsidRDefault="00000000">
      <w:pPr>
        <w:pStyle w:val="ListParagraph"/>
        <w:numPr>
          <w:ilvl w:val="0"/>
          <w:numId w:val="2"/>
        </w:numPr>
        <w:spacing w:before="30" w:after="30"/>
      </w:pPr>
      <w:r>
        <w:rPr>
          <w:sz w:val="19"/>
          <w:szCs w:val="19"/>
        </w:rPr>
        <w:t>Initiate a joint diagnostic and blueprinting engagement as the first concrete step.</w:t>
      </w:r>
    </w:p>
    <w:p w14:paraId="052038B2" w14:textId="77777777" w:rsidR="008E61FB" w:rsidRDefault="008E61FB">
      <w:pPr>
        <w:spacing w:before="8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8"/>
      </w:tblGrid>
      <w:tr w:rsidR="008E61FB" w14:paraId="657E0EB1" w14:textId="77777777">
        <w:tblPrEx>
          <w:tblCellMar>
            <w:top w:w="0" w:type="dxa"/>
            <w:bottom w:w="0" w:type="dxa"/>
          </w:tblCellMar>
        </w:tblPrEx>
        <w:tc>
          <w:tcPr>
            <w:tcW w:w="10368" w:type="dxa"/>
            <w:tcBorders>
              <w:top w:val="single" w:sz="4" w:space="0" w:color="1F4E79"/>
              <w:left w:val="single" w:sz="4" w:space="0" w:color="1F4E79"/>
              <w:bottom w:val="single" w:sz="4" w:space="0" w:color="1F4E79"/>
              <w:right w:val="single" w:sz="4" w:space="0" w:color="1F4E79"/>
            </w:tcBorders>
            <w:shd w:val="clear" w:color="auto" w:fill="EAF2F8"/>
            <w:tcMar>
              <w:top w:w="120" w:type="dxa"/>
              <w:left w:w="280" w:type="dxa"/>
              <w:bottom w:w="120" w:type="dxa"/>
              <w:right w:w="280" w:type="dxa"/>
            </w:tcMar>
          </w:tcPr>
          <w:p w14:paraId="402BA5A2" w14:textId="77777777" w:rsidR="008E61FB" w:rsidRDefault="00000000">
            <w:r>
              <w:rPr>
                <w:i/>
                <w:iCs/>
                <w:sz w:val="19"/>
                <w:szCs w:val="19"/>
              </w:rPr>
              <w:t>This proposal does not represent a finalised technical specification, completed architecture blueprint or fixed implementation scope. Those elements will be developed collaboratively during the diagnostic phase, ensuring the solution is grounded in validated operational reality rather than preliminary assumptions.</w:t>
            </w:r>
          </w:p>
        </w:tc>
      </w:tr>
    </w:tbl>
    <w:p w14:paraId="30068A26" w14:textId="77777777" w:rsidR="008E61FB" w:rsidRDefault="008E61FB">
      <w:pPr>
        <w:spacing w:before="200"/>
      </w:pPr>
    </w:p>
    <w:p w14:paraId="05EE9239" w14:textId="77777777" w:rsidR="008E61FB" w:rsidRDefault="00000000">
      <w:pPr>
        <w:spacing w:before="300"/>
      </w:pPr>
      <w:r>
        <w:rPr>
          <w:b/>
          <w:bCs/>
          <w:color w:val="808080"/>
          <w:sz w:val="26"/>
          <w:szCs w:val="26"/>
        </w:rPr>
        <w:t xml:space="preserve">3.  </w:t>
      </w:r>
      <w:r>
        <w:rPr>
          <w:b/>
          <w:bCs/>
          <w:color w:val="1F4E79"/>
          <w:sz w:val="26"/>
          <w:szCs w:val="26"/>
        </w:rPr>
        <w:t>Business Context</w:t>
      </w:r>
    </w:p>
    <w:p w14:paraId="2C6C53F3" w14:textId="77777777" w:rsidR="008E61FB" w:rsidRDefault="008E61FB">
      <w:pPr>
        <w:pBdr>
          <w:bottom w:val="single" w:sz="8" w:space="1" w:color="1F4E79"/>
        </w:pBdr>
        <w:spacing w:after="80"/>
      </w:pPr>
    </w:p>
    <w:p w14:paraId="52DD5071" w14:textId="77777777" w:rsidR="008E61FB" w:rsidRDefault="00000000">
      <w:pPr>
        <w:pBdr>
          <w:bottom w:val="single" w:sz="3" w:space="1" w:color="EAF2F8"/>
        </w:pBdr>
        <w:spacing w:before="180" w:after="60"/>
      </w:pPr>
      <w:r>
        <w:rPr>
          <w:b/>
          <w:bCs/>
          <w:color w:val="1F4E79"/>
          <w:sz w:val="21"/>
          <w:szCs w:val="21"/>
        </w:rPr>
        <w:t>3.1  The Operating Environment</w:t>
      </w:r>
    </w:p>
    <w:p w14:paraId="0F63DD9D" w14:textId="77777777" w:rsidR="008E61FB" w:rsidRDefault="00000000">
      <w:pPr>
        <w:spacing w:after="100"/>
      </w:pPr>
      <w:r>
        <w:t>ABL operates within a highly interconnected transshipment ecosystem supporting coal movement from source jetties to OGV loading operations. The operational chain involves coal production and stock availability, cargo quality and blending requirements, jetty loading operations, tug-barge fleet movements, river navigation constraints, floating crane and CTS coordination, OGV loading execution, and survey and certification milestones.</w:t>
      </w:r>
    </w:p>
    <w:p w14:paraId="05398C5B" w14:textId="77777777" w:rsidR="008E61FB" w:rsidRDefault="008E61FB">
      <w:pPr>
        <w:spacing w:before="60"/>
      </w:pPr>
    </w:p>
    <w:p w14:paraId="0BCA3B01" w14:textId="77777777" w:rsidR="008E61FB" w:rsidRDefault="00000000">
      <w:pPr>
        <w:spacing w:after="100"/>
      </w:pPr>
      <w:r>
        <w:t>Operational success depends on maintaining synchronisation across these interconnected activities. Changes at one operational node can rapidly affect downstream execution — a quality hold delays barge dispatch; a missed navigation window delays CTS throughput; a barge sequencing error affects OGV loading compliance. The system cannot be optimised node by node.</w:t>
      </w:r>
    </w:p>
    <w:p w14:paraId="684654D3" w14:textId="77777777" w:rsidR="008E61FB" w:rsidRDefault="008E61FB">
      <w:pPr>
        <w:spacing w:before="80"/>
      </w:pPr>
    </w:p>
    <w:p w14:paraId="6D311D15" w14:textId="77777777" w:rsidR="008E61FB" w:rsidRDefault="00000000">
      <w:pPr>
        <w:pBdr>
          <w:bottom w:val="single" w:sz="3" w:space="1" w:color="EAF2F8"/>
        </w:pBdr>
        <w:spacing w:before="180" w:after="60"/>
      </w:pPr>
      <w:r>
        <w:rPr>
          <w:b/>
          <w:bCs/>
          <w:color w:val="1F4E79"/>
          <w:sz w:val="21"/>
          <w:szCs w:val="21"/>
        </w:rPr>
        <w:t>3.2  The Berau–ABL Relationship</w:t>
      </w:r>
    </w:p>
    <w:p w14:paraId="1035A731" w14:textId="77777777" w:rsidR="008E61FB" w:rsidRDefault="00000000">
      <w:pPr>
        <w:spacing w:after="100"/>
      </w:pPr>
      <w:r>
        <w:t>This proposal treats Berau Coal and ABL as two operational halves of one flow system. Berau Coal is the cargo owner and demand generator: it determines what must be shipped, when, to which buyer and with what coal quality specification. ABL converts this demand into executable logistics flow through port, blending, tug-barge, CTS and OGV loading resources.</w:t>
      </w:r>
    </w:p>
    <w:p w14:paraId="755BC050" w14:textId="77777777" w:rsidR="008E61FB" w:rsidRDefault="008E61FB">
      <w:pPr>
        <w:spacing w:before="60"/>
      </w:pPr>
    </w:p>
    <w:p w14:paraId="5BEDC222" w14:textId="77777777" w:rsidR="008E61FB" w:rsidRDefault="00000000">
      <w:pPr>
        <w:spacing w:after="100"/>
      </w:pPr>
      <w:r>
        <w:t>The solution must therefore support a shared operational view across both entities — not separate, locally-optimised KPI frameworks. Customer delivery, laycan adherence, demurrage avoidance and asset productivity are shared outcomes that require shared visibility and coordinated decision-making.</w:t>
      </w:r>
    </w:p>
    <w:p w14:paraId="4B3D82F8" w14:textId="77777777" w:rsidR="008E61FB" w:rsidRDefault="008E61FB">
      <w:pPr>
        <w:spacing w:before="80"/>
      </w:pPr>
    </w:p>
    <w:p w14:paraId="11D63E29" w14:textId="77777777" w:rsidR="008E61FB" w:rsidRDefault="00000000">
      <w:pPr>
        <w:pBdr>
          <w:bottom w:val="single" w:sz="3" w:space="1" w:color="EAF2F8"/>
        </w:pBdr>
        <w:spacing w:before="180" w:after="60"/>
      </w:pPr>
      <w:r>
        <w:rPr>
          <w:b/>
          <w:bCs/>
          <w:color w:val="1F4E79"/>
          <w:sz w:val="21"/>
          <w:szCs w:val="21"/>
        </w:rPr>
        <w:t>3.3  Multi-Entity Coordination Challenge</w:t>
      </w:r>
    </w:p>
    <w:p w14:paraId="631B6B1B" w14:textId="77777777" w:rsidR="008E61FB" w:rsidRDefault="00000000">
      <w:pPr>
        <w:spacing w:after="100"/>
      </w:pPr>
      <w:r>
        <w:t xml:space="preserve">The operating environment spans multiple operational stakeholders, each with different operational priorities, timelines and performance measures. Coal production teams, marine operations, tug-barge crews, port and jetty teams, CTS and </w:t>
      </w:r>
      <w:r>
        <w:lastRenderedPageBreak/>
        <w:t>transshipment coordinators, and survey and quality stakeholders must all operate from a sufficiently aligned operational picture for the chain to flow reliably.</w:t>
      </w:r>
    </w:p>
    <w:p w14:paraId="2DE8DE33" w14:textId="77777777" w:rsidR="008E61FB" w:rsidRDefault="008E61FB">
      <w:pPr>
        <w:spacing w:before="60"/>
      </w:pPr>
    </w:p>
    <w:p w14:paraId="59A119E0" w14:textId="77777777" w:rsidR="008E61FB" w:rsidRDefault="00000000">
      <w:pPr>
        <w:spacing w:after="100"/>
      </w:pPr>
      <w:r>
        <w:t>As a result, operational coordination currently becomes reactive rather than synchronised when conditions change. The proposed engagement focuses not only on technology enablement, but equally on process alignment, operational visibility and governed coordination across operational entities.</w:t>
      </w:r>
    </w:p>
    <w:p w14:paraId="146A8DEE" w14:textId="77777777" w:rsidR="008E61FB" w:rsidRDefault="008E61FB">
      <w:pPr>
        <w:spacing w:before="200"/>
      </w:pPr>
    </w:p>
    <w:p w14:paraId="56D397FC" w14:textId="77777777" w:rsidR="008E61FB" w:rsidRDefault="00000000">
      <w:pPr>
        <w:spacing w:before="300"/>
      </w:pPr>
      <w:r>
        <w:rPr>
          <w:b/>
          <w:bCs/>
          <w:color w:val="808080"/>
          <w:sz w:val="26"/>
          <w:szCs w:val="26"/>
        </w:rPr>
        <w:t xml:space="preserve">4.  </w:t>
      </w:r>
      <w:r>
        <w:rPr>
          <w:b/>
          <w:bCs/>
          <w:color w:val="1F4E79"/>
          <w:sz w:val="26"/>
          <w:szCs w:val="26"/>
        </w:rPr>
        <w:t>Current Operating Realities</w:t>
      </w:r>
    </w:p>
    <w:p w14:paraId="0E7A850D" w14:textId="77777777" w:rsidR="008E61FB" w:rsidRDefault="008E61FB">
      <w:pPr>
        <w:pBdr>
          <w:bottom w:val="single" w:sz="8" w:space="1" w:color="1F4E79"/>
        </w:pBdr>
        <w:spacing w:after="80"/>
      </w:pPr>
    </w:p>
    <w:p w14:paraId="0D4F09C9" w14:textId="77777777" w:rsidR="008E61FB" w:rsidRDefault="00000000">
      <w:pPr>
        <w:spacing w:after="80"/>
      </w:pPr>
      <w:r>
        <w:t>Based on initial discussions and review of the current operating environment, the following recurring operational realities have been identified. These observations informed the proposed engagement direction and will be formally validated during the diagnostic phase.</w:t>
      </w:r>
    </w:p>
    <w:p w14:paraId="2C371121" w14:textId="77777777" w:rsidR="008E61FB" w:rsidRDefault="00000000">
      <w:pPr>
        <w:pBdr>
          <w:bottom w:val="single" w:sz="3" w:space="1" w:color="EAF2F8"/>
        </w:pBdr>
        <w:spacing w:before="180" w:after="60"/>
      </w:pPr>
      <w:r>
        <w:rPr>
          <w:b/>
          <w:bCs/>
          <w:color w:val="1F4E79"/>
          <w:sz w:val="21"/>
          <w:szCs w:val="21"/>
        </w:rPr>
        <w:t>4.1  Dynamic and Frequently Revised Planning Environment</w:t>
      </w:r>
    </w:p>
    <w:p w14:paraId="5798DFCD" w14:textId="77777777" w:rsidR="008E61FB" w:rsidRDefault="00000000">
      <w:pPr>
        <w:spacing w:after="100"/>
      </w:pPr>
      <w:r>
        <w:t>Operational plans may change monthly, weekly, daily and sometimes intra-day. Changes include source jetty revisions, cargo quality changes, OGV arrival delays, loading sequence adjustments, reassignment of tug-barge resources and environmental constraint impacts. The current planning tools and coordination channels are not designed to absorb this rate of change without significant manual effort and reactive replanning.</w:t>
      </w:r>
    </w:p>
    <w:p w14:paraId="1ECE99E2" w14:textId="77777777" w:rsidR="008E61FB" w:rsidRDefault="008E61FB">
      <w:pPr>
        <w:spacing w:before="80"/>
      </w:pPr>
    </w:p>
    <w:p w14:paraId="76F247D8" w14:textId="77777777" w:rsidR="008E61FB" w:rsidRDefault="00000000">
      <w:pPr>
        <w:pBdr>
          <w:bottom w:val="single" w:sz="3" w:space="1" w:color="EAF2F8"/>
        </w:pBdr>
        <w:spacing w:before="180" w:after="60"/>
      </w:pPr>
      <w:r>
        <w:rPr>
          <w:b/>
          <w:bCs/>
          <w:color w:val="1F4E79"/>
          <w:sz w:val="21"/>
          <w:szCs w:val="21"/>
        </w:rPr>
        <w:t>4.2  Variable Route and Cycle Times</w:t>
      </w:r>
    </w:p>
    <w:p w14:paraId="47BB1404" w14:textId="77777777" w:rsidR="008E61FB" w:rsidRDefault="00000000">
      <w:pPr>
        <w:spacing w:after="100"/>
      </w:pPr>
      <w:r>
        <w:t>Jetty locations and route conditions create materially different operating cycle times. Nearby jetty cycles may complete in nine to twelve hours; the farthest routes can consume 48 to 70 hours under field conditions. Fleet productivity is therefore affected not only by fleet quantity, but by route allocation, operational timing, queue management and synchronisation quality. A generic fleet-allocation approach systematically masks this variability.</w:t>
      </w:r>
    </w:p>
    <w:p w14:paraId="6EFBC2AE" w14:textId="77777777" w:rsidR="008E61FB" w:rsidRDefault="008E61FB">
      <w:pPr>
        <w:spacing w:before="80"/>
      </w:pPr>
    </w:p>
    <w:p w14:paraId="4B687643" w14:textId="77777777" w:rsidR="008E61FB" w:rsidRDefault="00000000">
      <w:pPr>
        <w:pBdr>
          <w:bottom w:val="single" w:sz="3" w:space="1" w:color="EAF2F8"/>
        </w:pBdr>
        <w:spacing w:before="180" w:after="60"/>
      </w:pPr>
      <w:r>
        <w:rPr>
          <w:b/>
          <w:bCs/>
          <w:color w:val="1F4E79"/>
          <w:sz w:val="21"/>
          <w:szCs w:val="21"/>
        </w:rPr>
        <w:t>4.3  Environmental and Navigation Constraints</w:t>
      </w:r>
    </w:p>
    <w:p w14:paraId="018DB54C" w14:textId="77777777" w:rsidR="008E61FB" w:rsidRDefault="00000000">
      <w:pPr>
        <w:spacing w:after="100"/>
      </w:pPr>
      <w:r>
        <w:t>Operational execution is affected by tide windows, bridge opening schedules, river draft limitations, weather conditions and navigation bottlenecks. These constraints directly influence movement feasibility and scheduling reliability. Low-tide grounding is a primary operational risk. Field teams currently make dispatch decisions against these constraints without consistent system-backed guidance, creating both safety and productivity exposure.</w:t>
      </w:r>
    </w:p>
    <w:p w14:paraId="3470C6A1" w14:textId="77777777" w:rsidR="008E61FB" w:rsidRDefault="008E61FB">
      <w:pPr>
        <w:spacing w:before="80"/>
      </w:pPr>
    </w:p>
    <w:p w14:paraId="6580D3CC" w14:textId="77777777" w:rsidR="008E61FB" w:rsidRDefault="00000000">
      <w:pPr>
        <w:pBdr>
          <w:bottom w:val="single" w:sz="3" w:space="1" w:color="EAF2F8"/>
        </w:pBdr>
        <w:spacing w:before="180" w:after="60"/>
      </w:pPr>
      <w:r>
        <w:rPr>
          <w:b/>
          <w:bCs/>
          <w:color w:val="1F4E79"/>
          <w:sz w:val="21"/>
          <w:szCs w:val="21"/>
        </w:rPr>
        <w:t>4.4  Operational Visibility Gaps</w:t>
      </w:r>
    </w:p>
    <w:p w14:paraId="1A4A1F20" w14:textId="77777777" w:rsidR="008E61FB" w:rsidRDefault="00000000">
      <w:pPr>
        <w:spacing w:after="100"/>
      </w:pPr>
      <w:r>
        <w:t>Fleet tracking systems provide movement and position visibility, but operational coordination still faces challenges related to inconsistent activity reporting, fragmented operational updates, delayed visibility into execution status and limited synchronisation between planning and field execution. Position data alone does not confirm what an asset is doing, why it is stationary, when it will next be available or what is blocking its progress.</w:t>
      </w:r>
    </w:p>
    <w:p w14:paraId="2898E0E6" w14:textId="77777777" w:rsidR="008E61FB" w:rsidRDefault="008E61FB">
      <w:pPr>
        <w:spacing w:before="80"/>
      </w:pPr>
    </w:p>
    <w:p w14:paraId="0BF89BF8" w14:textId="77777777" w:rsidR="008E61FB" w:rsidRDefault="00000000">
      <w:pPr>
        <w:pBdr>
          <w:bottom w:val="single" w:sz="3" w:space="1" w:color="EAF2F8"/>
        </w:pBdr>
        <w:spacing w:before="180" w:after="60"/>
      </w:pPr>
      <w:r>
        <w:rPr>
          <w:b/>
          <w:bCs/>
          <w:color w:val="1F4E79"/>
          <w:sz w:val="21"/>
          <w:szCs w:val="21"/>
        </w:rPr>
        <w:t>4.5  Cross-Functional Coordination Gaps</w:t>
      </w:r>
    </w:p>
    <w:p w14:paraId="5B842659" w14:textId="77777777" w:rsidR="008E61FB" w:rsidRDefault="00000000">
      <w:pPr>
        <w:spacing w:after="100"/>
      </w:pPr>
      <w:r>
        <w:t>Different operational groups may optimise for different outcomes: jetty productivity, fleet utilisation, shipment completion, OGV turnaround or local operational efficiency. Without a shared operational coordination framework, locally rational decisions can create downstream bottlenecks and avoidable inefficiencies across the wider chain. The absence of cross-functional visibility and shared KPIs is a structural coordination challenge, not merely a technology gap.</w:t>
      </w:r>
    </w:p>
    <w:p w14:paraId="77C01971" w14:textId="77777777" w:rsidR="008E61FB" w:rsidRDefault="008E61FB">
      <w:pPr>
        <w:spacing w:before="80"/>
      </w:pPr>
    </w:p>
    <w:p w14:paraId="1F9D0095" w14:textId="77777777" w:rsidR="008E61FB" w:rsidRDefault="00000000">
      <w:pPr>
        <w:pBdr>
          <w:bottom w:val="single" w:sz="3" w:space="1" w:color="EAF2F8"/>
        </w:pBdr>
        <w:spacing w:before="180" w:after="60"/>
      </w:pPr>
      <w:r>
        <w:rPr>
          <w:b/>
          <w:bCs/>
          <w:color w:val="1F4E79"/>
          <w:sz w:val="21"/>
          <w:szCs w:val="21"/>
        </w:rPr>
        <w:t>4.6  Decision Confidence and Accountability</w:t>
      </w:r>
    </w:p>
    <w:p w14:paraId="652C29C5" w14:textId="77777777" w:rsidR="008E61FB" w:rsidRDefault="00000000">
      <w:pPr>
        <w:spacing w:after="100"/>
      </w:pPr>
      <w:r>
        <w:lastRenderedPageBreak/>
        <w:t>Field teams may face situations where the operationally correct decision — such as waiting for a tide window rather than risking a grounding — is difficult to justify without system-backed evidence. The current environment requires field personnel to make consequential decisions informally, without structured support or a clear approval and audit trail. This creates both operational risk and accountability gaps.</w:t>
      </w:r>
    </w:p>
    <w:p w14:paraId="6A4B5C01" w14:textId="77777777" w:rsidR="008E61FB" w:rsidRDefault="008E61FB">
      <w:pPr>
        <w:spacing w:before="200"/>
      </w:pPr>
    </w:p>
    <w:p w14:paraId="681592B7" w14:textId="77777777" w:rsidR="008E61FB" w:rsidRDefault="00000000">
      <w:pPr>
        <w:spacing w:before="300"/>
      </w:pPr>
      <w:r>
        <w:rPr>
          <w:b/>
          <w:bCs/>
          <w:color w:val="808080"/>
          <w:sz w:val="26"/>
          <w:szCs w:val="26"/>
        </w:rPr>
        <w:t xml:space="preserve">5.  </w:t>
      </w:r>
      <w:r>
        <w:rPr>
          <w:b/>
          <w:bCs/>
          <w:color w:val="1F4E79"/>
          <w:sz w:val="26"/>
          <w:szCs w:val="26"/>
        </w:rPr>
        <w:t>End-to-End Operational Chain</w:t>
      </w:r>
    </w:p>
    <w:p w14:paraId="1EAA5617" w14:textId="77777777" w:rsidR="008E61FB" w:rsidRDefault="008E61FB">
      <w:pPr>
        <w:pBdr>
          <w:bottom w:val="single" w:sz="8" w:space="1" w:color="1F4E79"/>
        </w:pBdr>
        <w:spacing w:after="80"/>
      </w:pPr>
    </w:p>
    <w:p w14:paraId="07B58182" w14:textId="77777777" w:rsidR="008E61FB" w:rsidRDefault="00000000">
      <w:pPr>
        <w:spacing w:after="100"/>
      </w:pPr>
      <w:r>
        <w:t>The diagram below represents the operational chain that the proposed platform must coordinate. Every scheduling dependency, operational constraint and coordination challenge identified in Section 4 maps directly to one or more stages in this flow. The platform design will be grounded in this chain during the diagnostic and blueprinting phase.</w:t>
      </w:r>
    </w:p>
    <w:p w14:paraId="593600D6" w14:textId="77777777" w:rsidR="008E61FB" w:rsidRDefault="008E61FB">
      <w:pPr>
        <w:spacing w:before="100"/>
      </w:pPr>
    </w:p>
    <w:p w14:paraId="07CAFCD2" w14:textId="77777777" w:rsidR="008E61FB" w:rsidRDefault="008E61FB">
      <w:pPr>
        <w:spacing w:before="80"/>
      </w:pPr>
    </w:p>
    <w:tbl>
      <w:tblPr>
        <w:tblW w:w="10368" w:type="dxa"/>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0368"/>
      </w:tblGrid>
      <w:tr w:rsidR="008E61FB" w14:paraId="0482A8B8" w14:textId="77777777">
        <w:tblPrEx>
          <w:tblCellMar>
            <w:top w:w="0" w:type="dxa"/>
            <w:bottom w:w="0" w:type="dxa"/>
          </w:tblCellMar>
        </w:tblPrEx>
        <w:tc>
          <w:tcPr>
            <w:tcW w:w="10368" w:type="dxa"/>
            <w:tcBorders>
              <w:top w:val="single" w:sz="1" w:space="0" w:color="1F4E79"/>
              <w:left w:val="single" w:sz="1" w:space="0" w:color="1F4E79"/>
              <w:bottom w:val="single" w:sz="1" w:space="0" w:color="1F4E79"/>
              <w:right w:val="single" w:sz="1" w:space="0" w:color="1F4E79"/>
            </w:tcBorders>
            <w:shd w:val="clear" w:color="auto" w:fill="EBF3FB"/>
            <w:tcMar>
              <w:top w:w="80" w:type="dxa"/>
              <w:left w:w="200" w:type="dxa"/>
              <w:bottom w:w="80" w:type="dxa"/>
              <w:right w:w="200" w:type="dxa"/>
            </w:tcMar>
            <w:vAlign w:val="center"/>
          </w:tcPr>
          <w:p w14:paraId="1151A70F" w14:textId="77777777" w:rsidR="008E61FB" w:rsidRDefault="00000000">
            <w:pPr>
              <w:spacing w:before="80" w:after="80"/>
              <w:jc w:val="center"/>
            </w:pPr>
            <w:r>
              <w:rPr>
                <w:b/>
                <w:bCs/>
                <w:color w:val="1F4E79"/>
                <w:sz w:val="18"/>
                <w:szCs w:val="18"/>
              </w:rPr>
              <w:t>END-TO-END OPERATIONAL FLOW — FROM SHIPMENT COMMITMENT TO OGV DEPARTURE</w:t>
            </w:r>
          </w:p>
        </w:tc>
      </w:tr>
    </w:tbl>
    <w:p w14:paraId="238F4C26" w14:textId="77777777" w:rsidR="008E61FB" w:rsidRDefault="008E61FB">
      <w:pPr>
        <w:spacing w:before="70"/>
      </w:pPr>
    </w:p>
    <w:tbl>
      <w:tblPr>
        <w:tblW w:w="10368" w:type="dxa"/>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82"/>
        <w:gridCol w:w="1481"/>
        <w:gridCol w:w="1481"/>
        <w:gridCol w:w="1481"/>
        <w:gridCol w:w="1481"/>
        <w:gridCol w:w="1481"/>
        <w:gridCol w:w="1481"/>
      </w:tblGrid>
      <w:tr w:rsidR="008E61FB" w14:paraId="59AD2A4A" w14:textId="77777777">
        <w:tblPrEx>
          <w:tblCellMar>
            <w:top w:w="0" w:type="dxa"/>
            <w:bottom w:w="0" w:type="dxa"/>
          </w:tblCellMar>
        </w:tblPrEx>
        <w:tc>
          <w:tcPr>
            <w:tcW w:w="1481" w:type="dxa"/>
            <w:tcBorders>
              <w:top w:val="single" w:sz="1" w:space="0" w:color="1F4E79"/>
              <w:left w:val="single" w:sz="1" w:space="0" w:color="1F4E79"/>
              <w:bottom w:val="single" w:sz="1" w:space="0" w:color="1F4E79"/>
              <w:right w:val="single" w:sz="1" w:space="0" w:color="1F4E79"/>
            </w:tcBorders>
            <w:shd w:val="clear" w:color="auto" w:fill="1F4E79"/>
            <w:tcMar>
              <w:top w:w="55" w:type="dxa"/>
              <w:left w:w="60" w:type="dxa"/>
              <w:bottom w:w="55" w:type="dxa"/>
              <w:right w:w="60" w:type="dxa"/>
            </w:tcMar>
            <w:vAlign w:val="center"/>
          </w:tcPr>
          <w:p w14:paraId="4B691536" w14:textId="77777777" w:rsidR="008E61FB" w:rsidRDefault="00000000">
            <w:pPr>
              <w:spacing w:before="55" w:after="55"/>
              <w:jc w:val="center"/>
            </w:pPr>
            <w:r>
              <w:rPr>
                <w:b/>
                <w:bCs/>
                <w:color w:val="FFFFFF"/>
                <w:sz w:val="17"/>
                <w:szCs w:val="17"/>
              </w:rPr>
              <w:t>STAGE 1</w:t>
            </w:r>
            <w:r>
              <w:br/>
            </w:r>
            <w:r>
              <w:rPr>
                <w:b/>
                <w:bCs/>
                <w:color w:val="FFFFFF"/>
                <w:sz w:val="17"/>
                <w:szCs w:val="17"/>
              </w:rPr>
              <w:t>Mine / CPP</w:t>
            </w:r>
            <w:r>
              <w:br/>
            </w:r>
            <w:r>
              <w:rPr>
                <w:b/>
                <w:bCs/>
                <w:color w:val="FFFFFF"/>
                <w:sz w:val="17"/>
                <w:szCs w:val="17"/>
              </w:rPr>
              <w:t>Stockpile</w:t>
            </w:r>
          </w:p>
        </w:tc>
        <w:tc>
          <w:tcPr>
            <w:tcW w:w="1481" w:type="dxa"/>
            <w:tcBorders>
              <w:top w:val="single" w:sz="1" w:space="0" w:color="2E6DA4"/>
              <w:left w:val="single" w:sz="1" w:space="0" w:color="2E6DA4"/>
              <w:bottom w:val="single" w:sz="1" w:space="0" w:color="2E6DA4"/>
              <w:right w:val="single" w:sz="1" w:space="0" w:color="2E6DA4"/>
            </w:tcBorders>
            <w:shd w:val="clear" w:color="auto" w:fill="2E6DA4"/>
            <w:tcMar>
              <w:top w:w="55" w:type="dxa"/>
              <w:left w:w="60" w:type="dxa"/>
              <w:bottom w:w="55" w:type="dxa"/>
              <w:right w:w="60" w:type="dxa"/>
            </w:tcMar>
            <w:vAlign w:val="center"/>
          </w:tcPr>
          <w:p w14:paraId="195F966E" w14:textId="77777777" w:rsidR="008E61FB" w:rsidRDefault="00000000">
            <w:pPr>
              <w:spacing w:before="55" w:after="55"/>
              <w:jc w:val="center"/>
            </w:pPr>
            <w:r>
              <w:rPr>
                <w:b/>
                <w:bCs/>
                <w:color w:val="FFFFFF"/>
                <w:sz w:val="17"/>
                <w:szCs w:val="17"/>
              </w:rPr>
              <w:t>STAGE 2</w:t>
            </w:r>
            <w:r>
              <w:br/>
            </w:r>
            <w:r>
              <w:rPr>
                <w:b/>
                <w:bCs/>
                <w:color w:val="FFFFFF"/>
                <w:sz w:val="17"/>
                <w:szCs w:val="17"/>
              </w:rPr>
              <w:t>Jetty / BLC</w:t>
            </w:r>
            <w:r>
              <w:br/>
            </w:r>
            <w:r>
              <w:rPr>
                <w:b/>
                <w:bCs/>
                <w:color w:val="FFFFFF"/>
                <w:sz w:val="17"/>
                <w:szCs w:val="17"/>
              </w:rPr>
              <w:t>Loading</w:t>
            </w:r>
          </w:p>
        </w:tc>
        <w:tc>
          <w:tcPr>
            <w:tcW w:w="1481" w:type="dxa"/>
            <w:tcBorders>
              <w:top w:val="single" w:sz="1" w:space="0" w:color="2874A6"/>
              <w:left w:val="single" w:sz="1" w:space="0" w:color="2874A6"/>
              <w:bottom w:val="single" w:sz="1" w:space="0" w:color="2874A6"/>
              <w:right w:val="single" w:sz="1" w:space="0" w:color="2874A6"/>
            </w:tcBorders>
            <w:shd w:val="clear" w:color="auto" w:fill="2874A6"/>
            <w:tcMar>
              <w:top w:w="55" w:type="dxa"/>
              <w:left w:w="60" w:type="dxa"/>
              <w:bottom w:w="55" w:type="dxa"/>
              <w:right w:w="60" w:type="dxa"/>
            </w:tcMar>
            <w:vAlign w:val="center"/>
          </w:tcPr>
          <w:p w14:paraId="031ABD53" w14:textId="77777777" w:rsidR="008E61FB" w:rsidRDefault="00000000">
            <w:pPr>
              <w:spacing w:before="55" w:after="55"/>
              <w:jc w:val="center"/>
            </w:pPr>
            <w:r>
              <w:rPr>
                <w:b/>
                <w:bCs/>
                <w:color w:val="FFFFFF"/>
                <w:sz w:val="17"/>
                <w:szCs w:val="17"/>
              </w:rPr>
              <w:t>STAGE 3</w:t>
            </w:r>
            <w:r>
              <w:br/>
            </w:r>
            <w:r>
              <w:rPr>
                <w:b/>
                <w:bCs/>
                <w:color w:val="FFFFFF"/>
                <w:sz w:val="17"/>
                <w:szCs w:val="17"/>
              </w:rPr>
              <w:t>Tug + Barge</w:t>
            </w:r>
            <w:r>
              <w:br/>
            </w:r>
            <w:r>
              <w:rPr>
                <w:b/>
                <w:bCs/>
                <w:color w:val="FFFFFF"/>
                <w:sz w:val="17"/>
                <w:szCs w:val="17"/>
              </w:rPr>
              <w:t>River Run</w:t>
            </w:r>
          </w:p>
        </w:tc>
        <w:tc>
          <w:tcPr>
            <w:tcW w:w="1481" w:type="dxa"/>
            <w:tcBorders>
              <w:top w:val="single" w:sz="1" w:space="0" w:color="1A7F8E"/>
              <w:left w:val="single" w:sz="1" w:space="0" w:color="1A7F8E"/>
              <w:bottom w:val="single" w:sz="1" w:space="0" w:color="1A7F8E"/>
              <w:right w:val="single" w:sz="1" w:space="0" w:color="1A7F8E"/>
            </w:tcBorders>
            <w:shd w:val="clear" w:color="auto" w:fill="1A7F8E"/>
            <w:tcMar>
              <w:top w:w="55" w:type="dxa"/>
              <w:left w:w="60" w:type="dxa"/>
              <w:bottom w:w="55" w:type="dxa"/>
              <w:right w:w="60" w:type="dxa"/>
            </w:tcMar>
            <w:vAlign w:val="center"/>
          </w:tcPr>
          <w:p w14:paraId="33DDD7F1" w14:textId="77777777" w:rsidR="008E61FB" w:rsidRDefault="00000000">
            <w:pPr>
              <w:spacing w:before="55" w:after="55"/>
              <w:jc w:val="center"/>
            </w:pPr>
            <w:r>
              <w:rPr>
                <w:b/>
                <w:bCs/>
                <w:color w:val="FFFFFF"/>
                <w:sz w:val="17"/>
                <w:szCs w:val="17"/>
              </w:rPr>
              <w:t>STAGE 4</w:t>
            </w:r>
            <w:r>
              <w:br/>
            </w:r>
            <w:r>
              <w:rPr>
                <w:b/>
                <w:bCs/>
                <w:color w:val="FFFFFF"/>
                <w:sz w:val="17"/>
                <w:szCs w:val="17"/>
              </w:rPr>
              <w:t>Tide · Bridge</w:t>
            </w:r>
            <w:r>
              <w:br/>
            </w:r>
            <w:r>
              <w:rPr>
                <w:b/>
                <w:bCs/>
                <w:color w:val="FFFFFF"/>
                <w:sz w:val="17"/>
                <w:szCs w:val="17"/>
              </w:rPr>
              <w:t>Windows</w:t>
            </w:r>
          </w:p>
        </w:tc>
        <w:tc>
          <w:tcPr>
            <w:tcW w:w="1481" w:type="dxa"/>
            <w:tcBorders>
              <w:top w:val="single" w:sz="1" w:space="0" w:color="148F77"/>
              <w:left w:val="single" w:sz="1" w:space="0" w:color="148F77"/>
              <w:bottom w:val="single" w:sz="1" w:space="0" w:color="148F77"/>
              <w:right w:val="single" w:sz="1" w:space="0" w:color="148F77"/>
            </w:tcBorders>
            <w:shd w:val="clear" w:color="auto" w:fill="148F77"/>
            <w:tcMar>
              <w:top w:w="55" w:type="dxa"/>
              <w:left w:w="60" w:type="dxa"/>
              <w:bottom w:w="55" w:type="dxa"/>
              <w:right w:w="60" w:type="dxa"/>
            </w:tcMar>
            <w:vAlign w:val="center"/>
          </w:tcPr>
          <w:p w14:paraId="60B21AA2" w14:textId="77777777" w:rsidR="008E61FB" w:rsidRDefault="00000000">
            <w:pPr>
              <w:spacing w:before="55" w:after="55"/>
              <w:jc w:val="center"/>
            </w:pPr>
            <w:r>
              <w:rPr>
                <w:b/>
                <w:bCs/>
                <w:color w:val="FFFFFF"/>
                <w:sz w:val="17"/>
                <w:szCs w:val="17"/>
              </w:rPr>
              <w:t>STAGE 5</w:t>
            </w:r>
            <w:r>
              <w:br/>
            </w:r>
            <w:r>
              <w:rPr>
                <w:b/>
                <w:bCs/>
                <w:color w:val="FFFFFF"/>
                <w:sz w:val="17"/>
                <w:szCs w:val="17"/>
              </w:rPr>
              <w:t>CTS / FTS</w:t>
            </w:r>
            <w:r>
              <w:br/>
            </w:r>
            <w:r>
              <w:rPr>
                <w:b/>
                <w:bCs/>
                <w:color w:val="FFFFFF"/>
                <w:sz w:val="17"/>
                <w:szCs w:val="17"/>
              </w:rPr>
              <w:t>Float. Crane</w:t>
            </w:r>
          </w:p>
        </w:tc>
        <w:tc>
          <w:tcPr>
            <w:tcW w:w="1481" w:type="dxa"/>
            <w:tcBorders>
              <w:top w:val="single" w:sz="1" w:space="0" w:color="1F618D"/>
              <w:left w:val="single" w:sz="1" w:space="0" w:color="1F618D"/>
              <w:bottom w:val="single" w:sz="1" w:space="0" w:color="1F618D"/>
              <w:right w:val="single" w:sz="1" w:space="0" w:color="1F618D"/>
            </w:tcBorders>
            <w:shd w:val="clear" w:color="auto" w:fill="1F618D"/>
            <w:tcMar>
              <w:top w:w="55" w:type="dxa"/>
              <w:left w:w="60" w:type="dxa"/>
              <w:bottom w:w="55" w:type="dxa"/>
              <w:right w:w="60" w:type="dxa"/>
            </w:tcMar>
            <w:vAlign w:val="center"/>
          </w:tcPr>
          <w:p w14:paraId="2BB4A0C7" w14:textId="77777777" w:rsidR="008E61FB" w:rsidRDefault="00000000">
            <w:pPr>
              <w:spacing w:before="55" w:after="55"/>
              <w:jc w:val="center"/>
            </w:pPr>
            <w:r>
              <w:rPr>
                <w:b/>
                <w:bCs/>
                <w:color w:val="FFFFFF"/>
                <w:sz w:val="17"/>
                <w:szCs w:val="17"/>
              </w:rPr>
              <w:t>STAGE 6</w:t>
            </w:r>
            <w:r>
              <w:br/>
            </w:r>
            <w:r>
              <w:rPr>
                <w:b/>
                <w:bCs/>
                <w:color w:val="FFFFFF"/>
                <w:sz w:val="17"/>
                <w:szCs w:val="17"/>
              </w:rPr>
              <w:t>OGV Loading</w:t>
            </w:r>
            <w:r>
              <w:br/>
            </w:r>
            <w:r>
              <w:rPr>
                <w:b/>
                <w:bCs/>
                <w:color w:val="FFFFFF"/>
                <w:sz w:val="17"/>
                <w:szCs w:val="17"/>
              </w:rPr>
              <w:t>&amp; Survey</w:t>
            </w:r>
          </w:p>
        </w:tc>
        <w:tc>
          <w:tcPr>
            <w:tcW w:w="1481" w:type="dxa"/>
            <w:tcBorders>
              <w:top w:val="single" w:sz="1" w:space="0" w:color="154360"/>
              <w:left w:val="single" w:sz="1" w:space="0" w:color="154360"/>
              <w:bottom w:val="single" w:sz="1" w:space="0" w:color="154360"/>
              <w:right w:val="single" w:sz="1" w:space="0" w:color="154360"/>
            </w:tcBorders>
            <w:shd w:val="clear" w:color="auto" w:fill="154360"/>
            <w:tcMar>
              <w:top w:w="55" w:type="dxa"/>
              <w:left w:w="60" w:type="dxa"/>
              <w:bottom w:w="55" w:type="dxa"/>
              <w:right w:w="60" w:type="dxa"/>
            </w:tcMar>
            <w:vAlign w:val="center"/>
          </w:tcPr>
          <w:p w14:paraId="4B88C9A9" w14:textId="77777777" w:rsidR="008E61FB" w:rsidRDefault="00000000">
            <w:pPr>
              <w:spacing w:before="55" w:after="55"/>
              <w:jc w:val="center"/>
            </w:pPr>
            <w:r>
              <w:rPr>
                <w:b/>
                <w:bCs/>
                <w:color w:val="FFFFFF"/>
                <w:sz w:val="17"/>
                <w:szCs w:val="17"/>
              </w:rPr>
              <w:t>STAGE 7</w:t>
            </w:r>
            <w:r>
              <w:br/>
            </w:r>
            <w:r>
              <w:rPr>
                <w:b/>
                <w:bCs/>
                <w:color w:val="FFFFFF"/>
                <w:sz w:val="17"/>
                <w:szCs w:val="17"/>
              </w:rPr>
              <w:t>Customer</w:t>
            </w:r>
            <w:r>
              <w:br/>
            </w:r>
            <w:r>
              <w:rPr>
                <w:b/>
                <w:bCs/>
                <w:color w:val="FFFFFF"/>
                <w:sz w:val="17"/>
                <w:szCs w:val="17"/>
              </w:rPr>
              <w:t>Delivery</w:t>
            </w:r>
          </w:p>
        </w:tc>
      </w:tr>
    </w:tbl>
    <w:p w14:paraId="633C472D" w14:textId="77777777" w:rsidR="008E61FB" w:rsidRDefault="008E61FB">
      <w:pPr>
        <w:spacing w:before="70"/>
      </w:pPr>
    </w:p>
    <w:tbl>
      <w:tblPr>
        <w:tblW w:w="10368" w:type="dxa"/>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500"/>
        <w:gridCol w:w="8868"/>
      </w:tblGrid>
      <w:tr w:rsidR="008E61FB" w14:paraId="4CD74891"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20" w:type="dxa"/>
              <w:bottom w:w="60" w:type="dxa"/>
              <w:right w:w="80" w:type="dxa"/>
            </w:tcMar>
            <w:vAlign w:val="center"/>
          </w:tcPr>
          <w:p w14:paraId="1A837193" w14:textId="77777777" w:rsidR="008E61FB" w:rsidRDefault="00000000">
            <w:pPr>
              <w:spacing w:before="60" w:after="60"/>
            </w:pPr>
            <w:r>
              <w:rPr>
                <w:b/>
                <w:bCs/>
                <w:color w:val="1F4E79"/>
                <w:sz w:val="17"/>
                <w:szCs w:val="17"/>
              </w:rPr>
              <w:t>Cross-Cutting</w:t>
            </w:r>
            <w:r>
              <w:br/>
            </w:r>
            <w:r>
              <w:rPr>
                <w:b/>
                <w:bCs/>
                <w:color w:val="1F4E79"/>
                <w:sz w:val="17"/>
                <w:szCs w:val="17"/>
              </w:rPr>
              <w:t>Constraints</w:t>
            </w:r>
          </w:p>
        </w:tc>
        <w:tc>
          <w:tcPr>
            <w:tcW w:w="8868" w:type="dxa"/>
            <w:tcBorders>
              <w:top w:val="single" w:sz="1" w:space="0" w:color="BDD7EE"/>
              <w:left w:val="single" w:sz="1" w:space="0" w:color="BDD7EE"/>
              <w:bottom w:val="single" w:sz="1" w:space="0" w:color="BDD7EE"/>
              <w:right w:val="single" w:sz="1" w:space="0" w:color="BDD7EE"/>
            </w:tcBorders>
            <w:shd w:val="clear" w:color="auto" w:fill="EBF3FB"/>
            <w:tcMar>
              <w:top w:w="60" w:type="dxa"/>
              <w:left w:w="80" w:type="dxa"/>
              <w:bottom w:w="60" w:type="dxa"/>
              <w:right w:w="80" w:type="dxa"/>
            </w:tcMar>
            <w:vAlign w:val="center"/>
          </w:tcPr>
          <w:p w14:paraId="3FA8E147" w14:textId="77777777" w:rsidR="008E61FB" w:rsidRDefault="00000000">
            <w:pPr>
              <w:spacing w:before="60" w:after="60"/>
            </w:pPr>
            <w:r>
              <w:rPr>
                <w:color w:val="1F4E79"/>
                <w:sz w:val="16"/>
                <w:szCs w:val="16"/>
              </w:rPr>
              <w:t xml:space="preserve">  Coal Production &amp; Cargo Readiness  ·  Blend &amp; Quality Requirements  ·  Tide &amp; Bridge Windows  ·  River Draft &amp; Navigation Constraints  ·  Asset &amp; Fleet Availability  ·  OGV Laycan &amp; Hatch Sequence  ·  Survey Milestones  ·  Environmental Conditions  ·  Charter Lead Times</w:t>
            </w:r>
          </w:p>
        </w:tc>
      </w:tr>
    </w:tbl>
    <w:p w14:paraId="7A07D277" w14:textId="77777777" w:rsidR="008E61FB" w:rsidRDefault="008E61FB">
      <w:pPr>
        <w:spacing w:before="70"/>
      </w:pPr>
    </w:p>
    <w:tbl>
      <w:tblPr>
        <w:tblW w:w="10368" w:type="dxa"/>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82"/>
        <w:gridCol w:w="1481"/>
        <w:gridCol w:w="1481"/>
        <w:gridCol w:w="1481"/>
        <w:gridCol w:w="1481"/>
        <w:gridCol w:w="1481"/>
        <w:gridCol w:w="1481"/>
      </w:tblGrid>
      <w:tr w:rsidR="008E61FB" w14:paraId="1743765C" w14:textId="77777777">
        <w:tblPrEx>
          <w:tblCellMar>
            <w:top w:w="0" w:type="dxa"/>
            <w:bottom w:w="0" w:type="dxa"/>
          </w:tblCellMar>
        </w:tblPrEx>
        <w:tc>
          <w:tcPr>
            <w:tcW w:w="1481" w:type="dxa"/>
            <w:tcBorders>
              <w:top w:val="single" w:sz="1" w:space="0" w:color="2E6DA4"/>
              <w:left w:val="single" w:sz="1" w:space="0" w:color="2E6DA4"/>
              <w:bottom w:val="single" w:sz="1" w:space="0" w:color="2E6DA4"/>
              <w:right w:val="single" w:sz="1" w:space="0" w:color="2E6DA4"/>
            </w:tcBorders>
            <w:shd w:val="clear" w:color="auto" w:fill="EBF3FB"/>
            <w:tcMar>
              <w:top w:w="40" w:type="dxa"/>
              <w:left w:w="60" w:type="dxa"/>
              <w:bottom w:w="40" w:type="dxa"/>
              <w:right w:w="60" w:type="dxa"/>
            </w:tcMar>
            <w:vAlign w:val="center"/>
          </w:tcPr>
          <w:p w14:paraId="19221FBC" w14:textId="77777777" w:rsidR="008E61FB" w:rsidRDefault="00000000">
            <w:pPr>
              <w:spacing w:before="40" w:after="40"/>
              <w:jc w:val="center"/>
            </w:pPr>
            <w:r>
              <w:rPr>
                <w:b/>
                <w:bCs/>
                <w:color w:val="1F4E79"/>
                <w:sz w:val="16"/>
                <w:szCs w:val="16"/>
              </w:rPr>
              <w:t>Mine / CPP /</w:t>
            </w:r>
            <w:r>
              <w:br/>
            </w:r>
            <w:r>
              <w:rPr>
                <w:b/>
                <w:bCs/>
                <w:color w:val="1F4E79"/>
                <w:sz w:val="16"/>
                <w:szCs w:val="16"/>
              </w:rPr>
              <w:t>Stockpile</w:t>
            </w:r>
          </w:p>
        </w:tc>
        <w:tc>
          <w:tcPr>
            <w:tcW w:w="1481" w:type="dxa"/>
            <w:tcBorders>
              <w:top w:val="single" w:sz="1" w:space="0" w:color="2E6DA4"/>
              <w:left w:val="single" w:sz="1" w:space="0" w:color="2E6DA4"/>
              <w:bottom w:val="single" w:sz="1" w:space="0" w:color="2E6DA4"/>
              <w:right w:val="single" w:sz="1" w:space="0" w:color="2E6DA4"/>
            </w:tcBorders>
            <w:shd w:val="clear" w:color="auto" w:fill="EBF3FB"/>
            <w:tcMar>
              <w:top w:w="40" w:type="dxa"/>
              <w:left w:w="60" w:type="dxa"/>
              <w:bottom w:w="40" w:type="dxa"/>
              <w:right w:w="60" w:type="dxa"/>
            </w:tcMar>
            <w:vAlign w:val="center"/>
          </w:tcPr>
          <w:p w14:paraId="4D28368E" w14:textId="77777777" w:rsidR="008E61FB" w:rsidRDefault="00000000">
            <w:pPr>
              <w:spacing w:before="40" w:after="40"/>
              <w:jc w:val="center"/>
            </w:pPr>
            <w:r>
              <w:rPr>
                <w:b/>
                <w:bCs/>
                <w:color w:val="1F4E79"/>
                <w:sz w:val="16"/>
                <w:szCs w:val="16"/>
              </w:rPr>
              <w:t>Jetty / BLC</w:t>
            </w:r>
            <w:r>
              <w:br/>
            </w:r>
            <w:r>
              <w:rPr>
                <w:b/>
                <w:bCs/>
                <w:color w:val="1F4E79"/>
                <w:sz w:val="16"/>
                <w:szCs w:val="16"/>
              </w:rPr>
              <w:t>Loading</w:t>
            </w:r>
          </w:p>
        </w:tc>
        <w:tc>
          <w:tcPr>
            <w:tcW w:w="1481" w:type="dxa"/>
            <w:tcBorders>
              <w:top w:val="single" w:sz="1" w:space="0" w:color="2E6DA4"/>
              <w:left w:val="single" w:sz="1" w:space="0" w:color="2E6DA4"/>
              <w:bottom w:val="single" w:sz="1" w:space="0" w:color="2E6DA4"/>
              <w:right w:val="single" w:sz="1" w:space="0" w:color="2E6DA4"/>
            </w:tcBorders>
            <w:shd w:val="clear" w:color="auto" w:fill="EBF3FB"/>
            <w:tcMar>
              <w:top w:w="40" w:type="dxa"/>
              <w:left w:w="60" w:type="dxa"/>
              <w:bottom w:w="40" w:type="dxa"/>
              <w:right w:w="60" w:type="dxa"/>
            </w:tcMar>
            <w:vAlign w:val="center"/>
          </w:tcPr>
          <w:p w14:paraId="1AC1B576" w14:textId="77777777" w:rsidR="008E61FB" w:rsidRDefault="00000000">
            <w:pPr>
              <w:spacing w:before="40" w:after="40"/>
              <w:jc w:val="center"/>
            </w:pPr>
            <w:r>
              <w:rPr>
                <w:b/>
                <w:bCs/>
                <w:color w:val="1F4E79"/>
                <w:sz w:val="16"/>
                <w:szCs w:val="16"/>
              </w:rPr>
              <w:t>Tug + Barge /</w:t>
            </w:r>
            <w:r>
              <w:br/>
            </w:r>
            <w:r>
              <w:rPr>
                <w:b/>
                <w:bCs/>
                <w:color w:val="1F4E79"/>
                <w:sz w:val="16"/>
                <w:szCs w:val="16"/>
              </w:rPr>
              <w:t>River</w:t>
            </w:r>
          </w:p>
        </w:tc>
        <w:tc>
          <w:tcPr>
            <w:tcW w:w="1481" w:type="dxa"/>
            <w:tcBorders>
              <w:top w:val="single" w:sz="1" w:space="0" w:color="2E6DA4"/>
              <w:left w:val="single" w:sz="1" w:space="0" w:color="2E6DA4"/>
              <w:bottom w:val="single" w:sz="1" w:space="0" w:color="2E6DA4"/>
              <w:right w:val="single" w:sz="1" w:space="0" w:color="2E6DA4"/>
            </w:tcBorders>
            <w:shd w:val="clear" w:color="auto" w:fill="EBF3FB"/>
            <w:tcMar>
              <w:top w:w="40" w:type="dxa"/>
              <w:left w:w="60" w:type="dxa"/>
              <w:bottom w:w="40" w:type="dxa"/>
              <w:right w:w="60" w:type="dxa"/>
            </w:tcMar>
            <w:vAlign w:val="center"/>
          </w:tcPr>
          <w:p w14:paraId="145B3B79" w14:textId="77777777" w:rsidR="008E61FB" w:rsidRDefault="00000000">
            <w:pPr>
              <w:spacing w:before="40" w:after="40"/>
              <w:jc w:val="center"/>
            </w:pPr>
            <w:r>
              <w:rPr>
                <w:b/>
                <w:bCs/>
                <w:color w:val="1F4E79"/>
                <w:sz w:val="16"/>
                <w:szCs w:val="16"/>
              </w:rPr>
              <w:t>Tide · Bridge</w:t>
            </w:r>
            <w:r>
              <w:br/>
            </w:r>
            <w:r>
              <w:rPr>
                <w:b/>
                <w:bCs/>
                <w:color w:val="1F4E79"/>
                <w:sz w:val="16"/>
                <w:szCs w:val="16"/>
              </w:rPr>
              <w:t>Windows</w:t>
            </w:r>
          </w:p>
        </w:tc>
        <w:tc>
          <w:tcPr>
            <w:tcW w:w="1481" w:type="dxa"/>
            <w:tcBorders>
              <w:top w:val="single" w:sz="1" w:space="0" w:color="2E6DA4"/>
              <w:left w:val="single" w:sz="1" w:space="0" w:color="2E6DA4"/>
              <w:bottom w:val="single" w:sz="1" w:space="0" w:color="2E6DA4"/>
              <w:right w:val="single" w:sz="1" w:space="0" w:color="2E6DA4"/>
            </w:tcBorders>
            <w:shd w:val="clear" w:color="auto" w:fill="EBF3FB"/>
            <w:tcMar>
              <w:top w:w="40" w:type="dxa"/>
              <w:left w:w="60" w:type="dxa"/>
              <w:bottom w:w="40" w:type="dxa"/>
              <w:right w:w="60" w:type="dxa"/>
            </w:tcMar>
            <w:vAlign w:val="center"/>
          </w:tcPr>
          <w:p w14:paraId="0B054F00" w14:textId="77777777" w:rsidR="008E61FB" w:rsidRDefault="00000000">
            <w:pPr>
              <w:spacing w:before="40" w:after="40"/>
              <w:jc w:val="center"/>
            </w:pPr>
            <w:r>
              <w:rPr>
                <w:b/>
                <w:bCs/>
                <w:color w:val="1F4E79"/>
                <w:sz w:val="16"/>
                <w:szCs w:val="16"/>
              </w:rPr>
              <w:t>CTS / FTS /</w:t>
            </w:r>
            <w:r>
              <w:br/>
            </w:r>
            <w:r>
              <w:rPr>
                <w:b/>
                <w:bCs/>
                <w:color w:val="1F4E79"/>
                <w:sz w:val="16"/>
                <w:szCs w:val="16"/>
              </w:rPr>
              <w:t>Float. Crane</w:t>
            </w:r>
          </w:p>
        </w:tc>
        <w:tc>
          <w:tcPr>
            <w:tcW w:w="1481" w:type="dxa"/>
            <w:tcBorders>
              <w:top w:val="single" w:sz="1" w:space="0" w:color="2E6DA4"/>
              <w:left w:val="single" w:sz="1" w:space="0" w:color="2E6DA4"/>
              <w:bottom w:val="single" w:sz="1" w:space="0" w:color="2E6DA4"/>
              <w:right w:val="single" w:sz="1" w:space="0" w:color="2E6DA4"/>
            </w:tcBorders>
            <w:shd w:val="clear" w:color="auto" w:fill="EBF3FB"/>
            <w:tcMar>
              <w:top w:w="40" w:type="dxa"/>
              <w:left w:w="60" w:type="dxa"/>
              <w:bottom w:w="40" w:type="dxa"/>
              <w:right w:w="60" w:type="dxa"/>
            </w:tcMar>
            <w:vAlign w:val="center"/>
          </w:tcPr>
          <w:p w14:paraId="65B475C2" w14:textId="77777777" w:rsidR="008E61FB" w:rsidRDefault="00000000">
            <w:pPr>
              <w:spacing w:before="40" w:after="40"/>
              <w:jc w:val="center"/>
            </w:pPr>
            <w:r>
              <w:rPr>
                <w:b/>
                <w:bCs/>
                <w:color w:val="1F4E79"/>
                <w:sz w:val="16"/>
                <w:szCs w:val="16"/>
              </w:rPr>
              <w:t>OGV Loading</w:t>
            </w:r>
            <w:r>
              <w:br/>
            </w:r>
            <w:r>
              <w:rPr>
                <w:b/>
                <w:bCs/>
                <w:color w:val="1F4E79"/>
                <w:sz w:val="16"/>
                <w:szCs w:val="16"/>
              </w:rPr>
              <w:t>&amp; Survey</w:t>
            </w:r>
          </w:p>
        </w:tc>
        <w:tc>
          <w:tcPr>
            <w:tcW w:w="1481" w:type="dxa"/>
            <w:tcBorders>
              <w:top w:val="single" w:sz="1" w:space="0" w:color="2E6DA4"/>
              <w:left w:val="single" w:sz="1" w:space="0" w:color="2E6DA4"/>
              <w:bottom w:val="single" w:sz="1" w:space="0" w:color="2E6DA4"/>
              <w:right w:val="single" w:sz="1" w:space="0" w:color="2E6DA4"/>
            </w:tcBorders>
            <w:shd w:val="clear" w:color="auto" w:fill="EBF3FB"/>
            <w:tcMar>
              <w:top w:w="40" w:type="dxa"/>
              <w:left w:w="60" w:type="dxa"/>
              <w:bottom w:w="40" w:type="dxa"/>
              <w:right w:w="60" w:type="dxa"/>
            </w:tcMar>
            <w:vAlign w:val="center"/>
          </w:tcPr>
          <w:p w14:paraId="57168D9C" w14:textId="77777777" w:rsidR="008E61FB" w:rsidRDefault="00000000">
            <w:pPr>
              <w:spacing w:before="40" w:after="40"/>
              <w:jc w:val="center"/>
            </w:pPr>
            <w:r>
              <w:rPr>
                <w:b/>
                <w:bCs/>
                <w:color w:val="1F4E79"/>
                <w:sz w:val="16"/>
                <w:szCs w:val="16"/>
              </w:rPr>
              <w:t>Customer</w:t>
            </w:r>
            <w:r>
              <w:br/>
            </w:r>
            <w:r>
              <w:rPr>
                <w:b/>
                <w:bCs/>
                <w:color w:val="1F4E79"/>
                <w:sz w:val="16"/>
                <w:szCs w:val="16"/>
              </w:rPr>
              <w:t>Delivery</w:t>
            </w:r>
          </w:p>
        </w:tc>
      </w:tr>
      <w:tr w:rsidR="008E61FB" w14:paraId="0F0DB58C" w14:textId="77777777">
        <w:tblPrEx>
          <w:tblCellMar>
            <w:top w:w="0" w:type="dxa"/>
            <w:bottom w:w="0" w:type="dxa"/>
          </w:tblCellMar>
        </w:tblPrEx>
        <w:tc>
          <w:tcPr>
            <w:tcW w:w="1481" w:type="dxa"/>
            <w:tcBorders>
              <w:top w:val="single" w:sz="1" w:space="0" w:color="CCCCCC"/>
              <w:left w:val="single" w:sz="1" w:space="0" w:color="CCCCCC"/>
              <w:bottom w:val="single" w:sz="1" w:space="0" w:color="CCCCCC"/>
              <w:right w:val="single" w:sz="1" w:space="0" w:color="CCCCCC"/>
            </w:tcBorders>
            <w:shd w:val="clear" w:color="auto" w:fill="F7FBFF"/>
            <w:tcMar>
              <w:top w:w="40" w:type="dxa"/>
              <w:left w:w="70" w:type="dxa"/>
              <w:bottom w:w="40" w:type="dxa"/>
              <w:right w:w="50" w:type="dxa"/>
            </w:tcMar>
            <w:vAlign w:val="center"/>
          </w:tcPr>
          <w:p w14:paraId="1220755A" w14:textId="77777777" w:rsidR="008E61FB" w:rsidRDefault="00000000">
            <w:r>
              <w:rPr>
                <w:color w:val="2C3E50"/>
                <w:sz w:val="15"/>
                <w:szCs w:val="15"/>
              </w:rPr>
              <w:t>–  Coal production &amp; stock</w:t>
            </w:r>
          </w:p>
          <w:p w14:paraId="0242AD94" w14:textId="77777777" w:rsidR="008E61FB" w:rsidRDefault="00000000">
            <w:r>
              <w:rPr>
                <w:color w:val="2C3E50"/>
                <w:sz w:val="15"/>
                <w:szCs w:val="15"/>
              </w:rPr>
              <w:t>–  Blend recipe &amp; grade</w:t>
            </w:r>
          </w:p>
          <w:p w14:paraId="5309BCDD" w14:textId="77777777" w:rsidR="008E61FB" w:rsidRDefault="00000000">
            <w:r>
              <w:rPr>
                <w:color w:val="2C3E50"/>
                <w:sz w:val="15"/>
                <w:szCs w:val="15"/>
              </w:rPr>
              <w:t>–  Quality &amp; release status</w:t>
            </w:r>
          </w:p>
          <w:p w14:paraId="379F49AC" w14:textId="77777777" w:rsidR="008E61FB" w:rsidRDefault="00000000">
            <w:r>
              <w:rPr>
                <w:color w:val="2C3E50"/>
                <w:sz w:val="15"/>
                <w:szCs w:val="15"/>
              </w:rPr>
              <w:t>–  Mine-to-jetty routing</w:t>
            </w:r>
          </w:p>
          <w:p w14:paraId="74DA1EBA" w14:textId="77777777" w:rsidR="008E61FB" w:rsidRDefault="00000000">
            <w:r>
              <w:rPr>
                <w:color w:val="2C3E50"/>
                <w:sz w:val="15"/>
                <w:szCs w:val="15"/>
              </w:rPr>
              <w:t>–  Ready-to-load window</w:t>
            </w:r>
          </w:p>
          <w:p w14:paraId="6ED9BE34" w14:textId="77777777" w:rsidR="008E61FB" w:rsidRDefault="00000000">
            <w:r>
              <w:rPr>
                <w:color w:val="2C3E50"/>
                <w:sz w:val="15"/>
                <w:szCs w:val="15"/>
              </w:rPr>
              <w:t>–  Source and spec change</w:t>
            </w:r>
          </w:p>
        </w:tc>
        <w:tc>
          <w:tcPr>
            <w:tcW w:w="1481" w:type="dxa"/>
            <w:tcBorders>
              <w:top w:val="single" w:sz="1" w:space="0" w:color="CCCCCC"/>
              <w:left w:val="single" w:sz="1" w:space="0" w:color="CCCCCC"/>
              <w:bottom w:val="single" w:sz="1" w:space="0" w:color="CCCCCC"/>
              <w:right w:val="single" w:sz="1" w:space="0" w:color="CCCCCC"/>
            </w:tcBorders>
            <w:shd w:val="clear" w:color="auto" w:fill="EAF2F8"/>
            <w:tcMar>
              <w:top w:w="40" w:type="dxa"/>
              <w:left w:w="70" w:type="dxa"/>
              <w:bottom w:w="40" w:type="dxa"/>
              <w:right w:w="50" w:type="dxa"/>
            </w:tcMar>
            <w:vAlign w:val="center"/>
          </w:tcPr>
          <w:p w14:paraId="3262BBD1" w14:textId="77777777" w:rsidR="008E61FB" w:rsidRDefault="00000000">
            <w:r>
              <w:rPr>
                <w:color w:val="2C3E50"/>
                <w:sz w:val="15"/>
                <w:szCs w:val="15"/>
              </w:rPr>
              <w:t>–  BLC slot &amp; loader rate</w:t>
            </w:r>
          </w:p>
          <w:p w14:paraId="10CBFC33" w14:textId="77777777" w:rsidR="008E61FB" w:rsidRDefault="00000000">
            <w:r>
              <w:rPr>
                <w:color w:val="2C3E50"/>
                <w:sz w:val="15"/>
                <w:szCs w:val="15"/>
              </w:rPr>
              <w:t>–  Jetty queue visibility</w:t>
            </w:r>
          </w:p>
          <w:p w14:paraId="7C96D7A3" w14:textId="77777777" w:rsidR="008E61FB" w:rsidRDefault="00000000">
            <w:r>
              <w:rPr>
                <w:color w:val="2C3E50"/>
                <w:sz w:val="15"/>
                <w:szCs w:val="15"/>
              </w:rPr>
              <w:t>–  Loading window alignment</w:t>
            </w:r>
          </w:p>
          <w:p w14:paraId="41DB8160" w14:textId="77777777" w:rsidR="008E61FB" w:rsidRDefault="00000000">
            <w:r>
              <w:rPr>
                <w:color w:val="2C3E50"/>
                <w:sz w:val="15"/>
                <w:szCs w:val="15"/>
              </w:rPr>
              <w:t>–  Conflict &amp; capacity flags</w:t>
            </w:r>
          </w:p>
          <w:p w14:paraId="1CFF0EC7" w14:textId="77777777" w:rsidR="008E61FB" w:rsidRDefault="00000000">
            <w:r>
              <w:rPr>
                <w:color w:val="2C3E50"/>
                <w:sz w:val="15"/>
                <w:szCs w:val="15"/>
              </w:rPr>
              <w:t>–  Survey coordination</w:t>
            </w:r>
          </w:p>
          <w:p w14:paraId="7FE6A608" w14:textId="77777777" w:rsidR="008E61FB" w:rsidRDefault="00000000">
            <w:r>
              <w:rPr>
                <w:color w:val="2C3E50"/>
                <w:sz w:val="15"/>
                <w:szCs w:val="15"/>
              </w:rPr>
              <w:t>–  Plan vs actual tracking</w:t>
            </w:r>
          </w:p>
        </w:tc>
        <w:tc>
          <w:tcPr>
            <w:tcW w:w="1481" w:type="dxa"/>
            <w:tcBorders>
              <w:top w:val="single" w:sz="1" w:space="0" w:color="CCCCCC"/>
              <w:left w:val="single" w:sz="1" w:space="0" w:color="CCCCCC"/>
              <w:bottom w:val="single" w:sz="1" w:space="0" w:color="CCCCCC"/>
              <w:right w:val="single" w:sz="1" w:space="0" w:color="CCCCCC"/>
            </w:tcBorders>
            <w:shd w:val="clear" w:color="auto" w:fill="F7FBFF"/>
            <w:tcMar>
              <w:top w:w="40" w:type="dxa"/>
              <w:left w:w="70" w:type="dxa"/>
              <w:bottom w:w="40" w:type="dxa"/>
              <w:right w:w="50" w:type="dxa"/>
            </w:tcMar>
            <w:vAlign w:val="center"/>
          </w:tcPr>
          <w:p w14:paraId="4E7C7485" w14:textId="77777777" w:rsidR="008E61FB" w:rsidRDefault="00000000">
            <w:r>
              <w:rPr>
                <w:color w:val="2C3E50"/>
                <w:sz w:val="15"/>
                <w:szCs w:val="15"/>
              </w:rPr>
              <w:t>–  Tug-barge availability</w:t>
            </w:r>
          </w:p>
          <w:p w14:paraId="178EF6A6" w14:textId="77777777" w:rsidR="008E61FB" w:rsidRDefault="00000000">
            <w:r>
              <w:rPr>
                <w:color w:val="2C3E50"/>
                <w:sz w:val="15"/>
                <w:szCs w:val="15"/>
              </w:rPr>
              <w:t>–  Route &amp; cycle time</w:t>
            </w:r>
          </w:p>
          <w:p w14:paraId="6298FA18" w14:textId="77777777" w:rsidR="008E61FB" w:rsidRDefault="00000000">
            <w:r>
              <w:rPr>
                <w:color w:val="2C3E50"/>
                <w:sz w:val="15"/>
                <w:szCs w:val="15"/>
              </w:rPr>
              <w:t>–  Navigation constraints</w:t>
            </w:r>
          </w:p>
          <w:p w14:paraId="21BF68FA" w14:textId="77777777" w:rsidR="008E61FB" w:rsidRDefault="00000000">
            <w:r>
              <w:rPr>
                <w:color w:val="2C3E50"/>
                <w:sz w:val="15"/>
                <w:szCs w:val="15"/>
              </w:rPr>
              <w:t>–  Fleet assignment logic</w:t>
            </w:r>
          </w:p>
          <w:p w14:paraId="472AF4C5" w14:textId="77777777" w:rsidR="008E61FB" w:rsidRDefault="00000000">
            <w:r>
              <w:rPr>
                <w:color w:val="2C3E50"/>
                <w:sz w:val="15"/>
                <w:szCs w:val="15"/>
              </w:rPr>
              <w:t>–  Breakdown &amp; swap</w:t>
            </w:r>
          </w:p>
          <w:p w14:paraId="55FCFB03" w14:textId="77777777" w:rsidR="008E61FB" w:rsidRDefault="00000000">
            <w:r>
              <w:rPr>
                <w:color w:val="2C3E50"/>
                <w:sz w:val="15"/>
                <w:szCs w:val="15"/>
              </w:rPr>
              <w:t>–  Charter coordination</w:t>
            </w:r>
          </w:p>
        </w:tc>
        <w:tc>
          <w:tcPr>
            <w:tcW w:w="1481" w:type="dxa"/>
            <w:tcBorders>
              <w:top w:val="single" w:sz="1" w:space="0" w:color="CCCCCC"/>
              <w:left w:val="single" w:sz="1" w:space="0" w:color="CCCCCC"/>
              <w:bottom w:val="single" w:sz="1" w:space="0" w:color="CCCCCC"/>
              <w:right w:val="single" w:sz="1" w:space="0" w:color="CCCCCC"/>
            </w:tcBorders>
            <w:shd w:val="clear" w:color="auto" w:fill="EAF2F8"/>
            <w:tcMar>
              <w:top w:w="40" w:type="dxa"/>
              <w:left w:w="70" w:type="dxa"/>
              <w:bottom w:w="40" w:type="dxa"/>
              <w:right w:w="50" w:type="dxa"/>
            </w:tcMar>
            <w:vAlign w:val="center"/>
          </w:tcPr>
          <w:p w14:paraId="65368CF0" w14:textId="77777777" w:rsidR="008E61FB" w:rsidRDefault="00000000">
            <w:r>
              <w:rPr>
                <w:color w:val="2C3E50"/>
                <w:sz w:val="15"/>
                <w:szCs w:val="15"/>
              </w:rPr>
              <w:t>–  Tidal window calendar</w:t>
            </w:r>
          </w:p>
          <w:p w14:paraId="78C9ADC6" w14:textId="77777777" w:rsidR="008E61FB" w:rsidRDefault="00000000">
            <w:r>
              <w:rPr>
                <w:color w:val="2C3E50"/>
                <w:sz w:val="15"/>
                <w:szCs w:val="15"/>
              </w:rPr>
              <w:t>–  Bridge schedule &amp; draft</w:t>
            </w:r>
          </w:p>
          <w:p w14:paraId="6C1C75EB" w14:textId="77777777" w:rsidR="008E61FB" w:rsidRDefault="00000000">
            <w:r>
              <w:rPr>
                <w:color w:val="2C3E50"/>
                <w:sz w:val="15"/>
                <w:szCs w:val="15"/>
              </w:rPr>
              <w:t>–  Movement feasibility</w:t>
            </w:r>
          </w:p>
          <w:p w14:paraId="1AE4B547" w14:textId="77777777" w:rsidR="008E61FB" w:rsidRDefault="00000000">
            <w:r>
              <w:rPr>
                <w:color w:val="2C3E50"/>
                <w:sz w:val="15"/>
                <w:szCs w:val="15"/>
              </w:rPr>
              <w:t>–  Draft restrictions</w:t>
            </w:r>
          </w:p>
          <w:p w14:paraId="530B36D7" w14:textId="77777777" w:rsidR="008E61FB" w:rsidRDefault="00000000">
            <w:r>
              <w:rPr>
                <w:color w:val="2C3E50"/>
                <w:sz w:val="15"/>
                <w:szCs w:val="15"/>
              </w:rPr>
              <w:t>–  Missed-window response</w:t>
            </w:r>
          </w:p>
          <w:p w14:paraId="7043ABF8" w14:textId="77777777" w:rsidR="008E61FB" w:rsidRDefault="00000000">
            <w:r>
              <w:rPr>
                <w:color w:val="2C3E50"/>
                <w:sz w:val="15"/>
                <w:szCs w:val="15"/>
              </w:rPr>
              <w:t>–  Constraint-aware dispatch</w:t>
            </w:r>
          </w:p>
        </w:tc>
        <w:tc>
          <w:tcPr>
            <w:tcW w:w="1481" w:type="dxa"/>
            <w:tcBorders>
              <w:top w:val="single" w:sz="1" w:space="0" w:color="CCCCCC"/>
              <w:left w:val="single" w:sz="1" w:space="0" w:color="CCCCCC"/>
              <w:bottom w:val="single" w:sz="1" w:space="0" w:color="CCCCCC"/>
              <w:right w:val="single" w:sz="1" w:space="0" w:color="CCCCCC"/>
            </w:tcBorders>
            <w:shd w:val="clear" w:color="auto" w:fill="F7FBFF"/>
            <w:tcMar>
              <w:top w:w="40" w:type="dxa"/>
              <w:left w:w="70" w:type="dxa"/>
              <w:bottom w:w="40" w:type="dxa"/>
              <w:right w:w="50" w:type="dxa"/>
            </w:tcMar>
            <w:vAlign w:val="center"/>
          </w:tcPr>
          <w:p w14:paraId="6F294F70" w14:textId="77777777" w:rsidR="008E61FB" w:rsidRDefault="00000000">
            <w:r>
              <w:rPr>
                <w:color w:val="2C3E50"/>
                <w:sz w:val="15"/>
                <w:szCs w:val="15"/>
              </w:rPr>
              <w:t>–  Asset-type coordination</w:t>
            </w:r>
          </w:p>
          <w:p w14:paraId="1ED96FC1" w14:textId="77777777" w:rsidR="008E61FB" w:rsidRDefault="00000000">
            <w:r>
              <w:rPr>
                <w:color w:val="2C3E50"/>
                <w:sz w:val="15"/>
                <w:szCs w:val="15"/>
              </w:rPr>
              <w:t>–  Discharge rate visibility</w:t>
            </w:r>
          </w:p>
          <w:p w14:paraId="16A10087" w14:textId="77777777" w:rsidR="008E61FB" w:rsidRDefault="00000000">
            <w:r>
              <w:rPr>
                <w:color w:val="2C3E50"/>
                <w:sz w:val="15"/>
                <w:szCs w:val="15"/>
              </w:rPr>
              <w:t>–  Barge queue management</w:t>
            </w:r>
          </w:p>
          <w:p w14:paraId="399E0479" w14:textId="77777777" w:rsidR="008E61FB" w:rsidRDefault="00000000">
            <w:r>
              <w:rPr>
                <w:color w:val="2C3E50"/>
                <w:sz w:val="15"/>
                <w:szCs w:val="15"/>
              </w:rPr>
              <w:t>–  Downtime visibility</w:t>
            </w:r>
          </w:p>
          <w:p w14:paraId="7E1E7018" w14:textId="77777777" w:rsidR="008E61FB" w:rsidRDefault="00000000">
            <w:r>
              <w:rPr>
                <w:color w:val="2C3E50"/>
                <w:sz w:val="15"/>
                <w:szCs w:val="15"/>
              </w:rPr>
              <w:t>–  Anchorage coordination</w:t>
            </w:r>
          </w:p>
          <w:p w14:paraId="70BF3643" w14:textId="77777777" w:rsidR="008E61FB" w:rsidRDefault="00000000">
            <w:r>
              <w:rPr>
                <w:color w:val="2C3E50"/>
                <w:sz w:val="15"/>
                <w:szCs w:val="15"/>
              </w:rPr>
              <w:t>–  OGV loading alignment</w:t>
            </w:r>
          </w:p>
        </w:tc>
        <w:tc>
          <w:tcPr>
            <w:tcW w:w="1481" w:type="dxa"/>
            <w:tcBorders>
              <w:top w:val="single" w:sz="1" w:space="0" w:color="CCCCCC"/>
              <w:left w:val="single" w:sz="1" w:space="0" w:color="CCCCCC"/>
              <w:bottom w:val="single" w:sz="1" w:space="0" w:color="CCCCCC"/>
              <w:right w:val="single" w:sz="1" w:space="0" w:color="CCCCCC"/>
            </w:tcBorders>
            <w:shd w:val="clear" w:color="auto" w:fill="EAF2F8"/>
            <w:tcMar>
              <w:top w:w="40" w:type="dxa"/>
              <w:left w:w="70" w:type="dxa"/>
              <w:bottom w:w="40" w:type="dxa"/>
              <w:right w:w="50" w:type="dxa"/>
            </w:tcMar>
            <w:vAlign w:val="center"/>
          </w:tcPr>
          <w:p w14:paraId="729197C1" w14:textId="77777777" w:rsidR="008E61FB" w:rsidRDefault="00000000">
            <w:r>
              <w:rPr>
                <w:color w:val="2C3E50"/>
                <w:sz w:val="15"/>
                <w:szCs w:val="15"/>
              </w:rPr>
              <w:t>–  ETA &amp; laycan alignment</w:t>
            </w:r>
          </w:p>
          <w:p w14:paraId="5677CB36" w14:textId="77777777" w:rsidR="008E61FB" w:rsidRDefault="00000000">
            <w:r>
              <w:rPr>
                <w:color w:val="2C3E50"/>
                <w:sz w:val="15"/>
                <w:szCs w:val="15"/>
              </w:rPr>
              <w:t>–  Hatch &amp; layering plan</w:t>
            </w:r>
          </w:p>
          <w:p w14:paraId="4CBBB972" w14:textId="77777777" w:rsidR="008E61FB" w:rsidRDefault="00000000">
            <w:r>
              <w:rPr>
                <w:color w:val="2C3E50"/>
                <w:sz w:val="15"/>
                <w:szCs w:val="15"/>
              </w:rPr>
              <w:t>–  Barge sequence coord.</w:t>
            </w:r>
          </w:p>
          <w:p w14:paraId="58C63AA8" w14:textId="77777777" w:rsidR="008E61FB" w:rsidRDefault="00000000">
            <w:r>
              <w:rPr>
                <w:color w:val="2C3E50"/>
                <w:sz w:val="15"/>
                <w:szCs w:val="15"/>
              </w:rPr>
              <w:t>–  Survey milestones</w:t>
            </w:r>
          </w:p>
          <w:p w14:paraId="47C51C9E" w14:textId="77777777" w:rsidR="008E61FB" w:rsidRDefault="00000000">
            <w:r>
              <w:rPr>
                <w:color w:val="2C3E50"/>
                <w:sz w:val="15"/>
                <w:szCs w:val="15"/>
              </w:rPr>
              <w:t>–  Completion visibility</w:t>
            </w:r>
          </w:p>
          <w:p w14:paraId="6FE7AE37" w14:textId="77777777" w:rsidR="008E61FB" w:rsidRDefault="00000000">
            <w:r>
              <w:rPr>
                <w:color w:val="2C3E50"/>
                <w:sz w:val="15"/>
                <w:szCs w:val="15"/>
              </w:rPr>
              <w:t>–  Demurrage risk awareness</w:t>
            </w:r>
          </w:p>
        </w:tc>
        <w:tc>
          <w:tcPr>
            <w:tcW w:w="1481" w:type="dxa"/>
            <w:tcBorders>
              <w:top w:val="single" w:sz="1" w:space="0" w:color="CCCCCC"/>
              <w:left w:val="single" w:sz="1" w:space="0" w:color="CCCCCC"/>
              <w:bottom w:val="single" w:sz="1" w:space="0" w:color="CCCCCC"/>
              <w:right w:val="single" w:sz="1" w:space="0" w:color="CCCCCC"/>
            </w:tcBorders>
            <w:shd w:val="clear" w:color="auto" w:fill="F7FBFF"/>
            <w:tcMar>
              <w:top w:w="40" w:type="dxa"/>
              <w:left w:w="70" w:type="dxa"/>
              <w:bottom w:w="40" w:type="dxa"/>
              <w:right w:w="50" w:type="dxa"/>
            </w:tcMar>
            <w:vAlign w:val="center"/>
          </w:tcPr>
          <w:p w14:paraId="26136580" w14:textId="77777777" w:rsidR="008E61FB" w:rsidRDefault="00000000">
            <w:r>
              <w:rPr>
                <w:color w:val="2C3E50"/>
                <w:sz w:val="15"/>
                <w:szCs w:val="15"/>
              </w:rPr>
              <w:t>–  Cert. of weight/quality</w:t>
            </w:r>
          </w:p>
          <w:p w14:paraId="51299A2B" w14:textId="77777777" w:rsidR="008E61FB" w:rsidRDefault="00000000">
            <w:r>
              <w:rPr>
                <w:color w:val="2C3E50"/>
                <w:sz w:val="15"/>
                <w:szCs w:val="15"/>
              </w:rPr>
              <w:t>–  Statement of facts</w:t>
            </w:r>
          </w:p>
          <w:p w14:paraId="440C4614" w14:textId="77777777" w:rsidR="008E61FB" w:rsidRDefault="00000000">
            <w:r>
              <w:rPr>
                <w:color w:val="2C3E50"/>
                <w:sz w:val="15"/>
                <w:szCs w:val="15"/>
              </w:rPr>
              <w:t>–  Shipment priority</w:t>
            </w:r>
          </w:p>
          <w:p w14:paraId="25E93AAB" w14:textId="77777777" w:rsidR="008E61FB" w:rsidRDefault="00000000">
            <w:r>
              <w:rPr>
                <w:color w:val="2C3E50"/>
                <w:sz w:val="15"/>
                <w:szCs w:val="15"/>
              </w:rPr>
              <w:t>–  Delay visibility</w:t>
            </w:r>
          </w:p>
          <w:p w14:paraId="7F7C7DF2" w14:textId="77777777" w:rsidR="008E61FB" w:rsidRDefault="00000000">
            <w:r>
              <w:rPr>
                <w:color w:val="2C3E50"/>
                <w:sz w:val="15"/>
                <w:szCs w:val="15"/>
              </w:rPr>
              <w:t>–  Customer coordination</w:t>
            </w:r>
          </w:p>
          <w:p w14:paraId="65F8A639" w14:textId="77777777" w:rsidR="008E61FB" w:rsidRDefault="00000000">
            <w:r>
              <w:rPr>
                <w:color w:val="2C3E50"/>
                <w:sz w:val="15"/>
                <w:szCs w:val="15"/>
              </w:rPr>
              <w:t>–  Governed closure</w:t>
            </w:r>
          </w:p>
        </w:tc>
      </w:tr>
    </w:tbl>
    <w:p w14:paraId="1BFA715C" w14:textId="77777777" w:rsidR="008E61FB" w:rsidRDefault="008E61FB">
      <w:pPr>
        <w:spacing w:before="70"/>
      </w:pPr>
    </w:p>
    <w:tbl>
      <w:tblPr>
        <w:tblW w:w="10368" w:type="dxa"/>
        <w:tblBorders>
          <w:top w:val="single" w:sz="2" w:space="0" w:color="CCCCCC"/>
          <w:left w:val="single" w:sz="2" w:space="0" w:color="CCCCCC"/>
          <w:bottom w:val="single" w:sz="2" w:space="0" w:color="CCCCCC"/>
          <w:right w:val="single" w:sz="2"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073"/>
        <w:gridCol w:w="2073"/>
        <w:gridCol w:w="2074"/>
        <w:gridCol w:w="2074"/>
        <w:gridCol w:w="2074"/>
      </w:tblGrid>
      <w:tr w:rsidR="008E61FB" w14:paraId="73254058" w14:textId="77777777">
        <w:tblPrEx>
          <w:tblCellMar>
            <w:top w:w="0" w:type="dxa"/>
            <w:bottom w:w="0" w:type="dxa"/>
          </w:tblCellMar>
        </w:tblPrEx>
        <w:tc>
          <w:tcPr>
            <w:tcW w:w="2073" w:type="dxa"/>
            <w:tcBorders>
              <w:top w:val="single" w:sz="1" w:space="0" w:color="1F4E79"/>
              <w:left w:val="single" w:sz="1" w:space="0" w:color="1F4E79"/>
              <w:bottom w:val="single" w:sz="1" w:space="0" w:color="1F4E79"/>
              <w:right w:val="single" w:sz="1" w:space="0" w:color="1F4E79"/>
            </w:tcBorders>
            <w:shd w:val="clear" w:color="auto" w:fill="1F4E79"/>
            <w:tcMar>
              <w:top w:w="55" w:type="dxa"/>
              <w:left w:w="80" w:type="dxa"/>
              <w:bottom w:w="55" w:type="dxa"/>
              <w:right w:w="80" w:type="dxa"/>
            </w:tcMar>
            <w:vAlign w:val="center"/>
          </w:tcPr>
          <w:p w14:paraId="71DBA46B" w14:textId="77777777" w:rsidR="008E61FB" w:rsidRDefault="00000000">
            <w:pPr>
              <w:spacing w:before="55" w:after="14"/>
              <w:jc w:val="center"/>
            </w:pPr>
            <w:r>
              <w:rPr>
                <w:b/>
                <w:bCs/>
                <w:color w:val="FFFFFF"/>
                <w:sz w:val="18"/>
                <w:szCs w:val="18"/>
              </w:rPr>
              <w:t>VISIBILITY</w:t>
            </w:r>
          </w:p>
          <w:p w14:paraId="123FA073" w14:textId="77777777" w:rsidR="008E61FB" w:rsidRDefault="00000000">
            <w:pPr>
              <w:spacing w:after="55"/>
              <w:jc w:val="center"/>
            </w:pPr>
            <w:r>
              <w:rPr>
                <w:color w:val="FFFFFF"/>
                <w:sz w:val="15"/>
                <w:szCs w:val="15"/>
              </w:rPr>
              <w:t>Shared operational picture</w:t>
            </w:r>
          </w:p>
        </w:tc>
        <w:tc>
          <w:tcPr>
            <w:tcW w:w="2073" w:type="dxa"/>
            <w:tcBorders>
              <w:top w:val="single" w:sz="1" w:space="0" w:color="2E6DA4"/>
              <w:left w:val="single" w:sz="1" w:space="0" w:color="2E6DA4"/>
              <w:bottom w:val="single" w:sz="1" w:space="0" w:color="2E6DA4"/>
              <w:right w:val="single" w:sz="1" w:space="0" w:color="2E6DA4"/>
            </w:tcBorders>
            <w:shd w:val="clear" w:color="auto" w:fill="2E6DA4"/>
            <w:tcMar>
              <w:top w:w="55" w:type="dxa"/>
              <w:left w:w="80" w:type="dxa"/>
              <w:bottom w:w="55" w:type="dxa"/>
              <w:right w:w="80" w:type="dxa"/>
            </w:tcMar>
            <w:vAlign w:val="center"/>
          </w:tcPr>
          <w:p w14:paraId="2DFB0DC2" w14:textId="77777777" w:rsidR="008E61FB" w:rsidRDefault="00000000">
            <w:pPr>
              <w:spacing w:before="55" w:after="14"/>
              <w:jc w:val="center"/>
            </w:pPr>
            <w:r>
              <w:rPr>
                <w:b/>
                <w:bCs/>
                <w:color w:val="FFFFFF"/>
                <w:sz w:val="18"/>
                <w:szCs w:val="18"/>
              </w:rPr>
              <w:t>COORDINATION</w:t>
            </w:r>
          </w:p>
          <w:p w14:paraId="134B84E0" w14:textId="77777777" w:rsidR="008E61FB" w:rsidRDefault="00000000">
            <w:pPr>
              <w:spacing w:after="55"/>
              <w:jc w:val="center"/>
            </w:pPr>
            <w:r>
              <w:rPr>
                <w:color w:val="FFFFFF"/>
                <w:sz w:val="15"/>
                <w:szCs w:val="15"/>
              </w:rPr>
              <w:t>Aligned scheduling &amp; planning</w:t>
            </w:r>
          </w:p>
        </w:tc>
        <w:tc>
          <w:tcPr>
            <w:tcW w:w="2073" w:type="dxa"/>
            <w:tcBorders>
              <w:top w:val="single" w:sz="1" w:space="0" w:color="1A7F8E"/>
              <w:left w:val="single" w:sz="1" w:space="0" w:color="1A7F8E"/>
              <w:bottom w:val="single" w:sz="1" w:space="0" w:color="1A7F8E"/>
              <w:right w:val="single" w:sz="1" w:space="0" w:color="1A7F8E"/>
            </w:tcBorders>
            <w:shd w:val="clear" w:color="auto" w:fill="1A7F8E"/>
            <w:tcMar>
              <w:top w:w="55" w:type="dxa"/>
              <w:left w:w="80" w:type="dxa"/>
              <w:bottom w:w="55" w:type="dxa"/>
              <w:right w:w="80" w:type="dxa"/>
            </w:tcMar>
            <w:vAlign w:val="center"/>
          </w:tcPr>
          <w:p w14:paraId="53353E18" w14:textId="77777777" w:rsidR="008E61FB" w:rsidRDefault="00000000">
            <w:pPr>
              <w:spacing w:before="55" w:after="14"/>
              <w:jc w:val="center"/>
            </w:pPr>
            <w:r>
              <w:rPr>
                <w:b/>
                <w:bCs/>
                <w:color w:val="FFFFFF"/>
                <w:sz w:val="18"/>
                <w:szCs w:val="18"/>
              </w:rPr>
              <w:t>EXCEPTION MGMT</w:t>
            </w:r>
          </w:p>
          <w:p w14:paraId="3C9C0BD1" w14:textId="77777777" w:rsidR="008E61FB" w:rsidRDefault="00000000">
            <w:pPr>
              <w:spacing w:after="55"/>
              <w:jc w:val="center"/>
            </w:pPr>
            <w:r>
              <w:rPr>
                <w:color w:val="FFFFFF"/>
                <w:sz w:val="15"/>
                <w:szCs w:val="15"/>
              </w:rPr>
              <w:t>Disruption &amp; conflict response</w:t>
            </w:r>
          </w:p>
        </w:tc>
        <w:tc>
          <w:tcPr>
            <w:tcW w:w="2073" w:type="dxa"/>
            <w:tcBorders>
              <w:top w:val="single" w:sz="1" w:space="0" w:color="9D5A00"/>
              <w:left w:val="single" w:sz="1" w:space="0" w:color="9D5A00"/>
              <w:bottom w:val="single" w:sz="1" w:space="0" w:color="9D5A00"/>
              <w:right w:val="single" w:sz="1" w:space="0" w:color="9D5A00"/>
            </w:tcBorders>
            <w:shd w:val="clear" w:color="auto" w:fill="9D5A00"/>
            <w:tcMar>
              <w:top w:w="55" w:type="dxa"/>
              <w:left w:w="80" w:type="dxa"/>
              <w:bottom w:w="55" w:type="dxa"/>
              <w:right w:w="80" w:type="dxa"/>
            </w:tcMar>
            <w:vAlign w:val="center"/>
          </w:tcPr>
          <w:p w14:paraId="497E1662" w14:textId="77777777" w:rsidR="008E61FB" w:rsidRDefault="00000000">
            <w:pPr>
              <w:spacing w:before="55" w:after="14"/>
              <w:jc w:val="center"/>
            </w:pPr>
            <w:r>
              <w:rPr>
                <w:b/>
                <w:bCs/>
                <w:color w:val="FFFFFF"/>
                <w:sz w:val="18"/>
                <w:szCs w:val="18"/>
              </w:rPr>
              <w:t>SIMULATION</w:t>
            </w:r>
          </w:p>
          <w:p w14:paraId="052D960E" w14:textId="77777777" w:rsidR="008E61FB" w:rsidRDefault="00000000">
            <w:pPr>
              <w:spacing w:after="55"/>
              <w:jc w:val="center"/>
            </w:pPr>
            <w:r>
              <w:rPr>
                <w:color w:val="FFFFFF"/>
                <w:sz w:val="15"/>
                <w:szCs w:val="15"/>
              </w:rPr>
              <w:t>Scenario evaluation support</w:t>
            </w:r>
          </w:p>
        </w:tc>
        <w:tc>
          <w:tcPr>
            <w:tcW w:w="2073" w:type="dxa"/>
            <w:tcBorders>
              <w:top w:val="single" w:sz="1" w:space="0" w:color="148F77"/>
              <w:left w:val="single" w:sz="1" w:space="0" w:color="148F77"/>
              <w:bottom w:val="single" w:sz="1" w:space="0" w:color="148F77"/>
              <w:right w:val="single" w:sz="1" w:space="0" w:color="148F77"/>
            </w:tcBorders>
            <w:shd w:val="clear" w:color="auto" w:fill="148F77"/>
            <w:tcMar>
              <w:top w:w="55" w:type="dxa"/>
              <w:left w:w="80" w:type="dxa"/>
              <w:bottom w:w="55" w:type="dxa"/>
              <w:right w:w="80" w:type="dxa"/>
            </w:tcMar>
            <w:vAlign w:val="center"/>
          </w:tcPr>
          <w:p w14:paraId="40E25281" w14:textId="77777777" w:rsidR="008E61FB" w:rsidRDefault="00000000">
            <w:pPr>
              <w:spacing w:before="55" w:after="14"/>
              <w:jc w:val="center"/>
            </w:pPr>
            <w:r>
              <w:rPr>
                <w:b/>
                <w:bCs/>
                <w:color w:val="FFFFFF"/>
                <w:sz w:val="18"/>
                <w:szCs w:val="18"/>
              </w:rPr>
              <w:t>GOVERNANCE</w:t>
            </w:r>
          </w:p>
          <w:p w14:paraId="4583FA47" w14:textId="77777777" w:rsidR="008E61FB" w:rsidRDefault="00000000">
            <w:pPr>
              <w:spacing w:after="55"/>
              <w:jc w:val="center"/>
            </w:pPr>
            <w:r>
              <w:rPr>
                <w:color w:val="FFFFFF"/>
                <w:sz w:val="15"/>
                <w:szCs w:val="15"/>
              </w:rPr>
              <w:t>Approved decisions &amp; audit</w:t>
            </w:r>
          </w:p>
        </w:tc>
      </w:tr>
    </w:tbl>
    <w:p w14:paraId="772265E7" w14:textId="77777777" w:rsidR="008E61FB" w:rsidRDefault="008E61FB">
      <w:pPr>
        <w:spacing w:before="70"/>
      </w:pPr>
    </w:p>
    <w:p w14:paraId="7DAC4B85" w14:textId="77777777" w:rsidR="008E61FB" w:rsidRDefault="008E61FB">
      <w:pPr>
        <w:spacing w:before="80"/>
      </w:pPr>
    </w:p>
    <w:p w14:paraId="55DA3037" w14:textId="77777777" w:rsidR="008E61FB" w:rsidRDefault="00000000">
      <w:pPr>
        <w:spacing w:after="100"/>
      </w:pPr>
      <w:r>
        <w:t>The chain makes clear that the coordination challenge is not limited to any single operational node. Visibility and coordination must span the full flow — from cargo readiness and jetty loading, through river movement and navigation constraints, to CTS discharge and OGV completion. A disruption at any stage propagates downstream, and recovery requires a view of the full chain, not just the affected node.</w:t>
      </w:r>
    </w:p>
    <w:p w14:paraId="2E789469" w14:textId="77777777" w:rsidR="008E61FB" w:rsidRDefault="008E61FB">
      <w:pPr>
        <w:spacing w:before="200"/>
      </w:pPr>
    </w:p>
    <w:p w14:paraId="4F531A50" w14:textId="77777777" w:rsidR="00E4185A" w:rsidRDefault="00E4185A">
      <w:pPr>
        <w:spacing w:before="200"/>
      </w:pPr>
    </w:p>
    <w:p w14:paraId="62E23F3B" w14:textId="77777777" w:rsidR="008E61FB" w:rsidRDefault="00000000">
      <w:pPr>
        <w:spacing w:before="300"/>
      </w:pPr>
      <w:r>
        <w:rPr>
          <w:b/>
          <w:bCs/>
          <w:color w:val="808080"/>
          <w:sz w:val="26"/>
          <w:szCs w:val="26"/>
        </w:rPr>
        <w:lastRenderedPageBreak/>
        <w:t xml:space="preserve">6.  </w:t>
      </w:r>
      <w:r>
        <w:rPr>
          <w:b/>
          <w:bCs/>
          <w:color w:val="1F4E79"/>
          <w:sz w:val="26"/>
          <w:szCs w:val="26"/>
        </w:rPr>
        <w:t>Proposed Engagement Direction</w:t>
      </w:r>
    </w:p>
    <w:p w14:paraId="1CA0B864" w14:textId="77777777" w:rsidR="008E61FB" w:rsidRDefault="008E61FB">
      <w:pPr>
        <w:pBdr>
          <w:bottom w:val="single" w:sz="8" w:space="1" w:color="1F4E79"/>
        </w:pBdr>
        <w:spacing w:after="80"/>
      </w:pPr>
    </w:p>
    <w:p w14:paraId="5CCE94C4" w14:textId="77777777" w:rsidR="008E61FB" w:rsidRDefault="00000000">
      <w:pPr>
        <w:spacing w:after="100"/>
      </w:pPr>
      <w:r>
        <w:t>The proposed direction is to support ABL in establishing a more synchronised and governed operational coordination environment through a phased operational transformation approach. The initiative is designed as a process-and-technology engagement, not a software deployment. Operational alignment, shared visibility and governed decision-making are as central to the engagement as the technology platform.</w:t>
      </w:r>
    </w:p>
    <w:p w14:paraId="7C2E0522" w14:textId="77777777" w:rsidR="008E61FB" w:rsidRDefault="008E61FB">
      <w:pPr>
        <w:spacing w:before="80"/>
      </w:pPr>
    </w:p>
    <w:p w14:paraId="0C87D2B4" w14:textId="77777777" w:rsidR="008E61FB" w:rsidRDefault="00000000">
      <w:pPr>
        <w:spacing w:after="100"/>
      </w:pPr>
      <w:r>
        <w:t>The future-state direction is oriented around five capability areas:</w:t>
      </w:r>
    </w:p>
    <w:p w14:paraId="51AB05DA" w14:textId="77777777" w:rsidR="008E61FB" w:rsidRDefault="008E61FB">
      <w:pPr>
        <w:spacing w:before="4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568"/>
      </w:tblGrid>
      <w:tr w:rsidR="008E61FB" w14:paraId="73FA267D"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40" w:type="dxa"/>
              <w:bottom w:w="70" w:type="dxa"/>
              <w:right w:w="80" w:type="dxa"/>
            </w:tcMar>
          </w:tcPr>
          <w:p w14:paraId="290C5A75" w14:textId="77777777" w:rsidR="008E61FB" w:rsidRDefault="00000000">
            <w:r>
              <w:rPr>
                <w:b/>
                <w:bCs/>
                <w:color w:val="FFFFFF"/>
                <w:sz w:val="19"/>
                <w:szCs w:val="19"/>
              </w:rPr>
              <w:t>Capability Area</w:t>
            </w:r>
          </w:p>
        </w:tc>
        <w:tc>
          <w:tcPr>
            <w:tcW w:w="7568" w:type="dxa"/>
            <w:tcBorders>
              <w:top w:val="single" w:sz="1" w:space="0" w:color="1F4E79"/>
              <w:left w:val="single" w:sz="1" w:space="0" w:color="1F4E79"/>
              <w:bottom w:val="single" w:sz="1" w:space="0" w:color="1F4E79"/>
              <w:right w:val="single" w:sz="1" w:space="0" w:color="1F4E79"/>
            </w:tcBorders>
            <w:shd w:val="clear" w:color="auto" w:fill="1F4E79"/>
            <w:tcMar>
              <w:top w:w="70" w:type="dxa"/>
              <w:left w:w="140" w:type="dxa"/>
              <w:bottom w:w="70" w:type="dxa"/>
              <w:right w:w="80" w:type="dxa"/>
            </w:tcMar>
          </w:tcPr>
          <w:p w14:paraId="59F7014F" w14:textId="77777777" w:rsidR="008E61FB" w:rsidRDefault="00000000">
            <w:r>
              <w:rPr>
                <w:b/>
                <w:bCs/>
                <w:color w:val="FFFFFF"/>
                <w:sz w:val="19"/>
                <w:szCs w:val="19"/>
              </w:rPr>
              <w:t>What This Means in Practice</w:t>
            </w:r>
          </w:p>
        </w:tc>
      </w:tr>
      <w:tr w:rsidR="008E61FB" w14:paraId="5FA882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5EA36DBD" w14:textId="77777777" w:rsidR="008E61FB" w:rsidRDefault="00000000">
            <w:r>
              <w:rPr>
                <w:sz w:val="19"/>
                <w:szCs w:val="19"/>
              </w:rPr>
              <w:t>Shared Operational Visibility</w:t>
            </w:r>
          </w:p>
        </w:tc>
        <w:tc>
          <w:tcPr>
            <w:tcW w:w="75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3EB5CDE4" w14:textId="77777777" w:rsidR="008E61FB" w:rsidRDefault="00000000">
            <w:r>
              <w:rPr>
                <w:sz w:val="19"/>
                <w:szCs w:val="19"/>
              </w:rPr>
              <w:t>A consolidated operational picture across fleet positions, cargo readiness, jetty status, CTS operations, OGV commitments and operational constraints — accessible to relevant stakeholders across ABL and Berau Coal.</w:t>
            </w:r>
          </w:p>
        </w:tc>
      </w:tr>
      <w:tr w:rsidR="008E61FB" w14:paraId="4B8F45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5EAA7220" w14:textId="77777777" w:rsidR="008E61FB" w:rsidRDefault="00000000">
            <w:r>
              <w:rPr>
                <w:sz w:val="19"/>
                <w:szCs w:val="19"/>
              </w:rPr>
              <w:t>Coordinated Scheduling &amp; Planning</w:t>
            </w:r>
          </w:p>
        </w:tc>
        <w:tc>
          <w:tcPr>
            <w:tcW w:w="756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4BE92DCF" w14:textId="77777777" w:rsidR="008E61FB" w:rsidRDefault="00000000">
            <w:r>
              <w:rPr>
                <w:sz w:val="19"/>
                <w:szCs w:val="19"/>
              </w:rPr>
              <w:t>Shared schedule visibility with operational dependency management, constraint-aware coordination support and structured change management as conditions evolve.</w:t>
            </w:r>
          </w:p>
        </w:tc>
      </w:tr>
      <w:tr w:rsidR="008E61FB" w14:paraId="2DA788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526B1206" w14:textId="77777777" w:rsidR="008E61FB" w:rsidRDefault="00000000">
            <w:r>
              <w:rPr>
                <w:sz w:val="19"/>
                <w:szCs w:val="19"/>
              </w:rPr>
              <w:t>Exception &amp; Disruption Management</w:t>
            </w:r>
          </w:p>
        </w:tc>
        <w:tc>
          <w:tcPr>
            <w:tcW w:w="75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709F630B" w14:textId="77777777" w:rsidR="008E61FB" w:rsidRDefault="00000000">
            <w:r>
              <w:rPr>
                <w:sz w:val="19"/>
                <w:szCs w:val="19"/>
              </w:rPr>
              <w:t>Structured support for identifying, evaluating and responding to schedule disruptions, route constraints, operational delays, reassignment needs and execution conflicts.</w:t>
            </w:r>
          </w:p>
        </w:tc>
      </w:tr>
      <w:tr w:rsidR="008E61FB" w14:paraId="0A20BD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0F248349" w14:textId="77777777" w:rsidR="008E61FB" w:rsidRDefault="00000000">
            <w:r>
              <w:rPr>
                <w:sz w:val="19"/>
                <w:szCs w:val="19"/>
              </w:rPr>
              <w:t>Simulation-Assisted Decision Support</w:t>
            </w:r>
          </w:p>
        </w:tc>
        <w:tc>
          <w:tcPr>
            <w:tcW w:w="756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06CD396D" w14:textId="77777777" w:rsidR="008E61FB" w:rsidRDefault="00000000">
            <w:r>
              <w:rPr>
                <w:sz w:val="19"/>
                <w:szCs w:val="19"/>
              </w:rPr>
              <w:t>The ability to evaluate operational scenarios and recovery options in a structured way, supporting more informed decisions before committing to a course of action.</w:t>
            </w:r>
          </w:p>
        </w:tc>
      </w:tr>
      <w:tr w:rsidR="008E61FB" w14:paraId="7CCC67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25007263" w14:textId="77777777" w:rsidR="008E61FB" w:rsidRDefault="00000000">
            <w:r>
              <w:rPr>
                <w:sz w:val="19"/>
                <w:szCs w:val="19"/>
              </w:rPr>
              <w:t>Management &amp; KPI Visibility</w:t>
            </w:r>
          </w:p>
        </w:tc>
        <w:tc>
          <w:tcPr>
            <w:tcW w:w="75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1D310653" w14:textId="77777777" w:rsidR="008E61FB" w:rsidRDefault="00000000">
            <w:r>
              <w:rPr>
                <w:sz w:val="19"/>
                <w:szCs w:val="19"/>
              </w:rPr>
              <w:t>Operational performance monitoring across throughput, utilisation, delay attribution, waiting patterns, execution reliability and operational trends — in support of continuous improvement.</w:t>
            </w:r>
          </w:p>
        </w:tc>
      </w:tr>
    </w:tbl>
    <w:p w14:paraId="489D5A0B" w14:textId="77777777" w:rsidR="008E61FB" w:rsidRDefault="008E61FB">
      <w:pPr>
        <w:spacing w:before="8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8"/>
      </w:tblGrid>
      <w:tr w:rsidR="008E61FB" w14:paraId="6C3465CF" w14:textId="77777777">
        <w:tblPrEx>
          <w:tblCellMar>
            <w:top w:w="0" w:type="dxa"/>
            <w:bottom w:w="0" w:type="dxa"/>
          </w:tblCellMar>
        </w:tblPrEx>
        <w:tc>
          <w:tcPr>
            <w:tcW w:w="10368" w:type="dxa"/>
            <w:tcBorders>
              <w:top w:val="single" w:sz="4" w:space="0" w:color="1F4E79"/>
              <w:left w:val="single" w:sz="4" w:space="0" w:color="1F4E79"/>
              <w:bottom w:val="single" w:sz="4" w:space="0" w:color="1F4E79"/>
              <w:right w:val="single" w:sz="4" w:space="0" w:color="1F4E79"/>
            </w:tcBorders>
            <w:shd w:val="clear" w:color="auto" w:fill="EAF2F8"/>
            <w:tcMar>
              <w:top w:w="120" w:type="dxa"/>
              <w:left w:w="280" w:type="dxa"/>
              <w:bottom w:w="120" w:type="dxa"/>
              <w:right w:w="280" w:type="dxa"/>
            </w:tcMar>
          </w:tcPr>
          <w:p w14:paraId="579437FA" w14:textId="77777777" w:rsidR="008E61FB" w:rsidRDefault="00000000">
            <w:r>
              <w:rPr>
                <w:i/>
                <w:iCs/>
                <w:sz w:val="19"/>
                <w:szCs w:val="19"/>
              </w:rPr>
              <w:t>The detailed operating model, functional scope and implementation blueprint will be jointly defined during the diagnostic phase. The capability areas above represent the intended direction, not a pre-committed feature list.</w:t>
            </w:r>
          </w:p>
        </w:tc>
      </w:tr>
    </w:tbl>
    <w:p w14:paraId="313296EF" w14:textId="77777777" w:rsidR="008E61FB" w:rsidRDefault="008E61FB">
      <w:pPr>
        <w:spacing w:before="200"/>
      </w:pPr>
    </w:p>
    <w:p w14:paraId="7CD5157A" w14:textId="77777777" w:rsidR="008E61FB" w:rsidRDefault="00000000">
      <w:pPr>
        <w:spacing w:before="300"/>
      </w:pPr>
      <w:r>
        <w:rPr>
          <w:b/>
          <w:bCs/>
          <w:color w:val="808080"/>
          <w:sz w:val="26"/>
          <w:szCs w:val="26"/>
        </w:rPr>
        <w:t xml:space="preserve">7.  </w:t>
      </w:r>
      <w:r>
        <w:rPr>
          <w:b/>
          <w:bCs/>
          <w:color w:val="1F4E79"/>
          <w:sz w:val="26"/>
          <w:szCs w:val="26"/>
        </w:rPr>
        <w:t>Operating Principles</w:t>
      </w:r>
    </w:p>
    <w:p w14:paraId="15A5F48A" w14:textId="77777777" w:rsidR="008E61FB" w:rsidRDefault="008E61FB">
      <w:pPr>
        <w:pBdr>
          <w:bottom w:val="single" w:sz="8" w:space="1" w:color="1F4E79"/>
        </w:pBdr>
        <w:spacing w:after="80"/>
      </w:pPr>
    </w:p>
    <w:p w14:paraId="1AA3187E" w14:textId="77777777" w:rsidR="008E61FB" w:rsidRDefault="00000000">
      <w:pPr>
        <w:spacing w:after="100"/>
      </w:pPr>
      <w:r>
        <w:t>The proposed engagement is guided by the following principles, which will be validated and refined during the diagnostic and blueprinting phase:</w:t>
      </w:r>
    </w:p>
    <w:p w14:paraId="7DEF62C0" w14:textId="77777777" w:rsidR="008E61FB" w:rsidRDefault="008E61FB">
      <w:pPr>
        <w:spacing w:before="80"/>
      </w:pPr>
    </w:p>
    <w:p w14:paraId="63AC5CCE" w14:textId="77777777" w:rsidR="008E61FB" w:rsidRDefault="00000000">
      <w:pPr>
        <w:pBdr>
          <w:bottom w:val="single" w:sz="3" w:space="1" w:color="EAF2F8"/>
        </w:pBdr>
        <w:spacing w:before="180" w:after="60"/>
      </w:pPr>
      <w:r>
        <w:rPr>
          <w:b/>
          <w:bCs/>
          <w:color w:val="1F4E79"/>
          <w:sz w:val="21"/>
          <w:szCs w:val="21"/>
        </w:rPr>
        <w:t>7.1  End-to-End Coordination</w:t>
      </w:r>
    </w:p>
    <w:p w14:paraId="66712AD1" w14:textId="77777777" w:rsidR="008E61FB" w:rsidRDefault="00000000">
      <w:pPr>
        <w:spacing w:after="100"/>
      </w:pPr>
      <w:r>
        <w:t>Operational decisions should consider downstream impact rather than isolated local optimisation. Releasing cargo or assets into a known downstream constraint — simply to avoid local idle time — typically creates greater cost and disruption than managing the constraint proactively.</w:t>
      </w:r>
    </w:p>
    <w:p w14:paraId="1E8487EB" w14:textId="77777777" w:rsidR="008E61FB" w:rsidRDefault="008E61FB">
      <w:pPr>
        <w:spacing w:before="80"/>
      </w:pPr>
    </w:p>
    <w:p w14:paraId="5D5EFCBD" w14:textId="77777777" w:rsidR="008E61FB" w:rsidRDefault="00000000">
      <w:pPr>
        <w:pBdr>
          <w:bottom w:val="single" w:sz="3" w:space="1" w:color="EAF2F8"/>
        </w:pBdr>
        <w:spacing w:before="180" w:after="60"/>
      </w:pPr>
      <w:r>
        <w:rPr>
          <w:b/>
          <w:bCs/>
          <w:color w:val="1F4E79"/>
          <w:sz w:val="21"/>
          <w:szCs w:val="21"/>
        </w:rPr>
        <w:t>7.2  Shared Operational Visibility</w:t>
      </w:r>
    </w:p>
    <w:p w14:paraId="2012CB9C" w14:textId="77777777" w:rsidR="008E61FB" w:rsidRDefault="00000000">
      <w:pPr>
        <w:spacing w:after="100"/>
      </w:pPr>
      <w:r>
        <w:t>ABL and Berau Coal operational stakeholders should work from a synchronised operational picture and governed schedule. Information fragmentation between entities is a primary driver of reactive coordination and avoidable delay.</w:t>
      </w:r>
    </w:p>
    <w:p w14:paraId="0C19D732" w14:textId="77777777" w:rsidR="008E61FB" w:rsidRDefault="008E61FB">
      <w:pPr>
        <w:spacing w:before="80"/>
      </w:pPr>
    </w:p>
    <w:p w14:paraId="5661637E" w14:textId="77777777" w:rsidR="008E61FB" w:rsidRDefault="00000000">
      <w:pPr>
        <w:pBdr>
          <w:bottom w:val="single" w:sz="3" w:space="1" w:color="EAF2F8"/>
        </w:pBdr>
        <w:spacing w:before="180" w:after="60"/>
      </w:pPr>
      <w:r>
        <w:rPr>
          <w:b/>
          <w:bCs/>
          <w:color w:val="1F4E79"/>
          <w:sz w:val="21"/>
          <w:szCs w:val="21"/>
        </w:rPr>
        <w:t>7.3  Exception-Based Coordination</w:t>
      </w:r>
    </w:p>
    <w:p w14:paraId="7132B9CE" w14:textId="77777777" w:rsidR="008E61FB" w:rsidRDefault="00000000">
      <w:pPr>
        <w:spacing w:after="100"/>
      </w:pPr>
      <w:r>
        <w:lastRenderedPageBreak/>
        <w:t>Operational disruptions and conflicts should be identified early and managed through structured coordination workflows. The objective is to move from reactive replanning to proactive exception management — surfacing issues before they become operational crises.</w:t>
      </w:r>
    </w:p>
    <w:p w14:paraId="420EF64B" w14:textId="77777777" w:rsidR="008E61FB" w:rsidRDefault="008E61FB">
      <w:pPr>
        <w:spacing w:before="80"/>
      </w:pPr>
    </w:p>
    <w:p w14:paraId="530B68CC" w14:textId="77777777" w:rsidR="008E61FB" w:rsidRDefault="00000000">
      <w:pPr>
        <w:pBdr>
          <w:bottom w:val="single" w:sz="3" w:space="1" w:color="EAF2F8"/>
        </w:pBdr>
        <w:spacing w:before="180" w:after="60"/>
      </w:pPr>
      <w:r>
        <w:rPr>
          <w:b/>
          <w:bCs/>
          <w:color w:val="1F4E79"/>
          <w:sz w:val="21"/>
          <w:szCs w:val="21"/>
        </w:rPr>
        <w:t>7.4  Governed Decision-Making</w:t>
      </w:r>
    </w:p>
    <w:p w14:paraId="77C033DF" w14:textId="77777777" w:rsidR="008E61FB" w:rsidRDefault="00000000">
      <w:pPr>
        <w:spacing w:after="100"/>
      </w:pPr>
      <w:r>
        <w:t>Significant operational decisions — particularly those involving reassignment, delay acceptance or recovery planning — should be visible, approved and recorded. Field teams should be supported by structured decision workflows, not left to make consequential decisions without governance or audit.</w:t>
      </w:r>
    </w:p>
    <w:p w14:paraId="2392E315" w14:textId="77777777" w:rsidR="008E61FB" w:rsidRDefault="008E61FB">
      <w:pPr>
        <w:spacing w:before="80"/>
      </w:pPr>
    </w:p>
    <w:p w14:paraId="551E53DA" w14:textId="77777777" w:rsidR="008E61FB" w:rsidRDefault="00000000">
      <w:pPr>
        <w:pBdr>
          <w:bottom w:val="single" w:sz="3" w:space="1" w:color="EAF2F8"/>
        </w:pBdr>
        <w:spacing w:before="180" w:after="60"/>
      </w:pPr>
      <w:r>
        <w:rPr>
          <w:b/>
          <w:bCs/>
          <w:color w:val="1F4E79"/>
          <w:sz w:val="21"/>
          <w:szCs w:val="21"/>
        </w:rPr>
        <w:t>7.5  Phased Operational Maturity</w:t>
      </w:r>
    </w:p>
    <w:p w14:paraId="0783A705" w14:textId="77777777" w:rsidR="008E61FB" w:rsidRDefault="00000000">
      <w:pPr>
        <w:spacing w:after="100"/>
      </w:pPr>
      <w:r>
        <w:t>The engagement should progressively evolve operational capability from visibility and coordination, toward simulation-assisted operational support, and later toward more advanced coordination intelligence. Each phase should deliver independently valuable operational improvement before the next phase begins.</w:t>
      </w:r>
    </w:p>
    <w:p w14:paraId="60AB0F9B" w14:textId="77777777" w:rsidR="008E61FB" w:rsidRDefault="008E61FB">
      <w:pPr>
        <w:spacing w:before="200"/>
      </w:pPr>
    </w:p>
    <w:p w14:paraId="1D828E45" w14:textId="77777777" w:rsidR="008E61FB" w:rsidRDefault="00000000">
      <w:pPr>
        <w:spacing w:before="300"/>
      </w:pPr>
      <w:r>
        <w:rPr>
          <w:b/>
          <w:bCs/>
          <w:color w:val="808080"/>
          <w:sz w:val="26"/>
          <w:szCs w:val="26"/>
        </w:rPr>
        <w:t xml:space="preserve">8.  </w:t>
      </w:r>
      <w:r>
        <w:rPr>
          <w:b/>
          <w:bCs/>
          <w:color w:val="1F4E79"/>
          <w:sz w:val="26"/>
          <w:szCs w:val="26"/>
        </w:rPr>
        <w:t>Phased Engagement Roadmap</w:t>
      </w:r>
    </w:p>
    <w:p w14:paraId="3498A231" w14:textId="77777777" w:rsidR="008E61FB" w:rsidRDefault="008E61FB">
      <w:pPr>
        <w:pBdr>
          <w:bottom w:val="single" w:sz="8" w:space="1" w:color="1F4E79"/>
        </w:pBdr>
        <w:spacing w:after="80"/>
      </w:pPr>
    </w:p>
    <w:p w14:paraId="5E930352" w14:textId="77777777" w:rsidR="008E61FB" w:rsidRDefault="00000000">
      <w:pPr>
        <w:spacing w:after="100"/>
      </w:pPr>
      <w:r>
        <w:t>The engagement is structured in phases to ensure that operational understanding and alignment precede technology deployment. Each phase builds on the validated foundation of the previous phase.</w:t>
      </w:r>
    </w:p>
    <w:p w14:paraId="48F3529B" w14:textId="77777777" w:rsidR="008E61FB" w:rsidRDefault="008E61FB">
      <w:pPr>
        <w:spacing w:before="8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600"/>
        <w:gridCol w:w="7948"/>
      </w:tblGrid>
      <w:tr w:rsidR="008E61FB" w14:paraId="112B2939" w14:textId="77777777">
        <w:tblPrEx>
          <w:tblCellMar>
            <w:top w:w="0" w:type="dxa"/>
            <w:bottom w:w="0" w:type="dxa"/>
          </w:tblCellMar>
        </w:tblPrEx>
        <w:tc>
          <w:tcPr>
            <w:tcW w:w="82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80" w:type="dxa"/>
            </w:tcMar>
          </w:tcPr>
          <w:p w14:paraId="39B4DAC7" w14:textId="77777777" w:rsidR="008E61FB" w:rsidRDefault="00000000">
            <w:r>
              <w:rPr>
                <w:b/>
                <w:bCs/>
                <w:color w:val="FFFFFF"/>
                <w:sz w:val="19"/>
                <w:szCs w:val="19"/>
              </w:rPr>
              <w:t>Phase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80" w:type="dxa"/>
            </w:tcMar>
          </w:tcPr>
          <w:p w14:paraId="6A39CF4B" w14:textId="77777777" w:rsidR="008E61FB" w:rsidRDefault="00000000">
            <w:r>
              <w:rPr>
                <w:b/>
                <w:bCs/>
                <w:color w:val="FFFFFF"/>
                <w:sz w:val="19"/>
                <w:szCs w:val="19"/>
              </w:rPr>
              <w:t>Focus</w:t>
            </w:r>
          </w:p>
        </w:tc>
        <w:tc>
          <w:tcPr>
            <w:tcW w:w="7948"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80" w:type="dxa"/>
            </w:tcMar>
          </w:tcPr>
          <w:p w14:paraId="46D269A1" w14:textId="77777777" w:rsidR="008E61FB" w:rsidRDefault="00000000">
            <w:r>
              <w:rPr>
                <w:b/>
                <w:bCs/>
                <w:color w:val="FFFFFF"/>
                <w:sz w:val="19"/>
                <w:szCs w:val="19"/>
              </w:rPr>
              <w:t>Scope &amp; Deliverables</w:t>
            </w:r>
          </w:p>
        </w:tc>
      </w:tr>
      <w:tr w:rsidR="008E61FB" w14:paraId="33B7EF72"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1F4E79"/>
            <w:tcMar>
              <w:top w:w="80" w:type="dxa"/>
              <w:left w:w="80" w:type="dxa"/>
              <w:bottom w:w="80" w:type="dxa"/>
              <w:right w:w="60" w:type="dxa"/>
            </w:tcMar>
            <w:vAlign w:val="center"/>
          </w:tcPr>
          <w:p w14:paraId="3FD91A1E" w14:textId="77777777" w:rsidR="008E61FB" w:rsidRDefault="00000000">
            <w:pPr>
              <w:jc w:val="center"/>
            </w:pPr>
            <w:r>
              <w:rPr>
                <w:b/>
                <w:bCs/>
                <w:color w:val="FFFFFF"/>
              </w:rPr>
              <w:t>Phase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06CBC366" w14:textId="77777777" w:rsidR="008E61FB" w:rsidRDefault="00000000">
            <w:r>
              <w:rPr>
                <w:b/>
                <w:bCs/>
                <w:color w:val="1F4E79"/>
                <w:sz w:val="19"/>
                <w:szCs w:val="19"/>
              </w:rPr>
              <w:t>Diagnostic &amp; Blueprinting</w:t>
            </w:r>
          </w:p>
        </w:tc>
        <w:tc>
          <w:tcPr>
            <w:tcW w:w="7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213D301" w14:textId="77777777" w:rsidR="008E61FB" w:rsidRDefault="00000000">
            <w:pPr>
              <w:pStyle w:val="ListParagraph"/>
              <w:numPr>
                <w:ilvl w:val="0"/>
                <w:numId w:val="2"/>
              </w:numPr>
              <w:spacing w:before="20" w:after="20"/>
            </w:pPr>
            <w:r>
              <w:rPr>
                <w:sz w:val="18"/>
                <w:szCs w:val="18"/>
              </w:rPr>
              <w:t>Map current operational workflows, decision rights and coordination patterns across all chain stages</w:t>
            </w:r>
          </w:p>
          <w:p w14:paraId="5D92BAFB" w14:textId="77777777" w:rsidR="008E61FB" w:rsidRDefault="00000000">
            <w:pPr>
              <w:pStyle w:val="ListParagraph"/>
              <w:numPr>
                <w:ilvl w:val="0"/>
                <w:numId w:val="2"/>
              </w:numPr>
              <w:spacing w:before="20" w:after="20"/>
            </w:pPr>
            <w:r>
              <w:rPr>
                <w:sz w:val="18"/>
                <w:szCs w:val="18"/>
              </w:rPr>
              <w:t>Identify operational bottlenecks, dependency gaps and constraint management challenges</w:t>
            </w:r>
          </w:p>
          <w:p w14:paraId="611C256B" w14:textId="77777777" w:rsidR="008E61FB" w:rsidRDefault="00000000">
            <w:pPr>
              <w:pStyle w:val="ListParagraph"/>
              <w:numPr>
                <w:ilvl w:val="0"/>
                <w:numId w:val="2"/>
              </w:numPr>
              <w:spacing w:before="20" w:after="20"/>
            </w:pPr>
            <w:r>
              <w:rPr>
                <w:sz w:val="18"/>
                <w:szCs w:val="18"/>
              </w:rPr>
              <w:t>Review data availability, quality, integration options and reporting discipline</w:t>
            </w:r>
          </w:p>
          <w:p w14:paraId="0FD46BD7" w14:textId="77777777" w:rsidR="008E61FB" w:rsidRDefault="00000000">
            <w:pPr>
              <w:pStyle w:val="ListParagraph"/>
              <w:numPr>
                <w:ilvl w:val="0"/>
                <w:numId w:val="2"/>
              </w:numPr>
              <w:spacing w:before="20" w:after="20"/>
            </w:pPr>
            <w:r>
              <w:rPr>
                <w:sz w:val="18"/>
                <w:szCs w:val="18"/>
              </w:rPr>
              <w:t>Define operational governance needs, KPI framework and shared performance definitions</w:t>
            </w:r>
          </w:p>
          <w:p w14:paraId="6339D525" w14:textId="77777777" w:rsidR="008E61FB" w:rsidRDefault="00000000">
            <w:pPr>
              <w:pStyle w:val="ListParagraph"/>
              <w:numPr>
                <w:ilvl w:val="0"/>
                <w:numId w:val="2"/>
              </w:numPr>
              <w:spacing w:before="20" w:after="20"/>
            </w:pPr>
            <w:r>
              <w:rPr>
                <w:sz w:val="18"/>
                <w:szCs w:val="18"/>
              </w:rPr>
              <w:t>Establish future-state operating priorities and implementation sequencing</w:t>
            </w:r>
          </w:p>
          <w:p w14:paraId="3CB2D591" w14:textId="77777777" w:rsidR="008E61FB" w:rsidRDefault="00000000">
            <w:pPr>
              <w:pStyle w:val="ListParagraph"/>
              <w:numPr>
                <w:ilvl w:val="0"/>
                <w:numId w:val="2"/>
              </w:numPr>
              <w:spacing w:before="20" w:after="20"/>
            </w:pPr>
            <w:r>
              <w:rPr>
                <w:sz w:val="18"/>
                <w:szCs w:val="18"/>
              </w:rPr>
              <w:t>Deliverables: current-state assessment, process mapping, constraint inventory, future-state blueprint, prioritised roadmap</w:t>
            </w:r>
          </w:p>
        </w:tc>
      </w:tr>
      <w:tr w:rsidR="008E61FB" w14:paraId="4D62D6E4"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2E6DA4"/>
            <w:tcMar>
              <w:top w:w="80" w:type="dxa"/>
              <w:left w:w="80" w:type="dxa"/>
              <w:bottom w:w="80" w:type="dxa"/>
              <w:right w:w="60" w:type="dxa"/>
            </w:tcMar>
            <w:vAlign w:val="center"/>
          </w:tcPr>
          <w:p w14:paraId="3269C51A" w14:textId="77777777" w:rsidR="008E61FB" w:rsidRDefault="00000000">
            <w:pPr>
              <w:jc w:val="center"/>
            </w:pPr>
            <w:r>
              <w:rPr>
                <w:b/>
                <w:bCs/>
                <w:color w:val="FFFFFF"/>
              </w:rPr>
              <w:t>Phase 1</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80" w:type="dxa"/>
            </w:tcMar>
          </w:tcPr>
          <w:p w14:paraId="1EBB4460" w14:textId="77777777" w:rsidR="008E61FB" w:rsidRDefault="00000000">
            <w:r>
              <w:rPr>
                <w:b/>
                <w:bCs/>
                <w:color w:val="1F4E79"/>
                <w:sz w:val="19"/>
                <w:szCs w:val="19"/>
              </w:rPr>
              <w:t>Shared Operational Coordination</w:t>
            </w:r>
          </w:p>
        </w:tc>
        <w:tc>
          <w:tcPr>
            <w:tcW w:w="794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80" w:type="dxa"/>
            </w:tcMar>
          </w:tcPr>
          <w:p w14:paraId="113AC6C2" w14:textId="77777777" w:rsidR="008E61FB" w:rsidRDefault="00000000">
            <w:pPr>
              <w:pStyle w:val="ListParagraph"/>
              <w:numPr>
                <w:ilvl w:val="0"/>
                <w:numId w:val="2"/>
              </w:numPr>
              <w:spacing w:before="20" w:after="20"/>
            </w:pPr>
            <w:r>
              <w:rPr>
                <w:sz w:val="18"/>
                <w:szCs w:val="18"/>
              </w:rPr>
              <w:t>Establish shared operational master data: fleet, jetty, cargo, CTS, routes and OGV programme</w:t>
            </w:r>
          </w:p>
          <w:p w14:paraId="16E7B694" w14:textId="77777777" w:rsidR="008E61FB" w:rsidRDefault="00000000">
            <w:pPr>
              <w:pStyle w:val="ListParagraph"/>
              <w:numPr>
                <w:ilvl w:val="0"/>
                <w:numId w:val="2"/>
              </w:numPr>
              <w:spacing w:before="20" w:after="20"/>
            </w:pPr>
            <w:r>
              <w:rPr>
                <w:sz w:val="18"/>
                <w:szCs w:val="18"/>
              </w:rPr>
              <w:t>Deploy shared schedule visibility across ABL and Berau Coal operational stakeholders</w:t>
            </w:r>
          </w:p>
          <w:p w14:paraId="525404C9" w14:textId="77777777" w:rsidR="008E61FB" w:rsidRDefault="00000000">
            <w:pPr>
              <w:pStyle w:val="ListParagraph"/>
              <w:numPr>
                <w:ilvl w:val="0"/>
                <w:numId w:val="2"/>
              </w:numPr>
              <w:spacing w:before="20" w:after="20"/>
            </w:pPr>
            <w:r>
              <w:rPr>
                <w:sz w:val="18"/>
                <w:szCs w:val="18"/>
              </w:rPr>
              <w:t>Provide planned vs actual operational tracking across the key chain stages</w:t>
            </w:r>
          </w:p>
          <w:p w14:paraId="7C48759F" w14:textId="77777777" w:rsidR="008E61FB" w:rsidRDefault="00000000">
            <w:pPr>
              <w:pStyle w:val="ListParagraph"/>
              <w:numPr>
                <w:ilvl w:val="0"/>
                <w:numId w:val="2"/>
              </w:numPr>
              <w:spacing w:before="20" w:after="20"/>
            </w:pPr>
            <w:r>
              <w:rPr>
                <w:sz w:val="18"/>
                <w:szCs w:val="18"/>
              </w:rPr>
              <w:t>Introduce initial exception visibility: conflicts, delays and coordination gaps</w:t>
            </w:r>
          </w:p>
          <w:p w14:paraId="02D55677" w14:textId="77777777" w:rsidR="008E61FB" w:rsidRDefault="00000000">
            <w:pPr>
              <w:pStyle w:val="ListParagraph"/>
              <w:numPr>
                <w:ilvl w:val="0"/>
                <w:numId w:val="2"/>
              </w:numPr>
              <w:spacing w:before="20" w:after="20"/>
            </w:pPr>
            <w:r>
              <w:rPr>
                <w:sz w:val="18"/>
                <w:szCs w:val="18"/>
              </w:rPr>
              <w:t>Enable structured operational event recording and delay reason attribution</w:t>
            </w:r>
          </w:p>
        </w:tc>
      </w:tr>
      <w:tr w:rsidR="008E61FB" w14:paraId="1903C802"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1A6B7C"/>
            <w:tcMar>
              <w:top w:w="80" w:type="dxa"/>
              <w:left w:w="80" w:type="dxa"/>
              <w:bottom w:w="80" w:type="dxa"/>
              <w:right w:w="60" w:type="dxa"/>
            </w:tcMar>
            <w:vAlign w:val="center"/>
          </w:tcPr>
          <w:p w14:paraId="63DAC37E" w14:textId="77777777" w:rsidR="008E61FB" w:rsidRDefault="00000000">
            <w:pPr>
              <w:jc w:val="center"/>
            </w:pPr>
            <w:r>
              <w:rPr>
                <w:b/>
                <w:bCs/>
                <w:color w:val="FFFFFF"/>
              </w:rPr>
              <w:t>Phase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5A8AA15F" w14:textId="77777777" w:rsidR="008E61FB" w:rsidRDefault="00000000">
            <w:r>
              <w:rPr>
                <w:b/>
                <w:bCs/>
                <w:color w:val="1F4E79"/>
                <w:sz w:val="19"/>
                <w:szCs w:val="19"/>
              </w:rPr>
              <w:t>Constraint-Aware Operational Support</w:t>
            </w:r>
          </w:p>
        </w:tc>
        <w:tc>
          <w:tcPr>
            <w:tcW w:w="7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135DA93C" w14:textId="77777777" w:rsidR="008E61FB" w:rsidRDefault="00000000">
            <w:pPr>
              <w:pStyle w:val="ListParagraph"/>
              <w:numPr>
                <w:ilvl w:val="0"/>
                <w:numId w:val="2"/>
              </w:numPr>
              <w:spacing w:before="20" w:after="20"/>
            </w:pPr>
            <w:r>
              <w:rPr>
                <w:sz w:val="18"/>
                <w:szCs w:val="18"/>
              </w:rPr>
              <w:t>Introduce constraint-aware scheduling support: navigation windows, draft limits, jetty capacity</w:t>
            </w:r>
          </w:p>
          <w:p w14:paraId="0B320F9C" w14:textId="77777777" w:rsidR="008E61FB" w:rsidRDefault="00000000">
            <w:pPr>
              <w:pStyle w:val="ListParagraph"/>
              <w:numPr>
                <w:ilvl w:val="0"/>
                <w:numId w:val="2"/>
              </w:numPr>
              <w:spacing w:before="20" w:after="20"/>
            </w:pPr>
            <w:r>
              <w:rPr>
                <w:sz w:val="18"/>
                <w:szCs w:val="18"/>
              </w:rPr>
              <w:t>Enable operational dependency visibility and choke-point awareness</w:t>
            </w:r>
          </w:p>
          <w:p w14:paraId="1A8D789D" w14:textId="77777777" w:rsidR="008E61FB" w:rsidRDefault="00000000">
            <w:pPr>
              <w:pStyle w:val="ListParagraph"/>
              <w:numPr>
                <w:ilvl w:val="0"/>
                <w:numId w:val="2"/>
              </w:numPr>
              <w:spacing w:before="20" w:after="20"/>
            </w:pPr>
            <w:r>
              <w:rPr>
                <w:sz w:val="18"/>
                <w:szCs w:val="18"/>
              </w:rPr>
              <w:t>Provide delay and disruption management workflows with structured coordination support</w:t>
            </w:r>
          </w:p>
          <w:p w14:paraId="4058E791" w14:textId="77777777" w:rsidR="008E61FB" w:rsidRDefault="00000000">
            <w:pPr>
              <w:pStyle w:val="ListParagraph"/>
              <w:numPr>
                <w:ilvl w:val="0"/>
                <w:numId w:val="2"/>
              </w:numPr>
              <w:spacing w:before="20" w:after="20"/>
            </w:pPr>
            <w:r>
              <w:rPr>
                <w:sz w:val="18"/>
                <w:szCs w:val="18"/>
              </w:rPr>
              <w:t>Add scenario evaluation support for operational response to changing conditions</w:t>
            </w:r>
          </w:p>
          <w:p w14:paraId="2DB878EC" w14:textId="77777777" w:rsidR="008E61FB" w:rsidRDefault="00000000">
            <w:pPr>
              <w:pStyle w:val="ListParagraph"/>
              <w:numPr>
                <w:ilvl w:val="0"/>
                <w:numId w:val="2"/>
              </w:numPr>
              <w:spacing w:before="20" w:after="20"/>
            </w:pPr>
            <w:r>
              <w:rPr>
                <w:sz w:val="18"/>
                <w:szCs w:val="18"/>
              </w:rPr>
              <w:t>Deliver OGV completion visibility and laycan risk awareness</w:t>
            </w:r>
          </w:p>
        </w:tc>
      </w:tr>
      <w:tr w:rsidR="008E61FB" w14:paraId="2FE7B897"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1A6B4A"/>
            <w:tcMar>
              <w:top w:w="80" w:type="dxa"/>
              <w:left w:w="80" w:type="dxa"/>
              <w:bottom w:w="80" w:type="dxa"/>
              <w:right w:w="60" w:type="dxa"/>
            </w:tcMar>
            <w:vAlign w:val="center"/>
          </w:tcPr>
          <w:p w14:paraId="411CB923" w14:textId="77777777" w:rsidR="008E61FB" w:rsidRDefault="00000000">
            <w:pPr>
              <w:jc w:val="center"/>
            </w:pPr>
            <w:r>
              <w:rPr>
                <w:b/>
                <w:bCs/>
                <w:color w:val="FFFFFF"/>
              </w:rPr>
              <w:t>Phase 3</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80" w:type="dxa"/>
            </w:tcMar>
          </w:tcPr>
          <w:p w14:paraId="05F74757" w14:textId="77777777" w:rsidR="008E61FB" w:rsidRDefault="00000000">
            <w:r>
              <w:rPr>
                <w:b/>
                <w:bCs/>
                <w:color w:val="1F4E79"/>
                <w:sz w:val="19"/>
                <w:szCs w:val="19"/>
              </w:rPr>
              <w:t>Integrated Operational Synchronisation</w:t>
            </w:r>
          </w:p>
        </w:tc>
        <w:tc>
          <w:tcPr>
            <w:tcW w:w="794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40" w:type="dxa"/>
              <w:bottom w:w="80" w:type="dxa"/>
              <w:right w:w="80" w:type="dxa"/>
            </w:tcMar>
          </w:tcPr>
          <w:p w14:paraId="7A787CFD" w14:textId="77777777" w:rsidR="008E61FB" w:rsidRDefault="00000000">
            <w:pPr>
              <w:pStyle w:val="ListParagraph"/>
              <w:numPr>
                <w:ilvl w:val="0"/>
                <w:numId w:val="2"/>
              </w:numPr>
              <w:spacing w:before="20" w:after="20"/>
            </w:pPr>
            <w:r>
              <w:rPr>
                <w:sz w:val="18"/>
                <w:szCs w:val="18"/>
              </w:rPr>
              <w:t>Integrate live operational event data from fleet and field sources</w:t>
            </w:r>
          </w:p>
          <w:p w14:paraId="7B5FF270" w14:textId="77777777" w:rsidR="008E61FB" w:rsidRDefault="00000000">
            <w:pPr>
              <w:pStyle w:val="ListParagraph"/>
              <w:numPr>
                <w:ilvl w:val="0"/>
                <w:numId w:val="2"/>
              </w:numPr>
              <w:spacing w:before="20" w:after="20"/>
            </w:pPr>
            <w:r>
              <w:rPr>
                <w:sz w:val="18"/>
                <w:szCs w:val="18"/>
              </w:rPr>
              <w:t>Improve execution synchronisation between planning and field operations</w:t>
            </w:r>
          </w:p>
          <w:p w14:paraId="2AE4AEB2" w14:textId="77777777" w:rsidR="008E61FB" w:rsidRDefault="00000000">
            <w:pPr>
              <w:pStyle w:val="ListParagraph"/>
              <w:numPr>
                <w:ilvl w:val="0"/>
                <w:numId w:val="2"/>
              </w:numPr>
              <w:spacing w:before="20" w:after="20"/>
            </w:pPr>
            <w:r>
              <w:rPr>
                <w:sz w:val="18"/>
                <w:szCs w:val="18"/>
              </w:rPr>
              <w:t>Introduce cross-functional coordination workflows across ABL and Berau Coal teams</w:t>
            </w:r>
          </w:p>
          <w:p w14:paraId="220EADD2" w14:textId="77777777" w:rsidR="008E61FB" w:rsidRDefault="00000000">
            <w:pPr>
              <w:pStyle w:val="ListParagraph"/>
              <w:numPr>
                <w:ilvl w:val="0"/>
                <w:numId w:val="2"/>
              </w:numPr>
              <w:spacing w:before="20" w:after="20"/>
            </w:pPr>
            <w:r>
              <w:rPr>
                <w:sz w:val="18"/>
                <w:szCs w:val="18"/>
              </w:rPr>
              <w:t>Expand operational analytics and KPI reporting across the full operational chain</w:t>
            </w:r>
          </w:p>
          <w:p w14:paraId="282F0BE3" w14:textId="77777777" w:rsidR="008E61FB" w:rsidRDefault="00000000">
            <w:pPr>
              <w:pStyle w:val="ListParagraph"/>
              <w:numPr>
                <w:ilvl w:val="0"/>
                <w:numId w:val="2"/>
              </w:numPr>
              <w:spacing w:before="20" w:after="20"/>
            </w:pPr>
            <w:r>
              <w:rPr>
                <w:sz w:val="18"/>
                <w:szCs w:val="18"/>
              </w:rPr>
              <w:t>Deliver management reporting and performance visibility dashboards</w:t>
            </w:r>
          </w:p>
        </w:tc>
      </w:tr>
      <w:tr w:rsidR="008E61FB" w14:paraId="4E3F6A7C"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17365D"/>
            <w:tcMar>
              <w:top w:w="80" w:type="dxa"/>
              <w:left w:w="80" w:type="dxa"/>
              <w:bottom w:w="80" w:type="dxa"/>
              <w:right w:w="60" w:type="dxa"/>
            </w:tcMar>
            <w:vAlign w:val="center"/>
          </w:tcPr>
          <w:p w14:paraId="67A14A60" w14:textId="77777777" w:rsidR="008E61FB" w:rsidRDefault="00000000">
            <w:pPr>
              <w:jc w:val="center"/>
            </w:pPr>
            <w:r>
              <w:rPr>
                <w:b/>
                <w:bCs/>
                <w:color w:val="FFFFFF"/>
              </w:rPr>
              <w:t>Phase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31AF36B1" w14:textId="77777777" w:rsidR="008E61FB" w:rsidRDefault="00000000">
            <w:r>
              <w:rPr>
                <w:b/>
                <w:bCs/>
                <w:color w:val="1F4E79"/>
                <w:sz w:val="19"/>
                <w:szCs w:val="19"/>
              </w:rPr>
              <w:t>Advanced Operational Enablement</w:t>
            </w:r>
          </w:p>
        </w:tc>
        <w:tc>
          <w:tcPr>
            <w:tcW w:w="79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80" w:type="dxa"/>
            </w:tcMar>
          </w:tcPr>
          <w:p w14:paraId="29D1FAC5" w14:textId="77777777" w:rsidR="008E61FB" w:rsidRDefault="00000000">
            <w:pPr>
              <w:pStyle w:val="ListParagraph"/>
              <w:numPr>
                <w:ilvl w:val="0"/>
                <w:numId w:val="2"/>
              </w:numPr>
              <w:spacing w:before="20" w:after="20"/>
            </w:pPr>
            <w:r>
              <w:rPr>
                <w:sz w:val="18"/>
                <w:szCs w:val="18"/>
              </w:rPr>
              <w:t>Introduce advanced operational coordination recommendations and recovery support</w:t>
            </w:r>
          </w:p>
          <w:p w14:paraId="778E2291" w14:textId="77777777" w:rsidR="008E61FB" w:rsidRDefault="00000000">
            <w:pPr>
              <w:pStyle w:val="ListParagraph"/>
              <w:numPr>
                <w:ilvl w:val="0"/>
                <w:numId w:val="2"/>
              </w:numPr>
              <w:spacing w:before="20" w:after="20"/>
            </w:pPr>
            <w:r>
              <w:rPr>
                <w:sz w:val="18"/>
                <w:szCs w:val="18"/>
              </w:rPr>
              <w:t>Expand simulation-assisted scenario support for complex operational situations</w:t>
            </w:r>
          </w:p>
          <w:p w14:paraId="22D10E10" w14:textId="77777777" w:rsidR="008E61FB" w:rsidRDefault="00000000">
            <w:pPr>
              <w:pStyle w:val="ListParagraph"/>
              <w:numPr>
                <w:ilvl w:val="0"/>
                <w:numId w:val="2"/>
              </w:numPr>
              <w:spacing w:before="20" w:after="20"/>
            </w:pPr>
            <w:r>
              <w:rPr>
                <w:sz w:val="18"/>
                <w:szCs w:val="18"/>
              </w:rPr>
              <w:lastRenderedPageBreak/>
              <w:t>Deliver strategic operational analytics and predictive performance visibility</w:t>
            </w:r>
          </w:p>
          <w:p w14:paraId="4915392E" w14:textId="77777777" w:rsidR="008E61FB" w:rsidRDefault="00000000">
            <w:pPr>
              <w:pStyle w:val="ListParagraph"/>
              <w:numPr>
                <w:ilvl w:val="0"/>
                <w:numId w:val="2"/>
              </w:numPr>
              <w:spacing w:before="20" w:after="20"/>
            </w:pPr>
            <w:r>
              <w:rPr>
                <w:sz w:val="18"/>
                <w:szCs w:val="18"/>
              </w:rPr>
              <w:t>Scope and sequencing to be jointly prioritised during the blueprinting phase</w:t>
            </w:r>
          </w:p>
        </w:tc>
      </w:tr>
    </w:tbl>
    <w:p w14:paraId="71E4E98A" w14:textId="77777777" w:rsidR="008E61FB" w:rsidRDefault="008E61FB">
      <w:pPr>
        <w:spacing w:before="200"/>
      </w:pPr>
    </w:p>
    <w:p w14:paraId="75E052CF" w14:textId="77777777" w:rsidR="008E61FB" w:rsidRDefault="00000000">
      <w:pPr>
        <w:spacing w:before="300"/>
      </w:pPr>
      <w:r>
        <w:rPr>
          <w:b/>
          <w:bCs/>
          <w:color w:val="808080"/>
          <w:sz w:val="26"/>
          <w:szCs w:val="26"/>
        </w:rPr>
        <w:t xml:space="preserve">9.  </w:t>
      </w:r>
      <w:r>
        <w:rPr>
          <w:b/>
          <w:bCs/>
          <w:color w:val="1F4E79"/>
          <w:sz w:val="26"/>
          <w:szCs w:val="26"/>
        </w:rPr>
        <w:t>Committed Deliverables</w:t>
      </w:r>
    </w:p>
    <w:p w14:paraId="39D5BCD2" w14:textId="77777777" w:rsidR="008E61FB" w:rsidRDefault="008E61FB">
      <w:pPr>
        <w:pBdr>
          <w:bottom w:val="single" w:sz="8" w:space="1" w:color="1F4E79"/>
        </w:pBdr>
        <w:spacing w:after="80"/>
      </w:pPr>
    </w:p>
    <w:p w14:paraId="57B9943D" w14:textId="77777777" w:rsidR="008E61FB" w:rsidRDefault="00000000">
      <w:pPr>
        <w:spacing w:after="100"/>
      </w:pPr>
      <w:r>
        <w:t>Vector Consulting Indonesia commits to the following workstream deliverables, structured by engagement phase. Detailed scope and acceptance criteria for each phase will be jointly confirmed during the diagnostic and blueprinting engagement.</w:t>
      </w:r>
    </w:p>
    <w:p w14:paraId="0578BABC" w14:textId="77777777" w:rsidR="008E61FB" w:rsidRDefault="008E61FB">
      <w:pPr>
        <w:spacing w:before="8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2000"/>
        <w:gridCol w:w="4748"/>
        <w:gridCol w:w="2800"/>
      </w:tblGrid>
      <w:tr w:rsidR="008E61FB" w14:paraId="09E0353C" w14:textId="77777777">
        <w:tblPrEx>
          <w:tblCellMar>
            <w:top w:w="0" w:type="dxa"/>
            <w:bottom w:w="0" w:type="dxa"/>
          </w:tblCellMar>
        </w:tblPrEx>
        <w:tc>
          <w:tcPr>
            <w:tcW w:w="82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80" w:type="dxa"/>
            </w:tcMar>
          </w:tcPr>
          <w:p w14:paraId="03A07838" w14:textId="77777777" w:rsidR="008E61FB" w:rsidRDefault="00000000">
            <w:r>
              <w:rPr>
                <w:b/>
                <w:bCs/>
                <w:color w:val="FFFFFF"/>
                <w:sz w:val="19"/>
                <w:szCs w:val="19"/>
              </w:rPr>
              <w:t>Phase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80" w:type="dxa"/>
            </w:tcMar>
          </w:tcPr>
          <w:p w14:paraId="3E30BF7B" w14:textId="77777777" w:rsidR="008E61FB" w:rsidRDefault="00000000">
            <w:r>
              <w:rPr>
                <w:b/>
                <w:bCs/>
                <w:color w:val="FFFFFF"/>
                <w:sz w:val="19"/>
                <w:szCs w:val="19"/>
              </w:rPr>
              <w:t>Workstream</w:t>
            </w:r>
          </w:p>
        </w:tc>
        <w:tc>
          <w:tcPr>
            <w:tcW w:w="4748"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80" w:type="dxa"/>
            </w:tcMar>
          </w:tcPr>
          <w:p w14:paraId="6F2EA1EE" w14:textId="77777777" w:rsidR="008E61FB" w:rsidRDefault="00000000">
            <w:r>
              <w:rPr>
                <w:b/>
                <w:bCs/>
                <w:color w:val="FFFFFF"/>
                <w:sz w:val="19"/>
                <w:szCs w:val="19"/>
              </w:rPr>
              <w:t>Key Deliverables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00" w:type="dxa"/>
              <w:bottom w:w="70" w:type="dxa"/>
              <w:right w:w="80" w:type="dxa"/>
            </w:tcMar>
          </w:tcPr>
          <w:p w14:paraId="6B0715E7" w14:textId="77777777" w:rsidR="008E61FB" w:rsidRDefault="00000000">
            <w:r>
              <w:rPr>
                <w:b/>
                <w:bCs/>
                <w:color w:val="FFFFFF"/>
                <w:sz w:val="19"/>
                <w:szCs w:val="19"/>
              </w:rPr>
              <w:t>Acceptance Gate</w:t>
            </w:r>
          </w:p>
        </w:tc>
      </w:tr>
      <w:tr w:rsidR="008E61FB" w14:paraId="2FEBE020"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1F4E79"/>
            <w:tcMar>
              <w:top w:w="70" w:type="dxa"/>
              <w:left w:w="80" w:type="dxa"/>
              <w:bottom w:w="70" w:type="dxa"/>
              <w:right w:w="60" w:type="dxa"/>
            </w:tcMar>
            <w:vAlign w:val="center"/>
          </w:tcPr>
          <w:p w14:paraId="7966EB14" w14:textId="77777777" w:rsidR="008E61FB" w:rsidRDefault="00000000">
            <w:pPr>
              <w:jc w:val="center"/>
            </w:pPr>
            <w:r>
              <w:rPr>
                <w:b/>
                <w:bCs/>
                <w:color w:val="FFFFFF"/>
                <w:sz w:val="18"/>
                <w:szCs w:val="18"/>
              </w:rPr>
              <w:t>Phase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7C554583" w14:textId="77777777" w:rsidR="008E61FB" w:rsidRDefault="00000000">
            <w:r>
              <w:rPr>
                <w:b/>
                <w:bCs/>
                <w:color w:val="1F4E79"/>
                <w:sz w:val="19"/>
                <w:szCs w:val="19"/>
              </w:rPr>
              <w:t>Diagnostic &amp; Blueprint</w:t>
            </w:r>
          </w:p>
        </w:tc>
        <w:tc>
          <w:tcPr>
            <w:tcW w:w="47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6E58BE7A" w14:textId="77777777" w:rsidR="008E61FB" w:rsidRDefault="00000000">
            <w:pPr>
              <w:pStyle w:val="ListParagraph"/>
              <w:numPr>
                <w:ilvl w:val="0"/>
                <w:numId w:val="2"/>
              </w:numPr>
              <w:spacing w:before="20" w:after="20"/>
            </w:pPr>
            <w:r>
              <w:rPr>
                <w:sz w:val="18"/>
                <w:szCs w:val="18"/>
              </w:rPr>
              <w:t>Current-state operational process mapping across all chain stages</w:t>
            </w:r>
          </w:p>
          <w:p w14:paraId="5D905351" w14:textId="77777777" w:rsidR="008E61FB" w:rsidRDefault="00000000">
            <w:pPr>
              <w:pStyle w:val="ListParagraph"/>
              <w:numPr>
                <w:ilvl w:val="0"/>
                <w:numId w:val="2"/>
              </w:numPr>
              <w:spacing w:before="20" w:after="20"/>
            </w:pPr>
            <w:r>
              <w:rPr>
                <w:sz w:val="18"/>
                <w:szCs w:val="18"/>
              </w:rPr>
              <w:t>Operational constraint and dependency assessment</w:t>
            </w:r>
          </w:p>
          <w:p w14:paraId="04D93427" w14:textId="77777777" w:rsidR="008E61FB" w:rsidRDefault="00000000">
            <w:pPr>
              <w:pStyle w:val="ListParagraph"/>
              <w:numPr>
                <w:ilvl w:val="0"/>
                <w:numId w:val="2"/>
              </w:numPr>
              <w:spacing w:before="20" w:after="20"/>
            </w:pPr>
            <w:r>
              <w:rPr>
                <w:sz w:val="18"/>
                <w:szCs w:val="18"/>
              </w:rPr>
              <w:t>Data availability, quality and integration assessment</w:t>
            </w:r>
          </w:p>
          <w:p w14:paraId="1BB27AF6" w14:textId="77777777" w:rsidR="008E61FB" w:rsidRDefault="00000000">
            <w:pPr>
              <w:pStyle w:val="ListParagraph"/>
              <w:numPr>
                <w:ilvl w:val="0"/>
                <w:numId w:val="2"/>
              </w:numPr>
              <w:spacing w:before="20" w:after="20"/>
            </w:pPr>
            <w:r>
              <w:rPr>
                <w:sz w:val="18"/>
                <w:szCs w:val="18"/>
              </w:rPr>
              <w:t>KPI framework and delay-reason taxonomy</w:t>
            </w:r>
          </w:p>
          <w:p w14:paraId="2923EB16" w14:textId="77777777" w:rsidR="008E61FB" w:rsidRDefault="00000000">
            <w:pPr>
              <w:pStyle w:val="ListParagraph"/>
              <w:numPr>
                <w:ilvl w:val="0"/>
                <w:numId w:val="2"/>
              </w:numPr>
              <w:spacing w:before="20" w:after="20"/>
            </w:pPr>
            <w:r>
              <w:rPr>
                <w:sz w:val="18"/>
                <w:szCs w:val="18"/>
              </w:rPr>
              <w:t>Future-state operating blueprint and prioritised implementation roadmap</w:t>
            </w:r>
          </w:p>
          <w:p w14:paraId="61FE7BEA" w14:textId="77777777" w:rsidR="008E61FB" w:rsidRDefault="00000000">
            <w:pPr>
              <w:pStyle w:val="ListParagraph"/>
              <w:numPr>
                <w:ilvl w:val="0"/>
                <w:numId w:val="2"/>
              </w:numPr>
              <w:spacing w:before="20" w:after="20"/>
            </w:pPr>
            <w:r>
              <w:rPr>
                <w:sz w:val="18"/>
                <w:szCs w:val="18"/>
              </w:rPr>
              <w:t>Operational governance structure and stakeholder alignment plan</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7AE4A070" w14:textId="77777777" w:rsidR="008E61FB" w:rsidRDefault="00000000">
            <w:r>
              <w:rPr>
                <w:i/>
                <w:iCs/>
                <w:sz w:val="18"/>
                <w:szCs w:val="18"/>
              </w:rPr>
              <w:t>Signed current-state assessment and approved future-state blueprint</w:t>
            </w:r>
          </w:p>
        </w:tc>
      </w:tr>
      <w:tr w:rsidR="008E61FB" w14:paraId="2D13C6A0"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1F4E79"/>
            <w:tcMar>
              <w:top w:w="70" w:type="dxa"/>
              <w:left w:w="80" w:type="dxa"/>
              <w:bottom w:w="70" w:type="dxa"/>
              <w:right w:w="60" w:type="dxa"/>
            </w:tcMar>
            <w:vAlign w:val="center"/>
          </w:tcPr>
          <w:p w14:paraId="0701F3C9" w14:textId="77777777" w:rsidR="008E61FB" w:rsidRDefault="00000000">
            <w:pPr>
              <w:jc w:val="center"/>
            </w:pPr>
            <w:r>
              <w:rPr>
                <w:b/>
                <w:bCs/>
                <w:color w:val="FFFFFF"/>
                <w:sz w:val="18"/>
                <w:szCs w:val="18"/>
              </w:rPr>
              <w:t>Phase 1</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70F2166C" w14:textId="77777777" w:rsidR="008E61FB" w:rsidRDefault="00000000">
            <w:r>
              <w:rPr>
                <w:b/>
                <w:bCs/>
                <w:color w:val="1F4E79"/>
                <w:sz w:val="19"/>
                <w:szCs w:val="19"/>
              </w:rPr>
              <w:t>Shared Operational Coordination</w:t>
            </w:r>
          </w:p>
        </w:tc>
        <w:tc>
          <w:tcPr>
            <w:tcW w:w="474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1253141D" w14:textId="77777777" w:rsidR="008E61FB" w:rsidRDefault="00000000">
            <w:pPr>
              <w:pStyle w:val="ListParagraph"/>
              <w:numPr>
                <w:ilvl w:val="0"/>
                <w:numId w:val="2"/>
              </w:numPr>
              <w:spacing w:before="20" w:after="20"/>
            </w:pPr>
            <w:r>
              <w:rPr>
                <w:sz w:val="18"/>
                <w:szCs w:val="18"/>
              </w:rPr>
              <w:t>Operational master data: fleet, jetty, cargo, routes, OGV programme</w:t>
            </w:r>
          </w:p>
          <w:p w14:paraId="18375F26" w14:textId="77777777" w:rsidR="008E61FB" w:rsidRDefault="00000000">
            <w:pPr>
              <w:pStyle w:val="ListParagraph"/>
              <w:numPr>
                <w:ilvl w:val="0"/>
                <w:numId w:val="2"/>
              </w:numPr>
              <w:spacing w:before="20" w:after="20"/>
            </w:pPr>
            <w:r>
              <w:rPr>
                <w:sz w:val="18"/>
                <w:szCs w:val="18"/>
              </w:rPr>
              <w:t>Shared schedule visibility and planned vs actual tracking</w:t>
            </w:r>
          </w:p>
          <w:p w14:paraId="1F49FAA4" w14:textId="77777777" w:rsidR="008E61FB" w:rsidRDefault="00000000">
            <w:pPr>
              <w:pStyle w:val="ListParagraph"/>
              <w:numPr>
                <w:ilvl w:val="0"/>
                <w:numId w:val="2"/>
              </w:numPr>
              <w:spacing w:before="20" w:after="20"/>
            </w:pPr>
            <w:r>
              <w:rPr>
                <w:sz w:val="18"/>
                <w:szCs w:val="18"/>
              </w:rPr>
              <w:t>Initial exception and conflict visibility</w:t>
            </w:r>
          </w:p>
          <w:p w14:paraId="74212424" w14:textId="77777777" w:rsidR="008E61FB" w:rsidRDefault="00000000">
            <w:pPr>
              <w:pStyle w:val="ListParagraph"/>
              <w:numPr>
                <w:ilvl w:val="0"/>
                <w:numId w:val="2"/>
              </w:numPr>
              <w:spacing w:before="20" w:after="20"/>
            </w:pPr>
            <w:r>
              <w:rPr>
                <w:sz w:val="18"/>
                <w:szCs w:val="18"/>
              </w:rPr>
              <w:t>Structured operational event recording and delay attribution</w:t>
            </w:r>
          </w:p>
          <w:p w14:paraId="36746C9E" w14:textId="77777777" w:rsidR="008E61FB" w:rsidRDefault="00000000">
            <w:pPr>
              <w:pStyle w:val="ListParagraph"/>
              <w:numPr>
                <w:ilvl w:val="0"/>
                <w:numId w:val="2"/>
              </w:numPr>
              <w:spacing w:before="20" w:after="20"/>
            </w:pPr>
            <w:r>
              <w:rPr>
                <w:sz w:val="18"/>
                <w:szCs w:val="18"/>
              </w:rPr>
              <w:t>Coordinated operational dashboards for key stakeholder groups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2B77C6D6" w14:textId="77777777" w:rsidR="008E61FB" w:rsidRDefault="00000000">
            <w:r>
              <w:rPr>
                <w:i/>
                <w:iCs/>
                <w:sz w:val="18"/>
                <w:szCs w:val="18"/>
              </w:rPr>
              <w:t>Shared schedule visibility operational; stakeholder adoption confirmed</w:t>
            </w:r>
          </w:p>
        </w:tc>
      </w:tr>
      <w:tr w:rsidR="008E61FB" w14:paraId="3FEDF627"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1F4E79"/>
            <w:tcMar>
              <w:top w:w="70" w:type="dxa"/>
              <w:left w:w="80" w:type="dxa"/>
              <w:bottom w:w="70" w:type="dxa"/>
              <w:right w:w="60" w:type="dxa"/>
            </w:tcMar>
            <w:vAlign w:val="center"/>
          </w:tcPr>
          <w:p w14:paraId="6AB7BB85" w14:textId="77777777" w:rsidR="008E61FB" w:rsidRDefault="00000000">
            <w:pPr>
              <w:jc w:val="center"/>
            </w:pPr>
            <w:r>
              <w:rPr>
                <w:b/>
                <w:bCs/>
                <w:color w:val="FFFFFF"/>
                <w:sz w:val="18"/>
                <w:szCs w:val="18"/>
              </w:rPr>
              <w:t>Phase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25A1BD87" w14:textId="77777777" w:rsidR="008E61FB" w:rsidRDefault="00000000">
            <w:r>
              <w:rPr>
                <w:b/>
                <w:bCs/>
                <w:color w:val="1F4E79"/>
                <w:sz w:val="19"/>
                <w:szCs w:val="19"/>
              </w:rPr>
              <w:t>Constraint-Aware Support</w:t>
            </w:r>
          </w:p>
        </w:tc>
        <w:tc>
          <w:tcPr>
            <w:tcW w:w="47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48F0A036" w14:textId="77777777" w:rsidR="008E61FB" w:rsidRDefault="00000000">
            <w:pPr>
              <w:pStyle w:val="ListParagraph"/>
              <w:numPr>
                <w:ilvl w:val="0"/>
                <w:numId w:val="2"/>
              </w:numPr>
              <w:spacing w:before="20" w:after="20"/>
            </w:pPr>
            <w:r>
              <w:rPr>
                <w:sz w:val="18"/>
                <w:szCs w:val="18"/>
              </w:rPr>
              <w:t>Constraint-aware scheduling support: navigation, draft, jetty, cargo readiness</w:t>
            </w:r>
          </w:p>
          <w:p w14:paraId="523F0BFC" w14:textId="77777777" w:rsidR="008E61FB" w:rsidRDefault="00000000">
            <w:pPr>
              <w:pStyle w:val="ListParagraph"/>
              <w:numPr>
                <w:ilvl w:val="0"/>
                <w:numId w:val="2"/>
              </w:numPr>
              <w:spacing w:before="20" w:after="20"/>
            </w:pPr>
            <w:r>
              <w:rPr>
                <w:sz w:val="18"/>
                <w:szCs w:val="18"/>
              </w:rPr>
              <w:t>Operational dependency visibility and choke-point management</w:t>
            </w:r>
          </w:p>
          <w:p w14:paraId="57BBB09E" w14:textId="77777777" w:rsidR="008E61FB" w:rsidRDefault="00000000">
            <w:pPr>
              <w:pStyle w:val="ListParagraph"/>
              <w:numPr>
                <w:ilvl w:val="0"/>
                <w:numId w:val="2"/>
              </w:numPr>
              <w:spacing w:before="20" w:after="20"/>
            </w:pPr>
            <w:r>
              <w:rPr>
                <w:sz w:val="18"/>
                <w:szCs w:val="18"/>
              </w:rPr>
              <w:t>Delay and disruption management workflows</w:t>
            </w:r>
          </w:p>
          <w:p w14:paraId="567370B8" w14:textId="77777777" w:rsidR="008E61FB" w:rsidRDefault="00000000">
            <w:pPr>
              <w:pStyle w:val="ListParagraph"/>
              <w:numPr>
                <w:ilvl w:val="0"/>
                <w:numId w:val="2"/>
              </w:numPr>
              <w:spacing w:before="20" w:after="20"/>
            </w:pPr>
            <w:r>
              <w:rPr>
                <w:sz w:val="18"/>
                <w:szCs w:val="18"/>
              </w:rPr>
              <w:t>Scenario evaluation support for operational decision-making</w:t>
            </w:r>
          </w:p>
          <w:p w14:paraId="25B81C16" w14:textId="77777777" w:rsidR="008E61FB" w:rsidRDefault="00000000">
            <w:pPr>
              <w:pStyle w:val="ListParagraph"/>
              <w:numPr>
                <w:ilvl w:val="0"/>
                <w:numId w:val="2"/>
              </w:numPr>
              <w:spacing w:before="20" w:after="20"/>
            </w:pPr>
            <w:r>
              <w:rPr>
                <w:sz w:val="18"/>
                <w:szCs w:val="18"/>
              </w:rPr>
              <w:t>OGV completion visibility and laycan risk awareness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231A3848" w14:textId="77777777" w:rsidR="008E61FB" w:rsidRDefault="00000000">
            <w:r>
              <w:rPr>
                <w:i/>
                <w:iCs/>
                <w:sz w:val="18"/>
                <w:szCs w:val="18"/>
              </w:rPr>
              <w:t>Constraint coordination operational; scenario support validated in use</w:t>
            </w:r>
          </w:p>
        </w:tc>
      </w:tr>
      <w:tr w:rsidR="008E61FB" w14:paraId="602E7B1B"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1F4E79"/>
            <w:tcMar>
              <w:top w:w="70" w:type="dxa"/>
              <w:left w:w="80" w:type="dxa"/>
              <w:bottom w:w="70" w:type="dxa"/>
              <w:right w:w="60" w:type="dxa"/>
            </w:tcMar>
            <w:vAlign w:val="center"/>
          </w:tcPr>
          <w:p w14:paraId="27090166" w14:textId="77777777" w:rsidR="008E61FB" w:rsidRDefault="00000000">
            <w:pPr>
              <w:jc w:val="center"/>
            </w:pPr>
            <w:r>
              <w:rPr>
                <w:b/>
                <w:bCs/>
                <w:color w:val="FFFFFF"/>
                <w:sz w:val="18"/>
                <w:szCs w:val="18"/>
              </w:rPr>
              <w:t>Phase 3</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1F87679F" w14:textId="77777777" w:rsidR="008E61FB" w:rsidRDefault="00000000">
            <w:r>
              <w:rPr>
                <w:b/>
                <w:bCs/>
                <w:color w:val="1F4E79"/>
                <w:sz w:val="19"/>
                <w:szCs w:val="19"/>
              </w:rPr>
              <w:t>Integrated Synchronisation</w:t>
            </w:r>
          </w:p>
        </w:tc>
        <w:tc>
          <w:tcPr>
            <w:tcW w:w="474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289EEFC4" w14:textId="77777777" w:rsidR="008E61FB" w:rsidRDefault="00000000">
            <w:pPr>
              <w:pStyle w:val="ListParagraph"/>
              <w:numPr>
                <w:ilvl w:val="0"/>
                <w:numId w:val="2"/>
              </w:numPr>
              <w:spacing w:before="20" w:after="20"/>
            </w:pPr>
            <w:r>
              <w:rPr>
                <w:sz w:val="18"/>
                <w:szCs w:val="18"/>
              </w:rPr>
              <w:t>Live operational event integration from fleet and field sources</w:t>
            </w:r>
          </w:p>
          <w:p w14:paraId="74610419" w14:textId="77777777" w:rsidR="008E61FB" w:rsidRDefault="00000000">
            <w:pPr>
              <w:pStyle w:val="ListParagraph"/>
              <w:numPr>
                <w:ilvl w:val="0"/>
                <w:numId w:val="2"/>
              </w:numPr>
              <w:spacing w:before="20" w:after="20"/>
            </w:pPr>
            <w:r>
              <w:rPr>
                <w:sz w:val="18"/>
                <w:szCs w:val="18"/>
              </w:rPr>
              <w:t>Execution synchronisation between planning and field operations</w:t>
            </w:r>
          </w:p>
          <w:p w14:paraId="48E72160" w14:textId="77777777" w:rsidR="008E61FB" w:rsidRDefault="00000000">
            <w:pPr>
              <w:pStyle w:val="ListParagraph"/>
              <w:numPr>
                <w:ilvl w:val="0"/>
                <w:numId w:val="2"/>
              </w:numPr>
              <w:spacing w:before="20" w:after="20"/>
            </w:pPr>
            <w:r>
              <w:rPr>
                <w:sz w:val="18"/>
                <w:szCs w:val="18"/>
              </w:rPr>
              <w:t>Cross-functional coordination workflows across ABL and Berau Coal</w:t>
            </w:r>
          </w:p>
          <w:p w14:paraId="65F84819" w14:textId="77777777" w:rsidR="008E61FB" w:rsidRDefault="00000000">
            <w:pPr>
              <w:pStyle w:val="ListParagraph"/>
              <w:numPr>
                <w:ilvl w:val="0"/>
                <w:numId w:val="2"/>
              </w:numPr>
              <w:spacing w:before="20" w:after="20"/>
            </w:pPr>
            <w:r>
              <w:rPr>
                <w:sz w:val="18"/>
                <w:szCs w:val="18"/>
              </w:rPr>
              <w:t>Expanded operational analytics and performance KPI visibility</w:t>
            </w:r>
          </w:p>
          <w:p w14:paraId="00F2DA53" w14:textId="77777777" w:rsidR="008E61FB" w:rsidRDefault="00000000">
            <w:pPr>
              <w:pStyle w:val="ListParagraph"/>
              <w:numPr>
                <w:ilvl w:val="0"/>
                <w:numId w:val="2"/>
              </w:numPr>
              <w:spacing w:before="20" w:after="20"/>
            </w:pPr>
            <w:r>
              <w:rPr>
                <w:sz w:val="18"/>
                <w:szCs w:val="18"/>
              </w:rPr>
              <w:t>Management reporting dashboards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7FAE6390" w14:textId="77777777" w:rsidR="008E61FB" w:rsidRDefault="00000000">
            <w:r>
              <w:rPr>
                <w:i/>
                <w:iCs/>
                <w:sz w:val="18"/>
                <w:szCs w:val="18"/>
              </w:rPr>
              <w:t>Live integration operational; management reporting in production use</w:t>
            </w:r>
          </w:p>
        </w:tc>
      </w:tr>
      <w:tr w:rsidR="008E61FB" w14:paraId="7DE152DF" w14:textId="77777777">
        <w:tblPrEx>
          <w:tblCellMar>
            <w:top w:w="0" w:type="dxa"/>
            <w:bottom w:w="0" w:type="dxa"/>
          </w:tblCellMar>
        </w:tblPrEx>
        <w:tc>
          <w:tcPr>
            <w:tcW w:w="820" w:type="dxa"/>
            <w:tcBorders>
              <w:top w:val="single" w:sz="1" w:space="0" w:color="888888"/>
              <w:left w:val="single" w:sz="1" w:space="0" w:color="888888"/>
              <w:bottom w:val="single" w:sz="1" w:space="0" w:color="888888"/>
              <w:right w:val="single" w:sz="1" w:space="0" w:color="888888"/>
            </w:tcBorders>
            <w:shd w:val="clear" w:color="auto" w:fill="1F4E79"/>
            <w:tcMar>
              <w:top w:w="70" w:type="dxa"/>
              <w:left w:w="80" w:type="dxa"/>
              <w:bottom w:w="70" w:type="dxa"/>
              <w:right w:w="60" w:type="dxa"/>
            </w:tcMar>
            <w:vAlign w:val="center"/>
          </w:tcPr>
          <w:p w14:paraId="7235A07C" w14:textId="77777777" w:rsidR="008E61FB" w:rsidRDefault="00000000">
            <w:pPr>
              <w:jc w:val="center"/>
            </w:pPr>
            <w:r>
              <w:rPr>
                <w:b/>
                <w:bCs/>
                <w:color w:val="FFFFFF"/>
                <w:sz w:val="18"/>
                <w:szCs w:val="18"/>
              </w:rPr>
              <w:t>Phase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0E5AA18C" w14:textId="77777777" w:rsidR="008E61FB" w:rsidRDefault="00000000">
            <w:r>
              <w:rPr>
                <w:b/>
                <w:bCs/>
                <w:color w:val="1F4E79"/>
                <w:sz w:val="19"/>
                <w:szCs w:val="19"/>
              </w:rPr>
              <w:t>Advanced Enablement</w:t>
            </w:r>
          </w:p>
        </w:tc>
        <w:tc>
          <w:tcPr>
            <w:tcW w:w="47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45F42BEF" w14:textId="77777777" w:rsidR="008E61FB" w:rsidRDefault="00000000">
            <w:pPr>
              <w:pStyle w:val="ListParagraph"/>
              <w:numPr>
                <w:ilvl w:val="0"/>
                <w:numId w:val="2"/>
              </w:numPr>
              <w:spacing w:before="20" w:after="20"/>
            </w:pPr>
            <w:r>
              <w:rPr>
                <w:sz w:val="18"/>
                <w:szCs w:val="18"/>
              </w:rPr>
              <w:t>Advanced coordination recommendations and recovery support capabilities</w:t>
            </w:r>
          </w:p>
          <w:p w14:paraId="434652E1" w14:textId="77777777" w:rsidR="008E61FB" w:rsidRDefault="00000000">
            <w:pPr>
              <w:pStyle w:val="ListParagraph"/>
              <w:numPr>
                <w:ilvl w:val="0"/>
                <w:numId w:val="2"/>
              </w:numPr>
              <w:spacing w:before="20" w:after="20"/>
            </w:pPr>
            <w:r>
              <w:rPr>
                <w:sz w:val="18"/>
                <w:szCs w:val="18"/>
              </w:rPr>
              <w:t>Expanded simulation-assisted scenario support</w:t>
            </w:r>
          </w:p>
          <w:p w14:paraId="7BE66085" w14:textId="77777777" w:rsidR="008E61FB" w:rsidRDefault="00000000">
            <w:pPr>
              <w:pStyle w:val="ListParagraph"/>
              <w:numPr>
                <w:ilvl w:val="0"/>
                <w:numId w:val="2"/>
              </w:numPr>
              <w:spacing w:before="20" w:after="20"/>
            </w:pPr>
            <w:r>
              <w:rPr>
                <w:sz w:val="18"/>
                <w:szCs w:val="18"/>
              </w:rPr>
              <w:t>Strategic operational analytics and predictive performance visibility</w:t>
            </w:r>
          </w:p>
          <w:p w14:paraId="5011C5E7" w14:textId="77777777" w:rsidR="008E61FB" w:rsidRDefault="00000000">
            <w:pPr>
              <w:pStyle w:val="ListParagraph"/>
              <w:numPr>
                <w:ilvl w:val="0"/>
                <w:numId w:val="2"/>
              </w:numPr>
              <w:spacing w:before="20" w:after="20"/>
            </w:pPr>
            <w:r>
              <w:rPr>
                <w:sz w:val="18"/>
                <w:szCs w:val="18"/>
              </w:rPr>
              <w:lastRenderedPageBreak/>
              <w:t>Scope to be jointly defined during blueprinting</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54E204DC" w14:textId="77777777" w:rsidR="008E61FB" w:rsidRDefault="00000000">
            <w:r>
              <w:rPr>
                <w:i/>
                <w:iCs/>
                <w:sz w:val="18"/>
                <w:szCs w:val="18"/>
              </w:rPr>
              <w:lastRenderedPageBreak/>
              <w:t>Scope and acceptance criteria defined at blueprinting; signed off at delivery</w:t>
            </w:r>
          </w:p>
        </w:tc>
      </w:tr>
    </w:tbl>
    <w:p w14:paraId="483524E1" w14:textId="77777777" w:rsidR="008E61FB" w:rsidRDefault="008E61FB">
      <w:pPr>
        <w:spacing w:before="200"/>
      </w:pPr>
    </w:p>
    <w:p w14:paraId="39D4ACEC" w14:textId="77777777" w:rsidR="008E61FB" w:rsidRDefault="00000000">
      <w:pPr>
        <w:spacing w:before="300"/>
      </w:pPr>
      <w:r>
        <w:rPr>
          <w:b/>
          <w:bCs/>
          <w:color w:val="808080"/>
          <w:sz w:val="26"/>
          <w:szCs w:val="26"/>
        </w:rPr>
        <w:t xml:space="preserve">10.  </w:t>
      </w:r>
      <w:r>
        <w:rPr>
          <w:b/>
          <w:bCs/>
          <w:color w:val="1F4E79"/>
          <w:sz w:val="26"/>
          <w:szCs w:val="26"/>
        </w:rPr>
        <w:t>Expected Business Outcomes</w:t>
      </w:r>
    </w:p>
    <w:p w14:paraId="2EFAA3C4" w14:textId="77777777" w:rsidR="008E61FB" w:rsidRDefault="008E61FB">
      <w:pPr>
        <w:pBdr>
          <w:bottom w:val="single" w:sz="8" w:space="1" w:color="1F4E79"/>
        </w:pBdr>
        <w:spacing w:after="80"/>
      </w:pPr>
    </w:p>
    <w:p w14:paraId="60695B5C" w14:textId="77777777" w:rsidR="008E61FB" w:rsidRDefault="00000000">
      <w:pPr>
        <w:spacing w:after="80"/>
      </w:pPr>
      <w:r>
        <w:t>The intended operational outcomes of the engagement are set out below. Specific KPI baselines and measurable targets will be defined during the diagnostic phase, once current performance is formally assessed.</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4"/>
        <w:gridCol w:w="5184"/>
      </w:tblGrid>
      <w:tr w:rsidR="008E61FB" w14:paraId="717AA102" w14:textId="77777777">
        <w:tblPrEx>
          <w:tblCellMar>
            <w:top w:w="0" w:type="dxa"/>
            <w:bottom w:w="0" w:type="dxa"/>
          </w:tblCellMar>
        </w:tblPrEx>
        <w:tc>
          <w:tcPr>
            <w:tcW w:w="5184" w:type="dxa"/>
            <w:tcBorders>
              <w:top w:val="single" w:sz="1" w:space="0" w:color="AAAAAA"/>
              <w:left w:val="single" w:sz="1" w:space="0" w:color="AAAAAA"/>
              <w:bottom w:val="single" w:sz="1" w:space="0" w:color="AAAAAA"/>
              <w:right w:val="single" w:sz="1" w:space="0" w:color="AAAAAA"/>
            </w:tcBorders>
            <w:shd w:val="clear" w:color="auto" w:fill="EAF2F8"/>
            <w:tcMar>
              <w:top w:w="120" w:type="dxa"/>
              <w:left w:w="200" w:type="dxa"/>
              <w:bottom w:w="120" w:type="dxa"/>
              <w:right w:w="200" w:type="dxa"/>
            </w:tcMar>
          </w:tcPr>
          <w:p w14:paraId="44E2CB5D" w14:textId="77777777" w:rsidR="008E61FB" w:rsidRDefault="00000000">
            <w:pPr>
              <w:spacing w:after="24"/>
            </w:pPr>
            <w:r>
              <w:rPr>
                <w:b/>
                <w:bCs/>
                <w:color w:val="1F4E79"/>
              </w:rPr>
              <w:t>Improved Operational Synchronisation</w:t>
            </w:r>
          </w:p>
          <w:p w14:paraId="4BA07AB0" w14:textId="77777777" w:rsidR="008E61FB" w:rsidRDefault="00000000">
            <w:r>
              <w:rPr>
                <w:color w:val="595959"/>
                <w:sz w:val="18"/>
                <w:szCs w:val="18"/>
              </w:rPr>
              <w:t>Reduced coordination gaps across cargo, fleet, jetty, CTS and OGV operations through shared visibility and aligned scheduling.</w:t>
            </w:r>
          </w:p>
        </w:tc>
        <w:tc>
          <w:tcPr>
            <w:tcW w:w="5184" w:type="dxa"/>
            <w:tcBorders>
              <w:top w:val="single" w:sz="1" w:space="0" w:color="AAAAAA"/>
              <w:left w:val="single" w:sz="1" w:space="0" w:color="AAAAAA"/>
              <w:bottom w:val="single" w:sz="1" w:space="0" w:color="AAAAAA"/>
              <w:right w:val="single" w:sz="1" w:space="0" w:color="AAAAAA"/>
            </w:tcBorders>
            <w:shd w:val="clear" w:color="auto" w:fill="F2F7FB"/>
            <w:tcMar>
              <w:top w:w="120" w:type="dxa"/>
              <w:left w:w="200" w:type="dxa"/>
              <w:bottom w:w="120" w:type="dxa"/>
              <w:right w:w="200" w:type="dxa"/>
            </w:tcMar>
          </w:tcPr>
          <w:p w14:paraId="668F8BD9" w14:textId="77777777" w:rsidR="008E61FB" w:rsidRDefault="00000000">
            <w:pPr>
              <w:spacing w:after="24"/>
            </w:pPr>
            <w:r>
              <w:rPr>
                <w:b/>
                <w:bCs/>
                <w:color w:val="1F4E79"/>
              </w:rPr>
              <w:t>Reduced Avoidable Waiting &amp; Delays</w:t>
            </w:r>
          </w:p>
          <w:p w14:paraId="2BF502D6" w14:textId="77777777" w:rsidR="008E61FB" w:rsidRDefault="00000000">
            <w:r>
              <w:rPr>
                <w:color w:val="595959"/>
                <w:sz w:val="18"/>
                <w:szCs w:val="18"/>
              </w:rPr>
              <w:t>Earlier identification of constraints and conflicts reduces idle time from queue congestion, navigation holds and coordination gaps.</w:t>
            </w:r>
          </w:p>
        </w:tc>
      </w:tr>
      <w:tr w:rsidR="008E61FB" w14:paraId="20B50ADC" w14:textId="77777777">
        <w:tblPrEx>
          <w:tblCellMar>
            <w:top w:w="0" w:type="dxa"/>
            <w:bottom w:w="0" w:type="dxa"/>
          </w:tblCellMar>
        </w:tblPrEx>
        <w:tc>
          <w:tcPr>
            <w:tcW w:w="5184" w:type="dxa"/>
            <w:tcBorders>
              <w:top w:val="single" w:sz="1" w:space="0" w:color="AAAAAA"/>
              <w:left w:val="single" w:sz="1" w:space="0" w:color="AAAAAA"/>
              <w:bottom w:val="single" w:sz="1" w:space="0" w:color="AAAAAA"/>
              <w:right w:val="single" w:sz="1" w:space="0" w:color="AAAAAA"/>
            </w:tcBorders>
            <w:shd w:val="clear" w:color="auto" w:fill="EAF2F8"/>
            <w:tcMar>
              <w:top w:w="120" w:type="dxa"/>
              <w:left w:w="200" w:type="dxa"/>
              <w:bottom w:w="120" w:type="dxa"/>
              <w:right w:w="200" w:type="dxa"/>
            </w:tcMar>
          </w:tcPr>
          <w:p w14:paraId="087FBEB1" w14:textId="77777777" w:rsidR="008E61FB" w:rsidRDefault="00000000">
            <w:pPr>
              <w:spacing w:after="24"/>
            </w:pPr>
            <w:r>
              <w:rPr>
                <w:b/>
                <w:bCs/>
                <w:color w:val="1F4E79"/>
              </w:rPr>
              <w:t>Better Laycan &amp; OGV Compliance</w:t>
            </w:r>
          </w:p>
          <w:p w14:paraId="27C3549C" w14:textId="77777777" w:rsidR="008E61FB" w:rsidRDefault="00000000">
            <w:r>
              <w:rPr>
                <w:color w:val="595959"/>
                <w:sz w:val="18"/>
                <w:szCs w:val="18"/>
              </w:rPr>
              <w:t>Coordinated hatch and sequencing visibility reduces the risk of demurrage exposure and improves execution reliability against OGV commitments.</w:t>
            </w:r>
          </w:p>
        </w:tc>
        <w:tc>
          <w:tcPr>
            <w:tcW w:w="5184" w:type="dxa"/>
            <w:tcBorders>
              <w:top w:val="single" w:sz="1" w:space="0" w:color="AAAAAA"/>
              <w:left w:val="single" w:sz="1" w:space="0" w:color="AAAAAA"/>
              <w:bottom w:val="single" w:sz="1" w:space="0" w:color="AAAAAA"/>
              <w:right w:val="single" w:sz="1" w:space="0" w:color="AAAAAA"/>
            </w:tcBorders>
            <w:shd w:val="clear" w:color="auto" w:fill="F2F7FB"/>
            <w:tcMar>
              <w:top w:w="120" w:type="dxa"/>
              <w:left w:w="200" w:type="dxa"/>
              <w:bottom w:w="120" w:type="dxa"/>
              <w:right w:w="200" w:type="dxa"/>
            </w:tcMar>
          </w:tcPr>
          <w:p w14:paraId="0B91A304" w14:textId="77777777" w:rsidR="008E61FB" w:rsidRDefault="00000000">
            <w:pPr>
              <w:spacing w:after="24"/>
            </w:pPr>
            <w:r>
              <w:rPr>
                <w:b/>
                <w:bCs/>
                <w:color w:val="1F4E79"/>
              </w:rPr>
              <w:t>Shared Cross-Entity Plan</w:t>
            </w:r>
          </w:p>
          <w:p w14:paraId="6D2788B9" w14:textId="77777777" w:rsidR="008E61FB" w:rsidRDefault="00000000">
            <w:r>
              <w:rPr>
                <w:color w:val="595959"/>
                <w:sz w:val="18"/>
                <w:szCs w:val="18"/>
              </w:rPr>
              <w:t>One governed operational picture for ABL and Berau Coal replaces fragmented spreadsheets and informal communication.</w:t>
            </w:r>
          </w:p>
        </w:tc>
      </w:tr>
      <w:tr w:rsidR="008E61FB" w14:paraId="74F8031C" w14:textId="77777777">
        <w:tblPrEx>
          <w:tblCellMar>
            <w:top w:w="0" w:type="dxa"/>
            <w:bottom w:w="0" w:type="dxa"/>
          </w:tblCellMar>
        </w:tblPrEx>
        <w:tc>
          <w:tcPr>
            <w:tcW w:w="5184" w:type="dxa"/>
            <w:tcBorders>
              <w:top w:val="single" w:sz="1" w:space="0" w:color="AAAAAA"/>
              <w:left w:val="single" w:sz="1" w:space="0" w:color="AAAAAA"/>
              <w:bottom w:val="single" w:sz="1" w:space="0" w:color="AAAAAA"/>
              <w:right w:val="single" w:sz="1" w:space="0" w:color="AAAAAA"/>
            </w:tcBorders>
            <w:shd w:val="clear" w:color="auto" w:fill="EAF2F8"/>
            <w:tcMar>
              <w:top w:w="120" w:type="dxa"/>
              <w:left w:w="200" w:type="dxa"/>
              <w:bottom w:w="120" w:type="dxa"/>
              <w:right w:w="200" w:type="dxa"/>
            </w:tcMar>
          </w:tcPr>
          <w:p w14:paraId="5C6E51E4" w14:textId="77777777" w:rsidR="008E61FB" w:rsidRDefault="00000000">
            <w:pPr>
              <w:spacing w:after="24"/>
            </w:pPr>
            <w:r>
              <w:rPr>
                <w:b/>
                <w:bCs/>
                <w:color w:val="1F4E79"/>
              </w:rPr>
              <w:t>Faster Disruption Response</w:t>
            </w:r>
          </w:p>
          <w:p w14:paraId="0F488BF8" w14:textId="77777777" w:rsidR="008E61FB" w:rsidRDefault="00000000">
            <w:r>
              <w:rPr>
                <w:color w:val="595959"/>
                <w:sz w:val="18"/>
                <w:szCs w:val="18"/>
              </w:rPr>
              <w:t>Structured exception management and scenario evaluation support faster, more confident recovery decisions when conditions change.</w:t>
            </w:r>
          </w:p>
        </w:tc>
        <w:tc>
          <w:tcPr>
            <w:tcW w:w="5184" w:type="dxa"/>
            <w:tcBorders>
              <w:top w:val="single" w:sz="1" w:space="0" w:color="AAAAAA"/>
              <w:left w:val="single" w:sz="1" w:space="0" w:color="AAAAAA"/>
              <w:bottom w:val="single" w:sz="1" w:space="0" w:color="AAAAAA"/>
              <w:right w:val="single" w:sz="1" w:space="0" w:color="AAAAAA"/>
            </w:tcBorders>
            <w:shd w:val="clear" w:color="auto" w:fill="F2F7FB"/>
            <w:tcMar>
              <w:top w:w="120" w:type="dxa"/>
              <w:left w:w="200" w:type="dxa"/>
              <w:bottom w:w="120" w:type="dxa"/>
              <w:right w:w="200" w:type="dxa"/>
            </w:tcMar>
          </w:tcPr>
          <w:p w14:paraId="6D2E7166" w14:textId="77777777" w:rsidR="008E61FB" w:rsidRDefault="00000000">
            <w:pPr>
              <w:spacing w:after="24"/>
            </w:pPr>
            <w:r>
              <w:rPr>
                <w:b/>
                <w:bCs/>
                <w:color w:val="1F4E79"/>
              </w:rPr>
              <w:t>Process-Backed Field Decisions</w:t>
            </w:r>
          </w:p>
          <w:p w14:paraId="29C13AC3" w14:textId="77777777" w:rsidR="008E61FB" w:rsidRDefault="00000000">
            <w:r>
              <w:rPr>
                <w:color w:val="595959"/>
                <w:sz w:val="18"/>
                <w:szCs w:val="18"/>
              </w:rPr>
              <w:t>Field teams supported by structured coordination workflows and decision governance, reducing accountability gaps and informal escalation.</w:t>
            </w:r>
          </w:p>
        </w:tc>
      </w:tr>
      <w:tr w:rsidR="008E61FB" w14:paraId="51ED3C69" w14:textId="77777777">
        <w:tblPrEx>
          <w:tblCellMar>
            <w:top w:w="0" w:type="dxa"/>
            <w:bottom w:w="0" w:type="dxa"/>
          </w:tblCellMar>
        </w:tblPrEx>
        <w:tc>
          <w:tcPr>
            <w:tcW w:w="5184" w:type="dxa"/>
            <w:tcBorders>
              <w:top w:val="single" w:sz="1" w:space="0" w:color="AAAAAA"/>
              <w:left w:val="single" w:sz="1" w:space="0" w:color="AAAAAA"/>
              <w:bottom w:val="single" w:sz="1" w:space="0" w:color="AAAAAA"/>
              <w:right w:val="single" w:sz="1" w:space="0" w:color="AAAAAA"/>
            </w:tcBorders>
            <w:shd w:val="clear" w:color="auto" w:fill="EAF2F8"/>
            <w:tcMar>
              <w:top w:w="120" w:type="dxa"/>
              <w:left w:w="200" w:type="dxa"/>
              <w:bottom w:w="120" w:type="dxa"/>
              <w:right w:w="200" w:type="dxa"/>
            </w:tcMar>
          </w:tcPr>
          <w:p w14:paraId="699C32D2" w14:textId="77777777" w:rsidR="008E61FB" w:rsidRDefault="00000000">
            <w:pPr>
              <w:spacing w:after="24"/>
            </w:pPr>
            <w:r>
              <w:rPr>
                <w:b/>
                <w:bCs/>
                <w:color w:val="1F4E79"/>
              </w:rPr>
              <w:t>Clear Delay &amp; Performance Attribution</w:t>
            </w:r>
          </w:p>
          <w:p w14:paraId="285680A0" w14:textId="77777777" w:rsidR="008E61FB" w:rsidRDefault="00000000">
            <w:r>
              <w:rPr>
                <w:color w:val="595959"/>
                <w:sz w:val="18"/>
                <w:szCs w:val="18"/>
              </w:rPr>
              <w:t>Every delay attributed to a control point and reason code, enabling performance improvement and stakeholder accountability.</w:t>
            </w:r>
          </w:p>
        </w:tc>
        <w:tc>
          <w:tcPr>
            <w:tcW w:w="5184" w:type="dxa"/>
            <w:tcBorders>
              <w:top w:val="single" w:sz="1" w:space="0" w:color="AAAAAA"/>
              <w:left w:val="single" w:sz="1" w:space="0" w:color="AAAAAA"/>
              <w:bottom w:val="single" w:sz="1" w:space="0" w:color="AAAAAA"/>
              <w:right w:val="single" w:sz="1" w:space="0" w:color="AAAAAA"/>
            </w:tcBorders>
            <w:shd w:val="clear" w:color="auto" w:fill="F2F7FB"/>
            <w:tcMar>
              <w:top w:w="120" w:type="dxa"/>
              <w:left w:w="200" w:type="dxa"/>
              <w:bottom w:w="120" w:type="dxa"/>
              <w:right w:w="200" w:type="dxa"/>
            </w:tcMar>
          </w:tcPr>
          <w:p w14:paraId="199147E7" w14:textId="77777777" w:rsidR="008E61FB" w:rsidRDefault="00000000">
            <w:pPr>
              <w:spacing w:after="24"/>
            </w:pPr>
            <w:r>
              <w:rPr>
                <w:b/>
                <w:bCs/>
                <w:color w:val="1F4E79"/>
              </w:rPr>
              <w:t>Improved Charter &amp; Resource Planning</w:t>
            </w:r>
          </w:p>
          <w:p w14:paraId="75803139" w14:textId="77777777" w:rsidR="008E61FB" w:rsidRDefault="00000000">
            <w:r>
              <w:rPr>
                <w:color w:val="595959"/>
                <w:sz w:val="18"/>
                <w:szCs w:val="18"/>
              </w:rPr>
              <w:t>Lead time constraints for chartered assets and external resources reflected in coordination planning, avoiding overconfident recovery assumptions.</w:t>
            </w:r>
          </w:p>
        </w:tc>
      </w:tr>
      <w:tr w:rsidR="008E61FB" w14:paraId="216C68EC" w14:textId="77777777">
        <w:tblPrEx>
          <w:tblCellMar>
            <w:top w:w="0" w:type="dxa"/>
            <w:bottom w:w="0" w:type="dxa"/>
          </w:tblCellMar>
        </w:tblPrEx>
        <w:tc>
          <w:tcPr>
            <w:tcW w:w="5184" w:type="dxa"/>
            <w:tcBorders>
              <w:top w:val="single" w:sz="1" w:space="0" w:color="AAAAAA"/>
              <w:left w:val="single" w:sz="1" w:space="0" w:color="AAAAAA"/>
              <w:bottom w:val="single" w:sz="1" w:space="0" w:color="AAAAAA"/>
              <w:right w:val="single" w:sz="1" w:space="0" w:color="AAAAAA"/>
            </w:tcBorders>
            <w:shd w:val="clear" w:color="auto" w:fill="EAF2F8"/>
            <w:tcMar>
              <w:top w:w="120" w:type="dxa"/>
              <w:left w:w="200" w:type="dxa"/>
              <w:bottom w:w="120" w:type="dxa"/>
              <w:right w:w="200" w:type="dxa"/>
            </w:tcMar>
          </w:tcPr>
          <w:p w14:paraId="153366C8" w14:textId="77777777" w:rsidR="008E61FB" w:rsidRDefault="00000000">
            <w:pPr>
              <w:spacing w:after="24"/>
            </w:pPr>
            <w:r>
              <w:rPr>
                <w:b/>
                <w:bCs/>
                <w:color w:val="1F4E79"/>
              </w:rPr>
              <w:t>Cross-Functional KPI Alignment</w:t>
            </w:r>
          </w:p>
          <w:p w14:paraId="6FFAC9F0" w14:textId="77777777" w:rsidR="008E61FB" w:rsidRDefault="00000000">
            <w:r>
              <w:rPr>
                <w:color w:val="595959"/>
                <w:sz w:val="18"/>
                <w:szCs w:val="18"/>
              </w:rPr>
              <w:t>Shared performance framework across ABL and Berau Coal stakeholders replacing locally-owned metrics that may conflict across the chain.</w:t>
            </w:r>
          </w:p>
        </w:tc>
        <w:tc>
          <w:tcPr>
            <w:tcW w:w="5184" w:type="dxa"/>
            <w:tcBorders>
              <w:top w:val="single" w:sz="1" w:space="0" w:color="AAAAAA"/>
              <w:left w:val="single" w:sz="1" w:space="0" w:color="AAAAAA"/>
              <w:bottom w:val="single" w:sz="1" w:space="0" w:color="AAAAAA"/>
              <w:right w:val="single" w:sz="1" w:space="0" w:color="AAAAAA"/>
            </w:tcBorders>
            <w:shd w:val="clear" w:color="auto" w:fill="F2F7FB"/>
            <w:tcMar>
              <w:top w:w="120" w:type="dxa"/>
              <w:left w:w="200" w:type="dxa"/>
              <w:bottom w:w="120" w:type="dxa"/>
              <w:right w:w="200" w:type="dxa"/>
            </w:tcMar>
          </w:tcPr>
          <w:p w14:paraId="032200BD" w14:textId="77777777" w:rsidR="008E61FB" w:rsidRDefault="00000000">
            <w:pPr>
              <w:spacing w:after="24"/>
            </w:pPr>
            <w:r>
              <w:rPr>
                <w:b/>
                <w:bCs/>
                <w:color w:val="1F4E79"/>
              </w:rPr>
              <w:t>Foundation for Advanced Capability</w:t>
            </w:r>
          </w:p>
          <w:p w14:paraId="4A831293" w14:textId="77777777" w:rsidR="008E61FB" w:rsidRDefault="00000000">
            <w:r>
              <w:rPr>
                <w:color w:val="595959"/>
                <w:sz w:val="18"/>
                <w:szCs w:val="18"/>
              </w:rPr>
              <w:t>Phased operational maturity creates a validated foundation for progressively more advanced coordination and decision support capabilities.</w:t>
            </w:r>
          </w:p>
        </w:tc>
      </w:tr>
    </w:tbl>
    <w:p w14:paraId="5701F635" w14:textId="77777777" w:rsidR="008E61FB" w:rsidRDefault="008E61FB">
      <w:pPr>
        <w:spacing w:before="200"/>
      </w:pPr>
    </w:p>
    <w:p w14:paraId="014F2C3E" w14:textId="77777777" w:rsidR="008E61FB" w:rsidRDefault="00000000">
      <w:pPr>
        <w:spacing w:before="300"/>
      </w:pPr>
      <w:r>
        <w:rPr>
          <w:b/>
          <w:bCs/>
          <w:color w:val="808080"/>
          <w:sz w:val="26"/>
          <w:szCs w:val="26"/>
        </w:rPr>
        <w:t xml:space="preserve">11.  </w:t>
      </w:r>
      <w:r>
        <w:rPr>
          <w:b/>
          <w:bCs/>
          <w:color w:val="1F4E79"/>
          <w:sz w:val="26"/>
          <w:szCs w:val="26"/>
        </w:rPr>
        <w:t>Implementation Approach</w:t>
      </w:r>
    </w:p>
    <w:p w14:paraId="556109F5" w14:textId="77777777" w:rsidR="008E61FB" w:rsidRDefault="008E61FB">
      <w:pPr>
        <w:pBdr>
          <w:bottom w:val="single" w:sz="8" w:space="1" w:color="1F4E79"/>
        </w:pBdr>
        <w:spacing w:after="80"/>
      </w:pPr>
    </w:p>
    <w:p w14:paraId="06C7E821" w14:textId="77777777" w:rsidR="008E61FB" w:rsidRDefault="00000000">
      <w:pPr>
        <w:spacing w:after="100"/>
      </w:pPr>
      <w:r>
        <w:t>The engagement is designed as a process-and-technology transformation initiative, not a software implementation project. Successful adoption requires operational alignment, stakeholder participation, process governance and phased organisational adoption alongside the technology build.</w:t>
      </w:r>
    </w:p>
    <w:p w14:paraId="3E20FD0D" w14:textId="77777777" w:rsidR="008E61FB" w:rsidRDefault="008E61FB">
      <w:pPr>
        <w:spacing w:before="80"/>
      </w:pPr>
    </w:p>
    <w:p w14:paraId="1298A501" w14:textId="77777777" w:rsidR="008E61FB" w:rsidRDefault="00000000">
      <w:pPr>
        <w:pBdr>
          <w:bottom w:val="single" w:sz="3" w:space="1" w:color="EAF2F8"/>
        </w:pBdr>
        <w:spacing w:before="180" w:after="60"/>
      </w:pPr>
      <w:r>
        <w:rPr>
          <w:b/>
          <w:bCs/>
          <w:color w:val="1F4E79"/>
          <w:sz w:val="21"/>
          <w:szCs w:val="21"/>
        </w:rPr>
        <w:t>11.1  Working Model</w:t>
      </w:r>
    </w:p>
    <w:p w14:paraId="04FEE392" w14:textId="77777777" w:rsidR="008E61FB" w:rsidRDefault="00000000">
      <w:pPr>
        <w:spacing w:after="100"/>
      </w:pPr>
      <w:r>
        <w:t>Vector Consulting Indonesia will work with ABL as a combined operational consulting and technology delivery partner. Each phase of the engagement is designed to deliver independent operational value before the next phase begins, ensuring that early phases create genuine working capability rather than serving as stepping-stones to a distant future state.</w:t>
      </w:r>
    </w:p>
    <w:p w14:paraId="416D011A" w14:textId="77777777" w:rsidR="008E61FB" w:rsidRDefault="008E61FB">
      <w:pPr>
        <w:spacing w:before="80"/>
      </w:pPr>
    </w:p>
    <w:p w14:paraId="0DD00A9B" w14:textId="77777777" w:rsidR="008E61FB" w:rsidRDefault="00000000">
      <w:pPr>
        <w:pBdr>
          <w:bottom w:val="single" w:sz="3" w:space="1" w:color="EAF2F8"/>
        </w:pBdr>
        <w:spacing w:before="180" w:after="60"/>
      </w:pPr>
      <w:r>
        <w:rPr>
          <w:b/>
          <w:bCs/>
          <w:color w:val="1F4E79"/>
          <w:sz w:val="21"/>
          <w:szCs w:val="21"/>
        </w:rPr>
        <w:t>11.2  Governance Structure</w:t>
      </w:r>
    </w:p>
    <w:p w14:paraId="01338CB7" w14:textId="77777777" w:rsidR="008E61FB" w:rsidRDefault="00000000">
      <w:pPr>
        <w:pStyle w:val="ListParagraph"/>
        <w:numPr>
          <w:ilvl w:val="0"/>
          <w:numId w:val="2"/>
        </w:numPr>
        <w:spacing w:before="30" w:after="30"/>
      </w:pPr>
      <w:r>
        <w:rPr>
          <w:sz w:val="19"/>
          <w:szCs w:val="19"/>
        </w:rPr>
        <w:t>Operational working sessions during diagnostic, blueprinting and each delivery phase.</w:t>
      </w:r>
    </w:p>
    <w:p w14:paraId="31AA08FF" w14:textId="77777777" w:rsidR="008E61FB" w:rsidRDefault="00000000">
      <w:pPr>
        <w:pStyle w:val="ListParagraph"/>
        <w:numPr>
          <w:ilvl w:val="0"/>
          <w:numId w:val="2"/>
        </w:numPr>
        <w:spacing w:before="30" w:after="30"/>
      </w:pPr>
      <w:r>
        <w:rPr>
          <w:sz w:val="19"/>
          <w:szCs w:val="19"/>
        </w:rPr>
        <w:t>Bi-weekly steering reviews with ABL leadership, operations and IT stakeholders.</w:t>
      </w:r>
    </w:p>
    <w:p w14:paraId="6327E12C" w14:textId="77777777" w:rsidR="008E61FB" w:rsidRDefault="00000000">
      <w:pPr>
        <w:pStyle w:val="ListParagraph"/>
        <w:numPr>
          <w:ilvl w:val="0"/>
          <w:numId w:val="2"/>
        </w:numPr>
        <w:spacing w:before="30" w:after="30"/>
      </w:pPr>
      <w:r>
        <w:rPr>
          <w:sz w:val="19"/>
          <w:szCs w:val="19"/>
        </w:rPr>
        <w:t>Milestone sign-off gates at the completion of Diagnostic, Blueprint and each Phase.</w:t>
      </w:r>
    </w:p>
    <w:p w14:paraId="0BF645B8" w14:textId="77777777" w:rsidR="008E61FB" w:rsidRDefault="00000000">
      <w:pPr>
        <w:pStyle w:val="ListParagraph"/>
        <w:numPr>
          <w:ilvl w:val="0"/>
          <w:numId w:val="2"/>
        </w:numPr>
        <w:spacing w:before="30" w:after="30"/>
      </w:pPr>
      <w:r>
        <w:rPr>
          <w:sz w:val="19"/>
          <w:szCs w:val="19"/>
        </w:rPr>
        <w:lastRenderedPageBreak/>
        <w:t>Scope and change governance process for any changes to agreed phase scope.</w:t>
      </w:r>
    </w:p>
    <w:p w14:paraId="01DD4EDB" w14:textId="77777777" w:rsidR="008E61FB" w:rsidRDefault="00000000">
      <w:pPr>
        <w:pStyle w:val="ListParagraph"/>
        <w:numPr>
          <w:ilvl w:val="0"/>
          <w:numId w:val="2"/>
        </w:numPr>
        <w:spacing w:before="30" w:after="30"/>
      </w:pPr>
      <w:r>
        <w:rPr>
          <w:sz w:val="19"/>
          <w:szCs w:val="19"/>
        </w:rPr>
        <w:t>Operational issue and risk log maintained throughout the engagement.</w:t>
      </w:r>
    </w:p>
    <w:p w14:paraId="2226E514" w14:textId="77777777" w:rsidR="008E61FB" w:rsidRDefault="00000000">
      <w:pPr>
        <w:pStyle w:val="ListParagraph"/>
        <w:numPr>
          <w:ilvl w:val="0"/>
          <w:numId w:val="2"/>
        </w:numPr>
        <w:spacing w:before="30" w:after="30"/>
      </w:pPr>
      <w:r>
        <w:rPr>
          <w:sz w:val="19"/>
          <w:szCs w:val="19"/>
        </w:rPr>
        <w:t>Cross-functional stakeholder participation structured during each phase.</w:t>
      </w:r>
    </w:p>
    <w:p w14:paraId="492EE89D" w14:textId="77777777" w:rsidR="008E61FB" w:rsidRDefault="008E61FB">
      <w:pPr>
        <w:spacing w:before="80"/>
      </w:pPr>
    </w:p>
    <w:p w14:paraId="279EB04B" w14:textId="77777777" w:rsidR="008E61FB" w:rsidRDefault="00000000">
      <w:pPr>
        <w:pBdr>
          <w:bottom w:val="single" w:sz="3" w:space="1" w:color="EAF2F8"/>
        </w:pBdr>
        <w:spacing w:before="180" w:after="60"/>
      </w:pPr>
      <w:r>
        <w:rPr>
          <w:b/>
          <w:bCs/>
          <w:color w:val="1F4E79"/>
          <w:sz w:val="21"/>
          <w:szCs w:val="21"/>
        </w:rPr>
        <w:t>11.3  Client Participation Requirements</w:t>
      </w:r>
    </w:p>
    <w:p w14:paraId="0DDDFE3F" w14:textId="77777777" w:rsidR="008E61FB" w:rsidRDefault="00000000">
      <w:pPr>
        <w:spacing w:after="100"/>
      </w:pPr>
      <w:r>
        <w:t>Successful engagement will require active participation from operations, marine planning, fleet management, jetty operations, CTS operations, IT and management stakeholders. Specifically:</w:t>
      </w:r>
    </w:p>
    <w:p w14:paraId="186F77ED" w14:textId="77777777" w:rsidR="008E61FB" w:rsidRDefault="008E61FB">
      <w:pPr>
        <w:spacing w:before="40"/>
      </w:pPr>
    </w:p>
    <w:p w14:paraId="07588C0E" w14:textId="77777777" w:rsidR="008E61FB" w:rsidRDefault="00000000">
      <w:pPr>
        <w:pStyle w:val="ListParagraph"/>
        <w:numPr>
          <w:ilvl w:val="0"/>
          <w:numId w:val="2"/>
        </w:numPr>
        <w:spacing w:before="30" w:after="30"/>
      </w:pPr>
      <w:r>
        <w:rPr>
          <w:sz w:val="19"/>
          <w:szCs w:val="19"/>
        </w:rPr>
        <w:t>Provide current operational data: Excel schedule files, operational reports, asset master data and available fleet tracking exports.</w:t>
      </w:r>
    </w:p>
    <w:p w14:paraId="6B01971A" w14:textId="77777777" w:rsidR="008E61FB" w:rsidRDefault="00000000">
      <w:pPr>
        <w:pStyle w:val="ListParagraph"/>
        <w:numPr>
          <w:ilvl w:val="0"/>
          <w:numId w:val="2"/>
        </w:numPr>
        <w:spacing w:before="30" w:after="30"/>
      </w:pPr>
      <w:r>
        <w:rPr>
          <w:sz w:val="19"/>
          <w:szCs w:val="19"/>
        </w:rPr>
        <w:t>Nominate ABL process owners for fleet, port, CTS, cargo and blending, IT and management reporting.</w:t>
      </w:r>
    </w:p>
    <w:p w14:paraId="370EAC1E" w14:textId="77777777" w:rsidR="008E61FB" w:rsidRDefault="00000000">
      <w:pPr>
        <w:pStyle w:val="ListParagraph"/>
        <w:numPr>
          <w:ilvl w:val="0"/>
          <w:numId w:val="2"/>
        </w:numPr>
        <w:spacing w:before="30" w:after="30"/>
      </w:pPr>
      <w:r>
        <w:rPr>
          <w:sz w:val="19"/>
          <w:szCs w:val="19"/>
        </w:rPr>
        <w:t>Facilitate structured discussions with Berau Coal counterparts where required for blueprint and data validation.</w:t>
      </w:r>
    </w:p>
    <w:p w14:paraId="48EDD57D" w14:textId="77777777" w:rsidR="008E61FB" w:rsidRDefault="00000000">
      <w:pPr>
        <w:pStyle w:val="ListParagraph"/>
        <w:numPr>
          <w:ilvl w:val="0"/>
          <w:numId w:val="2"/>
        </w:numPr>
        <w:spacing w:before="30" w:after="30"/>
      </w:pPr>
      <w:r>
        <w:rPr>
          <w:sz w:val="19"/>
          <w:szCs w:val="19"/>
        </w:rPr>
        <w:t>Validate operational master data: fleet specs, route profiles, jetty constraints, loading rates, CTS capacities, tide and bridge rules and delay reason codes.</w:t>
      </w:r>
    </w:p>
    <w:p w14:paraId="6723E709" w14:textId="77777777" w:rsidR="008E61FB" w:rsidRDefault="00000000">
      <w:pPr>
        <w:pStyle w:val="ListParagraph"/>
        <w:numPr>
          <w:ilvl w:val="0"/>
          <w:numId w:val="2"/>
        </w:numPr>
        <w:spacing w:before="30" w:after="30"/>
      </w:pPr>
      <w:r>
        <w:rPr>
          <w:sz w:val="19"/>
          <w:szCs w:val="19"/>
        </w:rPr>
        <w:t>Participate in diagnostic workshops, UAT, adoption planning and operating-process sign-off at each gate.</w:t>
      </w:r>
    </w:p>
    <w:p w14:paraId="6763412C" w14:textId="77777777" w:rsidR="008E61FB" w:rsidRDefault="008E61FB">
      <w:pPr>
        <w:spacing w:before="200"/>
      </w:pPr>
    </w:p>
    <w:p w14:paraId="65C82D51" w14:textId="77777777" w:rsidR="008E61FB" w:rsidRDefault="00000000">
      <w:pPr>
        <w:spacing w:before="300"/>
      </w:pPr>
      <w:r>
        <w:rPr>
          <w:b/>
          <w:bCs/>
          <w:color w:val="808080"/>
          <w:sz w:val="26"/>
          <w:szCs w:val="26"/>
        </w:rPr>
        <w:t xml:space="preserve">12.  </w:t>
      </w:r>
      <w:r>
        <w:rPr>
          <w:b/>
          <w:bCs/>
          <w:color w:val="1F4E79"/>
          <w:sz w:val="26"/>
          <w:szCs w:val="26"/>
        </w:rPr>
        <w:t>Key Assumptions Requiring Validation</w:t>
      </w:r>
    </w:p>
    <w:p w14:paraId="4B7F71B0" w14:textId="77777777" w:rsidR="008E61FB" w:rsidRDefault="008E61FB">
      <w:pPr>
        <w:pBdr>
          <w:bottom w:val="single" w:sz="8" w:space="1" w:color="1F4E79"/>
        </w:pBdr>
        <w:spacing w:after="80"/>
      </w:pPr>
    </w:p>
    <w:p w14:paraId="7339510A" w14:textId="77777777" w:rsidR="008E61FB" w:rsidRDefault="00000000">
      <w:pPr>
        <w:spacing w:after="100"/>
      </w:pPr>
      <w:r>
        <w:t>The proposed engagement direction is based on preliminary understanding of current operational workflows, available data sources, existing operational tools and stakeholder discussions. The following areas require formal validation during the diagnostic and blueprinting phase:</w:t>
      </w:r>
    </w:p>
    <w:p w14:paraId="78E6E03E" w14:textId="77777777" w:rsidR="008E61FB" w:rsidRDefault="008E61FB">
      <w:pPr>
        <w:spacing w:before="8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768"/>
      </w:tblGrid>
      <w:tr w:rsidR="008E61FB" w14:paraId="1C4DB37B"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40" w:type="dxa"/>
              <w:bottom w:w="70" w:type="dxa"/>
              <w:right w:w="80" w:type="dxa"/>
            </w:tcMar>
          </w:tcPr>
          <w:p w14:paraId="4C35B537" w14:textId="77777777" w:rsidR="008E61FB" w:rsidRDefault="00000000">
            <w:r>
              <w:rPr>
                <w:b/>
                <w:bCs/>
                <w:color w:val="FFFFFF"/>
                <w:sz w:val="19"/>
                <w:szCs w:val="19"/>
              </w:rPr>
              <w:t>Assumption Area</w:t>
            </w:r>
          </w:p>
        </w:tc>
        <w:tc>
          <w:tcPr>
            <w:tcW w:w="7768" w:type="dxa"/>
            <w:tcBorders>
              <w:top w:val="single" w:sz="1" w:space="0" w:color="1F4E79"/>
              <w:left w:val="single" w:sz="1" w:space="0" w:color="1F4E79"/>
              <w:bottom w:val="single" w:sz="1" w:space="0" w:color="1F4E79"/>
              <w:right w:val="single" w:sz="1" w:space="0" w:color="1F4E79"/>
            </w:tcBorders>
            <w:shd w:val="clear" w:color="auto" w:fill="1F4E79"/>
            <w:tcMar>
              <w:top w:w="70" w:type="dxa"/>
              <w:left w:w="140" w:type="dxa"/>
              <w:bottom w:w="70" w:type="dxa"/>
              <w:right w:w="80" w:type="dxa"/>
            </w:tcMar>
          </w:tcPr>
          <w:p w14:paraId="4375E136" w14:textId="77777777" w:rsidR="008E61FB" w:rsidRDefault="00000000">
            <w:r>
              <w:rPr>
                <w:b/>
                <w:bCs/>
                <w:color w:val="FFFFFF"/>
                <w:sz w:val="19"/>
                <w:szCs w:val="19"/>
              </w:rPr>
              <w:t>What Will Be Validated</w:t>
            </w:r>
          </w:p>
        </w:tc>
      </w:tr>
      <w:tr w:rsidR="008E61FB" w14:paraId="376509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6BEB2782" w14:textId="77777777" w:rsidR="008E61FB" w:rsidRDefault="00000000">
            <w:r>
              <w:rPr>
                <w:sz w:val="19"/>
                <w:szCs w:val="19"/>
              </w:rPr>
              <w:t>Operational workflows &amp; decision rights</w:t>
            </w:r>
          </w:p>
        </w:tc>
        <w:tc>
          <w:tcPr>
            <w:tcW w:w="77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37579E6A" w14:textId="77777777" w:rsidR="008E61FB" w:rsidRDefault="00000000">
            <w:r>
              <w:rPr>
                <w:sz w:val="19"/>
                <w:szCs w:val="19"/>
              </w:rPr>
              <w:t>Current scheduling and coordination workflows across ABL and Berau Coal; authority and approval structures for key operational decisions.</w:t>
            </w:r>
          </w:p>
        </w:tc>
      </w:tr>
      <w:tr w:rsidR="008E61FB" w14:paraId="225F6C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3A292CF1" w14:textId="77777777" w:rsidR="008E61FB" w:rsidRDefault="00000000">
            <w:r>
              <w:rPr>
                <w:sz w:val="19"/>
                <w:szCs w:val="19"/>
              </w:rPr>
              <w:t>Data quality &amp; availability</w:t>
            </w:r>
          </w:p>
        </w:tc>
        <w:tc>
          <w:tcPr>
            <w:tcW w:w="776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58ADE60D" w14:textId="77777777" w:rsidR="008E61FB" w:rsidRDefault="00000000">
            <w:r>
              <w:rPr>
                <w:sz w:val="19"/>
                <w:szCs w:val="19"/>
              </w:rPr>
              <w:t>Quality, completeness, latency and exportability of available data sources, including fleet tracking, operational reports and Berau inputs.</w:t>
            </w:r>
          </w:p>
        </w:tc>
      </w:tr>
      <w:tr w:rsidR="008E61FB" w14:paraId="65EF7F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41BFD9DA" w14:textId="77777777" w:rsidR="008E61FB" w:rsidRDefault="00000000">
            <w:r>
              <w:rPr>
                <w:sz w:val="19"/>
                <w:szCs w:val="19"/>
              </w:rPr>
              <w:t>Integration availability</w:t>
            </w:r>
          </w:p>
        </w:tc>
        <w:tc>
          <w:tcPr>
            <w:tcW w:w="77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78155875" w14:textId="77777777" w:rsidR="008E61FB" w:rsidRDefault="00000000">
            <w:r>
              <w:rPr>
                <w:sz w:val="19"/>
                <w:szCs w:val="19"/>
              </w:rPr>
              <w:t>Technical feasibility of integration with Spinergie/AIS and other relevant data sources; API availability, data format and update frequency.</w:t>
            </w:r>
          </w:p>
        </w:tc>
      </w:tr>
      <w:tr w:rsidR="008E61FB" w14:paraId="41B12E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30013350" w14:textId="77777777" w:rsidR="008E61FB" w:rsidRDefault="00000000">
            <w:r>
              <w:rPr>
                <w:sz w:val="19"/>
                <w:szCs w:val="19"/>
              </w:rPr>
              <w:t>Operational governance</w:t>
            </w:r>
          </w:p>
        </w:tc>
        <w:tc>
          <w:tcPr>
            <w:tcW w:w="776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391A5164" w14:textId="77777777" w:rsidR="008E61FB" w:rsidRDefault="00000000">
            <w:r>
              <w:rPr>
                <w:sz w:val="19"/>
                <w:szCs w:val="19"/>
              </w:rPr>
              <w:t>Willingness and capacity of operational stakeholders across entities to participate in shared coordination workflows and governance structures.</w:t>
            </w:r>
          </w:p>
        </w:tc>
      </w:tr>
      <w:tr w:rsidR="008E61FB" w14:paraId="60166A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4545BE81" w14:textId="77777777" w:rsidR="008E61FB" w:rsidRDefault="00000000">
            <w:r>
              <w:rPr>
                <w:sz w:val="19"/>
                <w:szCs w:val="19"/>
              </w:rPr>
              <w:t>KPI baselines</w:t>
            </w:r>
          </w:p>
        </w:tc>
        <w:tc>
          <w:tcPr>
            <w:tcW w:w="77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1FAA3741" w14:textId="77777777" w:rsidR="008E61FB" w:rsidRDefault="00000000">
            <w:r>
              <w:rPr>
                <w:sz w:val="19"/>
                <w:szCs w:val="19"/>
              </w:rPr>
              <w:t>Current performance baselines for fleet productivity, delay attribution, laycan compliance and demurrage exposure, to enable meaningful outcome measurement.</w:t>
            </w:r>
          </w:p>
        </w:tc>
      </w:tr>
      <w:tr w:rsidR="008E61FB" w14:paraId="275A5C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5706E27C" w14:textId="77777777" w:rsidR="008E61FB" w:rsidRDefault="00000000">
            <w:r>
              <w:rPr>
                <w:sz w:val="19"/>
                <w:szCs w:val="19"/>
              </w:rPr>
              <w:t>Deployment sequencing</w:t>
            </w:r>
          </w:p>
        </w:tc>
        <w:tc>
          <w:tcPr>
            <w:tcW w:w="776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3E2B8A03" w14:textId="77777777" w:rsidR="008E61FB" w:rsidRDefault="00000000">
            <w:r>
              <w:rPr>
                <w:sz w:val="19"/>
                <w:szCs w:val="19"/>
              </w:rPr>
              <w:t>Priority ordering of capability areas and phase scope, based on operational urgency, data readiness and stakeholder capacity.</w:t>
            </w:r>
          </w:p>
        </w:tc>
      </w:tr>
      <w:tr w:rsidR="008E61FB" w14:paraId="1F3F03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508FD277" w14:textId="77777777" w:rsidR="008E61FB" w:rsidRDefault="00000000">
            <w:r>
              <w:rPr>
                <w:sz w:val="19"/>
                <w:szCs w:val="19"/>
              </w:rPr>
              <w:t>Adoption readiness</w:t>
            </w:r>
          </w:p>
        </w:tc>
        <w:tc>
          <w:tcPr>
            <w:tcW w:w="77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3889F313" w14:textId="77777777" w:rsidR="008E61FB" w:rsidRDefault="00000000">
            <w:r>
              <w:rPr>
                <w:sz w:val="19"/>
                <w:szCs w:val="19"/>
              </w:rPr>
              <w:t>Field reporting discipline, technology adoption comfort and operational change management requirements across all stakeholder groups.</w:t>
            </w:r>
          </w:p>
        </w:tc>
      </w:tr>
    </w:tbl>
    <w:p w14:paraId="4F784EC1" w14:textId="77777777" w:rsidR="008E61FB" w:rsidRDefault="008E61FB">
      <w:pPr>
        <w:spacing w:before="200"/>
      </w:pPr>
    </w:p>
    <w:p w14:paraId="557218BB" w14:textId="77777777" w:rsidR="008E61FB" w:rsidRDefault="00000000">
      <w:pPr>
        <w:spacing w:before="300"/>
      </w:pPr>
      <w:r>
        <w:rPr>
          <w:b/>
          <w:bCs/>
          <w:color w:val="808080"/>
          <w:sz w:val="26"/>
          <w:szCs w:val="26"/>
        </w:rPr>
        <w:t xml:space="preserve">13.  </w:t>
      </w:r>
      <w:r>
        <w:rPr>
          <w:b/>
          <w:bCs/>
          <w:color w:val="1F4E79"/>
          <w:sz w:val="26"/>
          <w:szCs w:val="26"/>
        </w:rPr>
        <w:t>Proposed Next Steps</w:t>
      </w:r>
    </w:p>
    <w:p w14:paraId="152B96E0" w14:textId="77777777" w:rsidR="008E61FB" w:rsidRDefault="008E61FB">
      <w:pPr>
        <w:pBdr>
          <w:bottom w:val="single" w:sz="8" w:space="1" w:color="1F4E79"/>
        </w:pBdr>
        <w:spacing w:after="80"/>
      </w:pPr>
    </w:p>
    <w:p w14:paraId="4447DA27" w14:textId="77777777" w:rsidR="008E61FB" w:rsidRDefault="00000000">
      <w:pPr>
        <w:spacing w:after="100"/>
      </w:pPr>
      <w:r>
        <w:t>To progress from proposal to diagnostic engagement, Vector Consulting Indonesia proposes the following immediate steps:</w:t>
      </w:r>
    </w:p>
    <w:p w14:paraId="1388EEA6" w14:textId="77777777" w:rsidR="008E61FB" w:rsidRDefault="008E61FB">
      <w:pPr>
        <w:spacing w:before="80"/>
      </w:pPr>
    </w:p>
    <w:p w14:paraId="0738200A" w14:textId="77777777" w:rsidR="008E61FB" w:rsidRDefault="00000000">
      <w:pPr>
        <w:pStyle w:val="ListParagraph"/>
        <w:numPr>
          <w:ilvl w:val="0"/>
          <w:numId w:val="3"/>
        </w:numPr>
        <w:spacing w:before="50" w:after="50"/>
      </w:pPr>
      <w:r>
        <w:lastRenderedPageBreak/>
        <w:t>Conduct a proposal alignment discussion with ABL to confirm the engagement direction, scope boundaries and expected outcomes.</w:t>
      </w:r>
    </w:p>
    <w:p w14:paraId="0F31C8EC" w14:textId="77777777" w:rsidR="008E61FB" w:rsidRDefault="00000000">
      <w:pPr>
        <w:pStyle w:val="ListParagraph"/>
        <w:numPr>
          <w:ilvl w:val="0"/>
          <w:numId w:val="3"/>
        </w:numPr>
        <w:spacing w:before="50" w:after="50"/>
      </w:pPr>
      <w:r>
        <w:t>Agree whether the engagement commences with a standalone diagnostic and blueprinting phase, or proceeds as a full implementation engagement with diagnostic included.</w:t>
      </w:r>
    </w:p>
    <w:p w14:paraId="03F5BC70" w14:textId="77777777" w:rsidR="008E61FB" w:rsidRDefault="00000000">
      <w:pPr>
        <w:pStyle w:val="ListParagraph"/>
        <w:numPr>
          <w:ilvl w:val="0"/>
          <w:numId w:val="3"/>
        </w:numPr>
        <w:spacing w:before="50" w:after="50"/>
      </w:pPr>
      <w:r>
        <w:t>Collect representative operational data: OGV programme, jetty plan, tug and barge master list, route cycle times, available fleet tracking exports and delay records.</w:t>
      </w:r>
    </w:p>
    <w:p w14:paraId="054AB8BB" w14:textId="77777777" w:rsidR="008E61FB" w:rsidRDefault="00000000">
      <w:pPr>
        <w:pStyle w:val="ListParagraph"/>
        <w:numPr>
          <w:ilvl w:val="0"/>
          <w:numId w:val="3"/>
        </w:numPr>
        <w:spacing w:before="50" w:after="50"/>
      </w:pPr>
      <w:r>
        <w:t>Run a structured discovery workshop with ABL operations, port and blending, CTS, IT and Berau-facing stakeholders to ground the diagnostic in operational reality.</w:t>
      </w:r>
    </w:p>
    <w:p w14:paraId="1E9D9F93" w14:textId="77777777" w:rsidR="008E61FB" w:rsidRDefault="00000000">
      <w:pPr>
        <w:pStyle w:val="ListParagraph"/>
        <w:numPr>
          <w:ilvl w:val="0"/>
          <w:numId w:val="3"/>
        </w:numPr>
        <w:spacing w:before="50" w:after="50"/>
      </w:pPr>
      <w:r>
        <w:t>Finalise commercial terms, project team composition, governance cadence and engagement kick-off date.</w:t>
      </w:r>
    </w:p>
    <w:p w14:paraId="1FFF8260" w14:textId="77777777" w:rsidR="008E61FB" w:rsidRDefault="008E61FB">
      <w:pPr>
        <w:spacing w:before="200"/>
      </w:pPr>
    </w:p>
    <w:p w14:paraId="28396AA7" w14:textId="77777777" w:rsidR="008E61FB" w:rsidRDefault="00000000">
      <w:pPr>
        <w:spacing w:before="300"/>
      </w:pPr>
      <w:r>
        <w:rPr>
          <w:b/>
          <w:bCs/>
          <w:color w:val="808080"/>
          <w:sz w:val="26"/>
          <w:szCs w:val="26"/>
        </w:rPr>
        <w:t xml:space="preserve">14.  </w:t>
      </w:r>
      <w:r>
        <w:rPr>
          <w:b/>
          <w:bCs/>
          <w:color w:val="1F4E79"/>
          <w:sz w:val="26"/>
          <w:szCs w:val="26"/>
        </w:rPr>
        <w:t>Conclusion</w:t>
      </w:r>
    </w:p>
    <w:p w14:paraId="3DBD50F9" w14:textId="77777777" w:rsidR="008E61FB" w:rsidRDefault="008E61FB">
      <w:pPr>
        <w:pBdr>
          <w:bottom w:val="single" w:sz="8" w:space="1" w:color="1F4E79"/>
        </w:pBdr>
        <w:spacing w:after="80"/>
      </w:pPr>
    </w:p>
    <w:p w14:paraId="22D8452A" w14:textId="77777777" w:rsidR="008E61FB" w:rsidRDefault="00000000">
      <w:pPr>
        <w:spacing w:after="100"/>
      </w:pPr>
      <w:r>
        <w:t>ABL operates within a highly dynamic and interconnected transshipment environment where operational coordination, execution synchronisation and cross-functional visibility are critical to maintaining reliable shipment execution and commercial performance.</w:t>
      </w:r>
    </w:p>
    <w:p w14:paraId="5DE21487" w14:textId="77777777" w:rsidR="008E61FB" w:rsidRDefault="008E61FB">
      <w:pPr>
        <w:spacing w:before="60"/>
      </w:pPr>
    </w:p>
    <w:p w14:paraId="453A68B1" w14:textId="77777777" w:rsidR="008E61FB" w:rsidRDefault="00000000">
      <w:pPr>
        <w:spacing w:after="100"/>
      </w:pPr>
      <w:r>
        <w:t>The proposed engagement is intended to support ABL in progressively evolving toward a more synchronised, governed and operationally coordinated execution environment — one where the right information is available to the right people at the right time, and where operational decisions are structured, visible and auditable.</w:t>
      </w:r>
    </w:p>
    <w:p w14:paraId="6CCF2C7C" w14:textId="77777777" w:rsidR="008E61FB" w:rsidRDefault="008E61FB">
      <w:pPr>
        <w:spacing w:before="60"/>
      </w:pPr>
    </w:p>
    <w:p w14:paraId="62EA773F" w14:textId="77777777" w:rsidR="008E61FB" w:rsidRDefault="00000000">
      <w:pPr>
        <w:spacing w:after="100"/>
      </w:pPr>
      <w:r>
        <w:t>The initiative is envisioned as a phased operational transformation effort that combines operational understanding, process alignment and technology enablement. The proposed diagnostic and blueprinting phase will serve as the foundation for jointly defining the future-state operating model, implementation roadmap and operational priorities.</w:t>
      </w:r>
    </w:p>
    <w:p w14:paraId="57EDA2CC" w14:textId="77777777" w:rsidR="008E61FB" w:rsidRDefault="008E61FB">
      <w:pPr>
        <w:spacing w:before="60"/>
      </w:pPr>
    </w:p>
    <w:p w14:paraId="528B5010" w14:textId="77777777" w:rsidR="008E61FB" w:rsidRDefault="00000000">
      <w:pPr>
        <w:spacing w:after="100"/>
      </w:pPr>
      <w:r>
        <w:t>Vector Consulting Indonesia brings both the domain understanding of ABL’s operational environment and the delivery capability to translate that understanding into a working, adopted coordination platform. We look forward to initiating this engagement.</w:t>
      </w:r>
    </w:p>
    <w:p w14:paraId="458B5B7D" w14:textId="77777777" w:rsidR="008E61FB" w:rsidRDefault="008E61FB">
      <w:pPr>
        <w:spacing w:before="160"/>
      </w:pP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8"/>
      </w:tblGrid>
      <w:tr w:rsidR="008E61FB" w14:paraId="7BC17356" w14:textId="77777777">
        <w:tblPrEx>
          <w:tblCellMar>
            <w:top w:w="0" w:type="dxa"/>
            <w:bottom w:w="0" w:type="dxa"/>
          </w:tblCellMar>
        </w:tblPrEx>
        <w:tc>
          <w:tcPr>
            <w:tcW w:w="10368" w:type="dxa"/>
            <w:tcBorders>
              <w:top w:val="none" w:sz="0" w:space="0" w:color="FFFFFF"/>
              <w:left w:val="none" w:sz="0" w:space="0" w:color="FFFFFF"/>
              <w:bottom w:val="none" w:sz="0" w:space="0" w:color="FFFFFF"/>
              <w:right w:val="none" w:sz="0" w:space="0" w:color="FFFFFF"/>
            </w:tcBorders>
            <w:shd w:val="clear" w:color="auto" w:fill="1F4E79"/>
            <w:tcMar>
              <w:top w:w="220" w:type="dxa"/>
              <w:left w:w="360" w:type="dxa"/>
              <w:bottom w:w="220" w:type="dxa"/>
              <w:right w:w="360" w:type="dxa"/>
            </w:tcMar>
          </w:tcPr>
          <w:p w14:paraId="0E41B6E9" w14:textId="77777777" w:rsidR="008E61FB" w:rsidRDefault="00000000">
            <w:pPr>
              <w:spacing w:after="80"/>
              <w:jc w:val="center"/>
            </w:pPr>
            <w:r>
              <w:rPr>
                <w:b/>
                <w:bCs/>
                <w:color w:val="FFFFFF"/>
                <w:sz w:val="24"/>
                <w:szCs w:val="24"/>
              </w:rPr>
              <w:t>Vector Consulting Indonesia</w:t>
            </w:r>
          </w:p>
          <w:p w14:paraId="0A12BCB9" w14:textId="77777777" w:rsidR="008E61FB" w:rsidRDefault="00000000">
            <w:pPr>
              <w:spacing w:after="60"/>
              <w:jc w:val="center"/>
            </w:pPr>
            <w:r>
              <w:rPr>
                <w:color w:val="EAF2F8"/>
              </w:rPr>
              <w:t>Integrated Flow Management and Transshipment Coordination Platform</w:t>
            </w:r>
          </w:p>
          <w:p w14:paraId="0BDEC1E7" w14:textId="77777777" w:rsidR="008E61FB" w:rsidRDefault="00000000">
            <w:pPr>
              <w:jc w:val="center"/>
            </w:pPr>
            <w:r>
              <w:rPr>
                <w:i/>
                <w:iCs/>
                <w:color w:val="808080"/>
                <w:sz w:val="18"/>
                <w:szCs w:val="18"/>
              </w:rPr>
              <w:t>Proposal for PT Asian Bulk Logistics  ·  Confidential  ·  May 2026</w:t>
            </w:r>
          </w:p>
        </w:tc>
      </w:tr>
    </w:tbl>
    <w:p w14:paraId="4772A1D4" w14:textId="77777777" w:rsidR="008E61FB" w:rsidRDefault="008E61FB">
      <w:pPr>
        <w:spacing w:before="200"/>
      </w:pPr>
    </w:p>
    <w:p w14:paraId="2A90216C" w14:textId="77777777" w:rsidR="00E4185A" w:rsidRDefault="00E4185A">
      <w:pPr>
        <w:spacing w:before="200"/>
      </w:pPr>
    </w:p>
    <w:p w14:paraId="319950B4" w14:textId="77777777" w:rsidR="00E4185A" w:rsidRDefault="00E4185A">
      <w:pPr>
        <w:spacing w:before="200"/>
      </w:pPr>
    </w:p>
    <w:p w14:paraId="311039F9" w14:textId="77777777" w:rsidR="00E4185A" w:rsidRDefault="00E4185A">
      <w:pPr>
        <w:spacing w:before="200"/>
      </w:pPr>
    </w:p>
    <w:p w14:paraId="72571B32" w14:textId="77777777" w:rsidR="00E4185A" w:rsidRDefault="00E4185A">
      <w:pPr>
        <w:spacing w:before="200"/>
      </w:pPr>
    </w:p>
    <w:p w14:paraId="3688616A" w14:textId="77777777" w:rsidR="00E4185A" w:rsidRDefault="00E4185A">
      <w:pPr>
        <w:spacing w:before="200"/>
      </w:pPr>
    </w:p>
    <w:p w14:paraId="15D65785" w14:textId="77777777" w:rsidR="00E4185A" w:rsidRDefault="00E4185A">
      <w:pPr>
        <w:spacing w:before="200"/>
      </w:pPr>
    </w:p>
    <w:p w14:paraId="1A7F68C6" w14:textId="77777777" w:rsidR="00E4185A" w:rsidRDefault="00E4185A">
      <w:pPr>
        <w:spacing w:before="200"/>
      </w:pPr>
    </w:p>
    <w:p w14:paraId="3C039494" w14:textId="77777777" w:rsidR="00E4185A" w:rsidRDefault="00E4185A">
      <w:pPr>
        <w:spacing w:before="200"/>
      </w:pPr>
    </w:p>
    <w:p w14:paraId="13B717F6" w14:textId="77777777" w:rsidR="008E61FB" w:rsidRDefault="00000000">
      <w:pPr>
        <w:spacing w:before="300"/>
      </w:pPr>
      <w:r>
        <w:rPr>
          <w:b/>
          <w:bCs/>
          <w:color w:val="808080"/>
          <w:sz w:val="26"/>
          <w:szCs w:val="26"/>
        </w:rPr>
        <w:lastRenderedPageBreak/>
        <w:t xml:space="preserve">Appendix A.  </w:t>
      </w:r>
      <w:r>
        <w:rPr>
          <w:b/>
          <w:bCs/>
          <w:color w:val="1F4E79"/>
          <w:sz w:val="26"/>
          <w:szCs w:val="26"/>
        </w:rPr>
        <w:t>Illustrative Data Domains</w:t>
      </w:r>
    </w:p>
    <w:p w14:paraId="721EF8F4" w14:textId="77777777" w:rsidR="008E61FB" w:rsidRDefault="008E61FB">
      <w:pPr>
        <w:pBdr>
          <w:bottom w:val="single" w:sz="8" w:space="1" w:color="1F4E79"/>
        </w:pBdr>
        <w:spacing w:after="80"/>
      </w:pPr>
    </w:p>
    <w:p w14:paraId="29419883" w14:textId="77777777" w:rsidR="008E61FB" w:rsidRDefault="00000000">
      <w:pPr>
        <w:spacing w:after="80"/>
      </w:pPr>
      <w:r>
        <w:t>The following data domains are expected to be relevant to the proposed platform. Detailed data requirements, structure and integration approach will be defined during the diagnostic phase.</w:t>
      </w:r>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768"/>
      </w:tblGrid>
      <w:tr w:rsidR="008E61FB" w14:paraId="59B06581"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40" w:type="dxa"/>
              <w:bottom w:w="70" w:type="dxa"/>
              <w:right w:w="80" w:type="dxa"/>
            </w:tcMar>
          </w:tcPr>
          <w:p w14:paraId="54849468" w14:textId="77777777" w:rsidR="008E61FB" w:rsidRDefault="00000000">
            <w:r>
              <w:rPr>
                <w:b/>
                <w:bCs/>
                <w:color w:val="FFFFFF"/>
                <w:sz w:val="19"/>
                <w:szCs w:val="19"/>
              </w:rPr>
              <w:t>Data Domain</w:t>
            </w:r>
          </w:p>
        </w:tc>
        <w:tc>
          <w:tcPr>
            <w:tcW w:w="7768" w:type="dxa"/>
            <w:tcBorders>
              <w:top w:val="single" w:sz="1" w:space="0" w:color="1F4E79"/>
              <w:left w:val="single" w:sz="1" w:space="0" w:color="1F4E79"/>
              <w:bottom w:val="single" w:sz="1" w:space="0" w:color="1F4E79"/>
              <w:right w:val="single" w:sz="1" w:space="0" w:color="1F4E79"/>
            </w:tcBorders>
            <w:shd w:val="clear" w:color="auto" w:fill="1F4E79"/>
            <w:tcMar>
              <w:top w:w="70" w:type="dxa"/>
              <w:left w:w="140" w:type="dxa"/>
              <w:bottom w:w="70" w:type="dxa"/>
              <w:right w:w="80" w:type="dxa"/>
            </w:tcMar>
          </w:tcPr>
          <w:p w14:paraId="7D3E4A2C" w14:textId="77777777" w:rsidR="008E61FB" w:rsidRDefault="00000000">
            <w:r>
              <w:rPr>
                <w:b/>
                <w:bCs/>
                <w:color w:val="FFFFFF"/>
                <w:sz w:val="19"/>
                <w:szCs w:val="19"/>
              </w:rPr>
              <w:t>Illustrative Data Elements</w:t>
            </w:r>
          </w:p>
        </w:tc>
      </w:tr>
      <w:tr w:rsidR="008E61FB" w14:paraId="4BA510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5F32F8E0" w14:textId="77777777" w:rsidR="008E61FB" w:rsidRDefault="00000000">
            <w:r>
              <w:rPr>
                <w:sz w:val="19"/>
                <w:szCs w:val="19"/>
              </w:rPr>
              <w:t>OGV Programme &amp; Demand</w:t>
            </w:r>
          </w:p>
        </w:tc>
        <w:tc>
          <w:tcPr>
            <w:tcW w:w="77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4182A29C" w14:textId="77777777" w:rsidR="008E61FB" w:rsidRDefault="00000000">
            <w:r>
              <w:rPr>
                <w:sz w:val="19"/>
                <w:szCs w:val="19"/>
              </w:rPr>
              <w:t>OGV schedule, laycan windows, ETA/ETB, buyer identity, cargo quantity, quality specification, hatch and layering plan, shipment priority.</w:t>
            </w:r>
          </w:p>
        </w:tc>
      </w:tr>
      <w:tr w:rsidR="008E61FB" w14:paraId="224D0F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16757E40" w14:textId="77777777" w:rsidR="008E61FB" w:rsidRDefault="00000000">
            <w:r>
              <w:rPr>
                <w:sz w:val="19"/>
                <w:szCs w:val="19"/>
              </w:rPr>
              <w:t>Cargo &amp; Quality</w:t>
            </w:r>
          </w:p>
        </w:tc>
        <w:tc>
          <w:tcPr>
            <w:tcW w:w="776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347908A2" w14:textId="77777777" w:rsidR="008E61FB" w:rsidRDefault="00000000">
            <w:r>
              <w:rPr>
                <w:sz w:val="19"/>
                <w:szCs w:val="19"/>
              </w:rPr>
              <w:t>Stockpile source, blend recipe, quality specifications, sample status, release or hold status, moisture and weather impact on cargo condition.</w:t>
            </w:r>
          </w:p>
        </w:tc>
      </w:tr>
      <w:tr w:rsidR="008E61FB" w14:paraId="454AF0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014D54BA" w14:textId="77777777" w:rsidR="008E61FB" w:rsidRDefault="00000000">
            <w:r>
              <w:rPr>
                <w:sz w:val="19"/>
                <w:szCs w:val="19"/>
              </w:rPr>
              <w:t>Jetty &amp; Port Operations</w:t>
            </w:r>
          </w:p>
        </w:tc>
        <w:tc>
          <w:tcPr>
            <w:tcW w:w="77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0EB80956" w14:textId="77777777" w:rsidR="008E61FB" w:rsidRDefault="00000000">
            <w:r>
              <w:rPr>
                <w:sz w:val="19"/>
                <w:szCs w:val="19"/>
              </w:rPr>
              <w:t>Jetty availability, BLC capacity and loading rates, jetty queue status, maintenance windows, survey team availability.</w:t>
            </w:r>
          </w:p>
        </w:tc>
      </w:tr>
      <w:tr w:rsidR="008E61FB" w14:paraId="1FA20D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6700DACE" w14:textId="77777777" w:rsidR="008E61FB" w:rsidRDefault="00000000">
            <w:r>
              <w:rPr>
                <w:sz w:val="19"/>
                <w:szCs w:val="19"/>
              </w:rPr>
              <w:t>Fleet &amp; Vessel Data</w:t>
            </w:r>
          </w:p>
        </w:tc>
        <w:tc>
          <w:tcPr>
            <w:tcW w:w="776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26D6F5D7" w14:textId="77777777" w:rsidR="008E61FB" w:rsidRDefault="00000000">
            <w:r>
              <w:rPr>
                <w:sz w:val="19"/>
                <w:szCs w:val="19"/>
              </w:rPr>
              <w:t>Owned vs chartered status, tug HP, barge size and draft, current operational status, maintenance schedule, crew availability.</w:t>
            </w:r>
          </w:p>
        </w:tc>
      </w:tr>
      <w:tr w:rsidR="008E61FB" w14:paraId="0DF2DA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26E3296B" w14:textId="77777777" w:rsidR="008E61FB" w:rsidRDefault="00000000">
            <w:r>
              <w:rPr>
                <w:sz w:val="19"/>
                <w:szCs w:val="19"/>
              </w:rPr>
              <w:t>Route &amp; Navigation</w:t>
            </w:r>
          </w:p>
        </w:tc>
        <w:tc>
          <w:tcPr>
            <w:tcW w:w="77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73B8A730" w14:textId="77777777" w:rsidR="008E61FB" w:rsidRDefault="00000000">
            <w:r>
              <w:rPr>
                <w:sz w:val="19"/>
                <w:szCs w:val="19"/>
              </w:rPr>
              <w:t>Route profiles, typical cycle times, tide and bridge windows, draft restrictions, safe mooring points, weather conditions.</w:t>
            </w:r>
          </w:p>
        </w:tc>
      </w:tr>
      <w:tr w:rsidR="008E61FB" w14:paraId="179C76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38C5343A" w14:textId="77777777" w:rsidR="008E61FB" w:rsidRDefault="00000000">
            <w:r>
              <w:rPr>
                <w:sz w:val="19"/>
                <w:szCs w:val="19"/>
              </w:rPr>
              <w:t>CTS &amp; Transshipment</w:t>
            </w:r>
          </w:p>
        </w:tc>
        <w:tc>
          <w:tcPr>
            <w:tcW w:w="776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00715A29" w14:textId="77777777" w:rsidR="008E61FB" w:rsidRDefault="00000000">
            <w:r>
              <w:rPr>
                <w:sz w:val="19"/>
                <w:szCs w:val="19"/>
              </w:rPr>
              <w:t>CTS type and capacity, discharge rate, mechanical status, barge queue, OGV hatch loading progress.</w:t>
            </w:r>
          </w:p>
        </w:tc>
      </w:tr>
      <w:tr w:rsidR="008E61FB" w14:paraId="1FDFCC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686D131A" w14:textId="77777777" w:rsidR="008E61FB" w:rsidRDefault="00000000">
            <w:r>
              <w:rPr>
                <w:sz w:val="19"/>
                <w:szCs w:val="19"/>
              </w:rPr>
              <w:t>Survey &amp; Certification</w:t>
            </w:r>
          </w:p>
        </w:tc>
        <w:tc>
          <w:tcPr>
            <w:tcW w:w="77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80" w:type="dxa"/>
            </w:tcMar>
          </w:tcPr>
          <w:p w14:paraId="3B82B17D" w14:textId="77777777" w:rsidR="008E61FB" w:rsidRDefault="00000000">
            <w:r>
              <w:rPr>
                <w:sz w:val="19"/>
                <w:szCs w:val="19"/>
              </w:rPr>
              <w:t>Draft survey records, hold inspection, sampling status, weight and quality certificates, statement of facts.</w:t>
            </w:r>
          </w:p>
        </w:tc>
      </w:tr>
      <w:tr w:rsidR="008E61FB" w14:paraId="2D195D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67C447C7" w14:textId="77777777" w:rsidR="008E61FB" w:rsidRDefault="00000000">
            <w:r>
              <w:rPr>
                <w:sz w:val="19"/>
                <w:szCs w:val="19"/>
              </w:rPr>
              <w:t>Operational Events &amp; Delays</w:t>
            </w:r>
          </w:p>
        </w:tc>
        <w:tc>
          <w:tcPr>
            <w:tcW w:w="7768" w:type="dxa"/>
            <w:tcBorders>
              <w:top w:val="single" w:sz="1" w:space="0" w:color="CCCCCC"/>
              <w:left w:val="single" w:sz="1" w:space="0" w:color="CCCCCC"/>
              <w:bottom w:val="single" w:sz="1" w:space="0" w:color="CCCCCC"/>
              <w:right w:val="single" w:sz="1" w:space="0" w:color="CCCCCC"/>
            </w:tcBorders>
            <w:shd w:val="clear" w:color="auto" w:fill="F2F7FB"/>
            <w:tcMar>
              <w:top w:w="70" w:type="dxa"/>
              <w:left w:w="140" w:type="dxa"/>
              <w:bottom w:w="70" w:type="dxa"/>
              <w:right w:w="80" w:type="dxa"/>
            </w:tcMar>
          </w:tcPr>
          <w:p w14:paraId="70028E48" w14:textId="77777777" w:rsidR="008E61FB" w:rsidRDefault="00000000">
            <w:r>
              <w:rPr>
                <w:sz w:val="19"/>
                <w:szCs w:val="19"/>
              </w:rPr>
              <w:t>Loading and discharge events, waiting reasons, breakdown records, reassignment events, delay reason codes.</w:t>
            </w:r>
          </w:p>
        </w:tc>
      </w:tr>
    </w:tbl>
    <w:p w14:paraId="411400DC" w14:textId="77777777" w:rsidR="008E61FB" w:rsidRDefault="008E61FB">
      <w:pPr>
        <w:spacing w:before="200"/>
      </w:pPr>
    </w:p>
    <w:p w14:paraId="3771CDCA" w14:textId="77777777" w:rsidR="008E61FB" w:rsidRDefault="00000000">
      <w:pPr>
        <w:spacing w:before="300"/>
      </w:pPr>
      <w:r>
        <w:rPr>
          <w:b/>
          <w:bCs/>
          <w:color w:val="808080"/>
          <w:sz w:val="26"/>
          <w:szCs w:val="26"/>
        </w:rPr>
        <w:t xml:space="preserve">Appendix B.  </w:t>
      </w:r>
      <w:r>
        <w:rPr>
          <w:b/>
          <w:bCs/>
          <w:color w:val="1F4E79"/>
          <w:sz w:val="26"/>
          <w:szCs w:val="26"/>
        </w:rPr>
        <w:t>Illustrative Operational Themes</w:t>
      </w:r>
    </w:p>
    <w:p w14:paraId="23F09E5E" w14:textId="77777777" w:rsidR="008E61FB" w:rsidRDefault="008E61FB">
      <w:pPr>
        <w:pBdr>
          <w:bottom w:val="single" w:sz="8" w:space="1" w:color="1F4E79"/>
        </w:pBdr>
        <w:spacing w:after="80"/>
      </w:pPr>
    </w:p>
    <w:p w14:paraId="60F849C6" w14:textId="77777777" w:rsidR="008E61FB" w:rsidRDefault="00000000">
      <w:pPr>
        <w:spacing w:after="80"/>
      </w:pPr>
      <w:r>
        <w:t>The following operational themes were identified during preliminary discussions and informed the proposed engagement direction. These themes will be formally validated and structured during the diagnostic phase.</w:t>
      </w:r>
    </w:p>
    <w:p w14:paraId="303311AA" w14:textId="77777777" w:rsidR="008E61FB" w:rsidRDefault="00000000">
      <w:pPr>
        <w:pStyle w:val="ListParagraph"/>
        <w:numPr>
          <w:ilvl w:val="0"/>
          <w:numId w:val="2"/>
        </w:numPr>
        <w:spacing w:before="30" w:after="30"/>
      </w:pPr>
      <w:r>
        <w:rPr>
          <w:sz w:val="19"/>
          <w:szCs w:val="19"/>
        </w:rPr>
        <w:t>Dynamic schedule revisions driven by upstream production and vessel changes.</w:t>
      </w:r>
    </w:p>
    <w:p w14:paraId="32396D57" w14:textId="77777777" w:rsidR="008E61FB" w:rsidRDefault="00000000">
      <w:pPr>
        <w:pStyle w:val="ListParagraph"/>
        <w:numPr>
          <w:ilvl w:val="0"/>
          <w:numId w:val="2"/>
        </w:numPr>
        <w:spacing w:before="30" w:after="30"/>
      </w:pPr>
      <w:r>
        <w:rPr>
          <w:sz w:val="19"/>
          <w:szCs w:val="19"/>
        </w:rPr>
        <w:t>Operational synchronisation challenges across multiple chain stages and stakeholder groups.</w:t>
      </w:r>
    </w:p>
    <w:p w14:paraId="6024807D" w14:textId="77777777" w:rsidR="008E61FB" w:rsidRDefault="00000000">
      <w:pPr>
        <w:pStyle w:val="ListParagraph"/>
        <w:numPr>
          <w:ilvl w:val="0"/>
          <w:numId w:val="2"/>
        </w:numPr>
        <w:spacing w:before="30" w:after="30"/>
      </w:pPr>
      <w:r>
        <w:rPr>
          <w:sz w:val="19"/>
          <w:szCs w:val="19"/>
        </w:rPr>
        <w:t>Variable route cycle times creating fleet productivity and supply timing variability.</w:t>
      </w:r>
    </w:p>
    <w:p w14:paraId="73622C19" w14:textId="77777777" w:rsidR="008E61FB" w:rsidRDefault="00000000">
      <w:pPr>
        <w:pStyle w:val="ListParagraph"/>
        <w:numPr>
          <w:ilvl w:val="0"/>
          <w:numId w:val="2"/>
        </w:numPr>
        <w:spacing w:before="30" w:after="30"/>
      </w:pPr>
      <w:r>
        <w:rPr>
          <w:sz w:val="19"/>
          <w:szCs w:val="19"/>
        </w:rPr>
        <w:t>Environmental and navigation constraints affecting movement feasibility and dispatch decisions.</w:t>
      </w:r>
    </w:p>
    <w:p w14:paraId="1842C27B" w14:textId="77777777" w:rsidR="008E61FB" w:rsidRDefault="00000000">
      <w:pPr>
        <w:pStyle w:val="ListParagraph"/>
        <w:numPr>
          <w:ilvl w:val="0"/>
          <w:numId w:val="2"/>
        </w:numPr>
        <w:spacing w:before="30" w:after="30"/>
      </w:pPr>
      <w:r>
        <w:rPr>
          <w:sz w:val="19"/>
          <w:szCs w:val="19"/>
        </w:rPr>
        <w:t>Tug-barge reassignment complexity and the coordination burden it creates.</w:t>
      </w:r>
    </w:p>
    <w:p w14:paraId="542BA4DA" w14:textId="77777777" w:rsidR="008E61FB" w:rsidRDefault="00000000">
      <w:pPr>
        <w:pStyle w:val="ListParagraph"/>
        <w:numPr>
          <w:ilvl w:val="0"/>
          <w:numId w:val="2"/>
        </w:numPr>
        <w:spacing w:before="30" w:after="30"/>
      </w:pPr>
      <w:r>
        <w:rPr>
          <w:sz w:val="19"/>
          <w:szCs w:val="19"/>
        </w:rPr>
        <w:t>Execution visibility gaps between planning intent and actual field activities.</w:t>
      </w:r>
    </w:p>
    <w:p w14:paraId="29601391" w14:textId="77777777" w:rsidR="008E61FB" w:rsidRDefault="00000000">
      <w:pPr>
        <w:pStyle w:val="ListParagraph"/>
        <w:numPr>
          <w:ilvl w:val="0"/>
          <w:numId w:val="2"/>
        </w:numPr>
        <w:spacing w:before="30" w:after="30"/>
      </w:pPr>
      <w:r>
        <w:rPr>
          <w:sz w:val="19"/>
          <w:szCs w:val="19"/>
        </w:rPr>
        <w:t>Cross-entity coordination challenges between Berau Coal production and ABL logistics execution.</w:t>
      </w:r>
    </w:p>
    <w:p w14:paraId="65DB6961" w14:textId="77777777" w:rsidR="008E61FB" w:rsidRDefault="00000000">
      <w:pPr>
        <w:pStyle w:val="ListParagraph"/>
        <w:numPr>
          <w:ilvl w:val="0"/>
          <w:numId w:val="2"/>
        </w:numPr>
        <w:spacing w:before="30" w:after="30"/>
      </w:pPr>
      <w:r>
        <w:rPr>
          <w:sz w:val="19"/>
          <w:szCs w:val="19"/>
        </w:rPr>
        <w:t>KPI fragmentation across operational groups creating misaligned local incentives.</w:t>
      </w:r>
    </w:p>
    <w:p w14:paraId="2D66A7EC" w14:textId="77777777" w:rsidR="008E61FB" w:rsidRDefault="00000000">
      <w:pPr>
        <w:pStyle w:val="ListParagraph"/>
        <w:numPr>
          <w:ilvl w:val="0"/>
          <w:numId w:val="2"/>
        </w:numPr>
        <w:spacing w:before="30" w:after="30"/>
      </w:pPr>
      <w:r>
        <w:rPr>
          <w:sz w:val="19"/>
          <w:szCs w:val="19"/>
        </w:rPr>
        <w:t>Decision accountability gaps in environments with informal coordination workflows.</w:t>
      </w:r>
    </w:p>
    <w:p w14:paraId="5644E1F9" w14:textId="77777777" w:rsidR="008E61FB" w:rsidRDefault="00000000">
      <w:pPr>
        <w:pStyle w:val="ListParagraph"/>
        <w:numPr>
          <w:ilvl w:val="0"/>
          <w:numId w:val="2"/>
        </w:numPr>
        <w:spacing w:before="30" w:after="30"/>
      </w:pPr>
      <w:r>
        <w:rPr>
          <w:sz w:val="19"/>
          <w:szCs w:val="19"/>
        </w:rPr>
        <w:t>Third-party resource coordination constraints, including charter asset lead times.</w:t>
      </w:r>
    </w:p>
    <w:p w14:paraId="2B9DF41C" w14:textId="77777777" w:rsidR="008E61FB" w:rsidRDefault="008E61FB">
      <w:pPr>
        <w:spacing w:before="120"/>
      </w:pPr>
    </w:p>
    <w:p w14:paraId="65AAAA2A" w14:textId="77777777" w:rsidR="008E61FB" w:rsidRDefault="00000000">
      <w:pPr>
        <w:spacing w:after="80"/>
      </w:pPr>
      <w:r>
        <w:rPr>
          <w:i/>
          <w:iCs/>
          <w:color w:val="595959"/>
          <w:sz w:val="19"/>
          <w:szCs w:val="19"/>
        </w:rPr>
        <w:t>These themes will be further validated, structured and prioritised during the diagnostic and blueprinting phase of the engagement.</w:t>
      </w:r>
    </w:p>
    <w:sectPr w:rsidR="008E61FB">
      <w:footerReference w:type="default" r:id="rId7"/>
      <w:pgSz w:w="12240" w:h="15840"/>
      <w:pgMar w:top="936" w:right="936" w:bottom="864" w:left="93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CEF5" w14:textId="77777777" w:rsidR="00BB5B42" w:rsidRDefault="00BB5B42">
      <w:r>
        <w:separator/>
      </w:r>
    </w:p>
  </w:endnote>
  <w:endnote w:type="continuationSeparator" w:id="0">
    <w:p w14:paraId="5F57030E" w14:textId="77777777" w:rsidR="00BB5B42" w:rsidRDefault="00BB5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C266" w14:textId="77777777" w:rsidR="008E61FB" w:rsidRDefault="00000000">
    <w:pPr>
      <w:pBdr>
        <w:top w:val="single" w:sz="6" w:space="1" w:color="1F4E79"/>
      </w:pBdr>
      <w:tabs>
        <w:tab w:val="right" w:pos="10368"/>
      </w:tabs>
      <w:spacing w:before="80"/>
    </w:pPr>
    <w:r>
      <w:rPr>
        <w:color w:val="595959"/>
        <w:sz w:val="16"/>
        <w:szCs w:val="16"/>
      </w:rPr>
      <w:t>Vector Consulting Indonesia  ·  Confidential</w:t>
    </w:r>
    <w:r>
      <w:tab/>
    </w:r>
    <w:r>
      <w:rPr>
        <w:color w:val="595959"/>
        <w:sz w:val="16"/>
        <w:szCs w:val="16"/>
      </w:rPr>
      <w:t xml:space="preserve">Page </w:t>
    </w:r>
    <w:r>
      <w:fldChar w:fldCharType="begin"/>
    </w:r>
    <w:r>
      <w:instrText>PAGE</w:instrText>
    </w:r>
    <w:r>
      <w:fldChar w:fldCharType="separate"/>
    </w:r>
    <w:r w:rsidR="00E4185A">
      <w:rPr>
        <w:noProof/>
      </w:rPr>
      <w:t>1</w:t>
    </w:r>
    <w:r>
      <w:fldChar w:fldCharType="end"/>
    </w:r>
    <w:r>
      <w:rPr>
        <w:color w:val="595959"/>
        <w:sz w:val="16"/>
        <w:szCs w:val="16"/>
      </w:rPr>
      <w:t xml:space="preserve"> of </w:t>
    </w:r>
    <w:r>
      <w:fldChar w:fldCharType="begin"/>
    </w:r>
    <w:r>
      <w:instrText>NUMPAGES</w:instrText>
    </w:r>
    <w:r>
      <w:fldChar w:fldCharType="separate"/>
    </w:r>
    <w:r w:rsidR="00E4185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E272" w14:textId="77777777" w:rsidR="00BB5B42" w:rsidRDefault="00BB5B42">
      <w:r>
        <w:separator/>
      </w:r>
    </w:p>
  </w:footnote>
  <w:footnote w:type="continuationSeparator" w:id="0">
    <w:p w14:paraId="0D963EF7" w14:textId="77777777" w:rsidR="00BB5B42" w:rsidRDefault="00BB5B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45F8"/>
    <w:multiLevelType w:val="hybridMultilevel"/>
    <w:tmpl w:val="500C3800"/>
    <w:lvl w:ilvl="0" w:tplc="B742DA76">
      <w:start w:val="1"/>
      <w:numFmt w:val="bullet"/>
      <w:lvlText w:val="●"/>
      <w:lvlJc w:val="left"/>
      <w:pPr>
        <w:ind w:left="720" w:hanging="360"/>
      </w:pPr>
    </w:lvl>
    <w:lvl w:ilvl="1" w:tplc="7786E5C6">
      <w:start w:val="1"/>
      <w:numFmt w:val="bullet"/>
      <w:lvlText w:val="○"/>
      <w:lvlJc w:val="left"/>
      <w:pPr>
        <w:ind w:left="1440" w:hanging="360"/>
      </w:pPr>
    </w:lvl>
    <w:lvl w:ilvl="2" w:tplc="7CB6CFA4">
      <w:start w:val="1"/>
      <w:numFmt w:val="bullet"/>
      <w:lvlText w:val="■"/>
      <w:lvlJc w:val="left"/>
      <w:pPr>
        <w:ind w:left="2160" w:hanging="360"/>
      </w:pPr>
    </w:lvl>
    <w:lvl w:ilvl="3" w:tplc="508801D4">
      <w:start w:val="1"/>
      <w:numFmt w:val="bullet"/>
      <w:lvlText w:val="●"/>
      <w:lvlJc w:val="left"/>
      <w:pPr>
        <w:ind w:left="2880" w:hanging="360"/>
      </w:pPr>
    </w:lvl>
    <w:lvl w:ilvl="4" w:tplc="8604AB76">
      <w:start w:val="1"/>
      <w:numFmt w:val="bullet"/>
      <w:lvlText w:val="○"/>
      <w:lvlJc w:val="left"/>
      <w:pPr>
        <w:ind w:left="3600" w:hanging="360"/>
      </w:pPr>
    </w:lvl>
    <w:lvl w:ilvl="5" w:tplc="62885E26">
      <w:start w:val="1"/>
      <w:numFmt w:val="bullet"/>
      <w:lvlText w:val="■"/>
      <w:lvlJc w:val="left"/>
      <w:pPr>
        <w:ind w:left="4320" w:hanging="360"/>
      </w:pPr>
    </w:lvl>
    <w:lvl w:ilvl="6" w:tplc="40A41D92">
      <w:start w:val="1"/>
      <w:numFmt w:val="bullet"/>
      <w:lvlText w:val="●"/>
      <w:lvlJc w:val="left"/>
      <w:pPr>
        <w:ind w:left="5040" w:hanging="360"/>
      </w:pPr>
    </w:lvl>
    <w:lvl w:ilvl="7" w:tplc="DDA496A6">
      <w:start w:val="1"/>
      <w:numFmt w:val="bullet"/>
      <w:lvlText w:val="●"/>
      <w:lvlJc w:val="left"/>
      <w:pPr>
        <w:ind w:left="5760" w:hanging="360"/>
      </w:pPr>
    </w:lvl>
    <w:lvl w:ilvl="8" w:tplc="C31E0C7A">
      <w:start w:val="1"/>
      <w:numFmt w:val="bullet"/>
      <w:lvlText w:val="●"/>
      <w:lvlJc w:val="left"/>
      <w:pPr>
        <w:ind w:left="6480" w:hanging="360"/>
      </w:pPr>
    </w:lvl>
  </w:abstractNum>
  <w:abstractNum w:abstractNumId="1" w15:restartNumberingAfterBreak="0">
    <w:nsid w:val="36C25C93"/>
    <w:multiLevelType w:val="hybridMultilevel"/>
    <w:tmpl w:val="5EF686D2"/>
    <w:lvl w:ilvl="0" w:tplc="9C3E772C">
      <w:start w:val="1"/>
      <w:numFmt w:val="decimal"/>
      <w:lvlText w:val="%1."/>
      <w:lvlJc w:val="left"/>
      <w:pPr>
        <w:ind w:left="460" w:hanging="240"/>
      </w:pPr>
      <w:rPr>
        <w:rFonts w:ascii="Calibri" w:eastAsia="Calibri" w:hAnsi="Calibri" w:cs="Calibri"/>
        <w:color w:val="1F1F1F"/>
        <w:sz w:val="20"/>
        <w:szCs w:val="20"/>
      </w:rPr>
    </w:lvl>
    <w:lvl w:ilvl="1" w:tplc="72A6ED04">
      <w:numFmt w:val="decimal"/>
      <w:lvlText w:val=""/>
      <w:lvlJc w:val="left"/>
    </w:lvl>
    <w:lvl w:ilvl="2" w:tplc="4A0C31C6">
      <w:numFmt w:val="decimal"/>
      <w:lvlText w:val=""/>
      <w:lvlJc w:val="left"/>
    </w:lvl>
    <w:lvl w:ilvl="3" w:tplc="E312ABC6">
      <w:numFmt w:val="decimal"/>
      <w:lvlText w:val=""/>
      <w:lvlJc w:val="left"/>
    </w:lvl>
    <w:lvl w:ilvl="4" w:tplc="812CDD6C">
      <w:numFmt w:val="decimal"/>
      <w:lvlText w:val=""/>
      <w:lvlJc w:val="left"/>
    </w:lvl>
    <w:lvl w:ilvl="5" w:tplc="F79EFE80">
      <w:numFmt w:val="decimal"/>
      <w:lvlText w:val=""/>
      <w:lvlJc w:val="left"/>
    </w:lvl>
    <w:lvl w:ilvl="6" w:tplc="26B07A62">
      <w:numFmt w:val="decimal"/>
      <w:lvlText w:val=""/>
      <w:lvlJc w:val="left"/>
    </w:lvl>
    <w:lvl w:ilvl="7" w:tplc="8E26BCEE">
      <w:numFmt w:val="decimal"/>
      <w:lvlText w:val=""/>
      <w:lvlJc w:val="left"/>
    </w:lvl>
    <w:lvl w:ilvl="8" w:tplc="873A4FB0">
      <w:numFmt w:val="decimal"/>
      <w:lvlText w:val=""/>
      <w:lvlJc w:val="left"/>
    </w:lvl>
  </w:abstractNum>
  <w:abstractNum w:abstractNumId="2" w15:restartNumberingAfterBreak="0">
    <w:nsid w:val="6E197132"/>
    <w:multiLevelType w:val="hybridMultilevel"/>
    <w:tmpl w:val="C2604D58"/>
    <w:lvl w:ilvl="0" w:tplc="818088BC">
      <w:start w:val="1"/>
      <w:numFmt w:val="bullet"/>
      <w:lvlText w:val="–"/>
      <w:lvlJc w:val="left"/>
      <w:pPr>
        <w:ind w:left="460" w:hanging="240"/>
      </w:pPr>
      <w:rPr>
        <w:rFonts w:ascii="Calibri" w:eastAsia="Calibri" w:hAnsi="Calibri" w:cs="Calibri"/>
        <w:color w:val="2E6DA4"/>
        <w:sz w:val="19"/>
        <w:szCs w:val="19"/>
      </w:rPr>
    </w:lvl>
    <w:lvl w:ilvl="1" w:tplc="24A4E8D4">
      <w:start w:val="1"/>
      <w:numFmt w:val="bullet"/>
      <w:lvlText w:val="◦"/>
      <w:lvlJc w:val="left"/>
      <w:pPr>
        <w:ind w:left="860" w:hanging="280"/>
      </w:pPr>
      <w:rPr>
        <w:rFonts w:ascii="Calibri" w:eastAsia="Calibri" w:hAnsi="Calibri" w:cs="Calibri"/>
        <w:color w:val="595959"/>
        <w:sz w:val="18"/>
        <w:szCs w:val="18"/>
      </w:rPr>
    </w:lvl>
    <w:lvl w:ilvl="2" w:tplc="CA86FEF8">
      <w:numFmt w:val="decimal"/>
      <w:lvlText w:val=""/>
      <w:lvlJc w:val="left"/>
    </w:lvl>
    <w:lvl w:ilvl="3" w:tplc="3AECE2EE">
      <w:numFmt w:val="decimal"/>
      <w:lvlText w:val=""/>
      <w:lvlJc w:val="left"/>
    </w:lvl>
    <w:lvl w:ilvl="4" w:tplc="4E465220">
      <w:numFmt w:val="decimal"/>
      <w:lvlText w:val=""/>
      <w:lvlJc w:val="left"/>
    </w:lvl>
    <w:lvl w:ilvl="5" w:tplc="1D78FA04">
      <w:numFmt w:val="decimal"/>
      <w:lvlText w:val=""/>
      <w:lvlJc w:val="left"/>
    </w:lvl>
    <w:lvl w:ilvl="6" w:tplc="25D81486">
      <w:numFmt w:val="decimal"/>
      <w:lvlText w:val=""/>
      <w:lvlJc w:val="left"/>
    </w:lvl>
    <w:lvl w:ilvl="7" w:tplc="AB60FE22">
      <w:numFmt w:val="decimal"/>
      <w:lvlText w:val=""/>
      <w:lvlJc w:val="left"/>
    </w:lvl>
    <w:lvl w:ilvl="8" w:tplc="E272E5A8">
      <w:numFmt w:val="decimal"/>
      <w:lvlText w:val=""/>
      <w:lvlJc w:val="left"/>
    </w:lvl>
  </w:abstractNum>
  <w:num w:numId="1" w16cid:durableId="124857613">
    <w:abstractNumId w:val="0"/>
    <w:lvlOverride w:ilvl="0">
      <w:startOverride w:val="1"/>
    </w:lvlOverride>
  </w:num>
  <w:num w:numId="2" w16cid:durableId="650062799">
    <w:abstractNumId w:val="2"/>
    <w:lvlOverride w:ilvl="0">
      <w:startOverride w:val="1"/>
    </w:lvlOverride>
  </w:num>
  <w:num w:numId="3" w16cid:durableId="1698041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1FB"/>
    <w:rsid w:val="002051A3"/>
    <w:rsid w:val="008E61FB"/>
    <w:rsid w:val="00BB5B42"/>
    <w:rsid w:val="00E41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B64CC"/>
  <w15:docId w15:val="{C2287DAE-C243-4DB9-A3ED-3FA5CAEFA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4557</Words>
  <Characters>25981</Characters>
  <Application>Microsoft Office Word</Application>
  <DocSecurity>0</DocSecurity>
  <Lines>216</Lines>
  <Paragraphs>60</Paragraphs>
  <ScaleCrop>false</ScaleCrop>
  <Company/>
  <LinksUpToDate>false</LinksUpToDate>
  <CharactersWithSpaces>30478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Santosh Thapa</cp:lastModifiedBy>
  <cp:revision>2</cp:revision>
  <cp:lastPrinted>2026-05-24T13:10:00Z</cp:lastPrinted>
  <dcterms:created xsi:type="dcterms:W3CDTF">2026-05-24T12:57:00Z</dcterms:created>
  <dcterms:modified xsi:type="dcterms:W3CDTF">2026-05-24T13:14:00Z</dcterms:modified>
</cp:coreProperties>
</file>