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Core Scheduling Philosophy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Proprietary Scheduling And Scenario Scaffolding</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Product Development Layers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Phase Of Development in Sprint Level</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Release 1 - Governed Scheduling Spine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Operational Readiness And Adoption Review</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Exception Taxonomy And Operating Governance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Working Flow Details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Application Modules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Assumptions Made To Determine The Flow</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Proposed Implementation Architecture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External Data Sources Assumed To Be Available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Implementation Clarification</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Important Build Boundaries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Glossary</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Reference Inputs</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pPr>
        <w:pStyle w:val="Heading2"/>
      </w:pPr>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lastRenderedPageBreak/>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pStyle w:val="Heading2"/>
        <w:rPr>
          <w:rFonts w:ascii="Arial" w:eastAsia="Arial" w:hAnsi="Arial" w:cs="Arial"/>
          <w:b/>
          <w:bCs/>
          <w:color w:val="1F4D78"/>
          <w:sz w:val="26"/>
          <w:szCs w:val="26"/>
        </w:rPr>
      </w:pPr>
    </w:p>
    <w:p w14:paraId="2A22A410" w14:textId="43C4180A" w:rsidR="00FF34C7" w:rsidRDefault="00FF34C7" w:rsidP="00FF34C7">
      <w:pPr>
        <w:pStyle w:val="Heading2"/>
      </w:pPr>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Style w:val="Heading1"/>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pStyle w:val="Heading2"/>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pPr>
        <w:pStyle w:val="Heading2"/>
      </w:pPr>
      <w:bookmarkStart w:id="28" w:name="_Toc231224566"/>
      <w:r>
        <w:rPr>
          <w:rFonts w:ascii="Arial" w:eastAsia="Arial" w:hAnsi="Arial" w:cs="Arial"/>
          <w:b/>
          <w:bCs/>
          <w:color w:val="1F4D78"/>
          <w:sz w:val="26"/>
          <w:szCs w:val="26"/>
        </w:rPr>
        <w:lastRenderedPageBreak/>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pStyle w:val="Heading2"/>
        <w:rPr>
          <w:rFonts w:ascii="Arial" w:eastAsia="Arial" w:hAnsi="Arial" w:cs="Arial"/>
          <w:b/>
          <w:bCs/>
          <w:color w:val="1F4D78"/>
          <w:sz w:val="26"/>
          <w:szCs w:val="26"/>
        </w:rPr>
      </w:pPr>
    </w:p>
    <w:p w14:paraId="44E45C96" w14:textId="2386D64D" w:rsidR="00FF34C7" w:rsidRDefault="00FF34C7" w:rsidP="00FF34C7">
      <w:pPr>
        <w:pStyle w:val="Heading2"/>
      </w:pPr>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pStyle w:val="Heading2"/>
        <w:rPr>
          <w:rFonts w:ascii="Arial" w:eastAsia="Arial" w:hAnsi="Arial" w:cs="Arial"/>
          <w:b/>
          <w:bCs/>
          <w:color w:val="1F4D78"/>
          <w:sz w:val="26"/>
          <w:szCs w:val="26"/>
        </w:rPr>
      </w:pPr>
    </w:p>
    <w:p w14:paraId="3A8D7739" w14:textId="0CFEFE2B" w:rsidR="00FF34C7" w:rsidRDefault="00FF34C7" w:rsidP="00FF34C7">
      <w:pPr>
        <w:pStyle w:val="Heading2"/>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pStyle w:val="Heading2"/>
        <w:rPr>
          <w:rFonts w:ascii="Arial" w:eastAsia="Arial" w:hAnsi="Arial" w:cs="Arial"/>
          <w:b/>
          <w:bCs/>
          <w:color w:val="1F4D78"/>
          <w:sz w:val="26"/>
          <w:szCs w:val="26"/>
        </w:rPr>
      </w:pPr>
    </w:p>
    <w:p w14:paraId="187E460D" w14:textId="11E932BE" w:rsidR="00FF34C7" w:rsidRDefault="00FF34C7" w:rsidP="00FF34C7">
      <w:pPr>
        <w:pStyle w:val="Heading2"/>
      </w:pPr>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Style w:val="Heading1"/>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Style w:val="Heading1"/>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lastRenderedPageBreak/>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p w14:paraId="791A62CF" w14:textId="77777777" w:rsidR="00FF34C7" w:rsidRDefault="00FF34C7" w:rsidP="00E31A28">
      <w:pPr>
        <w:pStyle w:val="ListParagraph"/>
        <w:numPr>
          <w:ilvl w:val="0"/>
          <w:numId w:val="5"/>
        </w:numPr>
        <w:spacing w:before="40" w:after="60"/>
        <w:contextualSpacing w:val="0"/>
      </w:pPr>
      <w:r>
        <w:t>Synthetic seed and replay data are valid for blueprint, prototype, UAT and integration-contract proof before production feeds are connected.</w:t>
      </w:r>
    </w:p>
    <w:p w14:paraId="044D9F8E" w14:textId="77777777" w:rsidR="00FF34C7" w:rsidRDefault="00FF34C7" w:rsidP="00FF34C7">
      <w:pPr>
        <w:pStyle w:val="Heading1"/>
        <w:pBdr>
          <w:bottom w:val="single" w:sz="4" w:space="4" w:color="2E74B5"/>
        </w:pBdr>
      </w:pPr>
      <w:bookmarkStart w:id="34" w:name="_Toc231224572"/>
      <w:r>
        <w:rPr>
          <w:rFonts w:ascii="Arial" w:eastAsia="Arial" w:hAnsi="Arial" w:cs="Arial"/>
          <w:b/>
          <w:bCs/>
          <w:color w:val="0B2545"/>
          <w:sz w:val="32"/>
          <w:szCs w:val="32"/>
        </w:rPr>
        <w:t>14. Proposed Implementation Architecture</w:t>
      </w:r>
      <w:bookmarkEnd w:id="34"/>
    </w:p>
    <w:p w14:paraId="30EEC3E8" w14:textId="77777777" w:rsidR="00FF34C7" w:rsidRDefault="00FF34C7" w:rsidP="00FF34C7">
      <w:pPr>
        <w:spacing w:before="60" w:after="120" w:line="276" w:lineRule="auto"/>
      </w:pPr>
      <w: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55187E">
        <w:tc>
          <w:tcPr>
            <w:tcW w:w="2700" w:type="dxa"/>
            <w:shd w:val="clear" w:color="auto" w:fill="0B2545"/>
            <w:tcMar>
              <w:top w:w="80" w:type="dxa"/>
              <w:left w:w="120" w:type="dxa"/>
              <w:bottom w:w="80" w:type="dxa"/>
              <w:right w:w="120" w:type="dxa"/>
            </w:tcMar>
            <w:vAlign w:val="center"/>
          </w:tcPr>
          <w:p w14:paraId="52DE7365" w14:textId="77777777" w:rsidR="00FF34C7" w:rsidRDefault="00FF34C7" w:rsidP="0055187E">
            <w:pPr>
              <w:spacing w:line="252" w:lineRule="auto"/>
            </w:pPr>
            <w:r>
              <w:rPr>
                <w:b/>
                <w:bCs/>
                <w:color w:val="FFFFFF"/>
                <w:sz w:val="18"/>
                <w:szCs w:val="18"/>
              </w:rPr>
              <w:t>Layer</w:t>
            </w:r>
          </w:p>
        </w:tc>
        <w:tc>
          <w:tcPr>
            <w:tcW w:w="3060" w:type="dxa"/>
            <w:shd w:val="clear" w:color="auto" w:fill="0B2545"/>
            <w:tcMar>
              <w:top w:w="80" w:type="dxa"/>
              <w:left w:w="120" w:type="dxa"/>
              <w:bottom w:w="80" w:type="dxa"/>
              <w:right w:w="120" w:type="dxa"/>
            </w:tcMar>
            <w:vAlign w:val="center"/>
          </w:tcPr>
          <w:p w14:paraId="3AFDDAE9" w14:textId="77777777" w:rsidR="00FF34C7" w:rsidRDefault="00FF34C7" w:rsidP="0055187E">
            <w:pPr>
              <w:spacing w:line="252" w:lineRule="auto"/>
            </w:pPr>
            <w:r>
              <w:rPr>
                <w:b/>
                <w:bCs/>
                <w:color w:val="FFFFFF"/>
                <w:sz w:val="18"/>
                <w:szCs w:val="18"/>
              </w:rPr>
              <w:t>Technology</w:t>
            </w:r>
          </w:p>
        </w:tc>
        <w:tc>
          <w:tcPr>
            <w:tcW w:w="3600" w:type="dxa"/>
            <w:shd w:val="clear" w:color="auto" w:fill="0B2545"/>
            <w:tcMar>
              <w:top w:w="80" w:type="dxa"/>
              <w:left w:w="120" w:type="dxa"/>
              <w:bottom w:w="80" w:type="dxa"/>
              <w:right w:w="120" w:type="dxa"/>
            </w:tcMar>
            <w:vAlign w:val="center"/>
          </w:tcPr>
          <w:p w14:paraId="37C3E1BB" w14:textId="77777777" w:rsidR="00FF34C7" w:rsidRDefault="00FF34C7" w:rsidP="0055187E">
            <w:pPr>
              <w:spacing w:line="252" w:lineRule="auto"/>
            </w:pPr>
            <w:r>
              <w:rPr>
                <w:b/>
                <w:bCs/>
                <w:color w:val="FFFFFF"/>
                <w:sz w:val="18"/>
                <w:szCs w:val="18"/>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FF34C7" w:rsidRDefault="00FF34C7" w:rsidP="0055187E">
            <w:pPr>
              <w:spacing w:line="252" w:lineRule="auto"/>
            </w:pPr>
            <w:r>
              <w:rPr>
                <w:sz w:val="18"/>
                <w:szCs w:val="18"/>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FF34C7" w:rsidRDefault="00FF34C7" w:rsidP="0055187E">
            <w:pPr>
              <w:spacing w:line="252" w:lineRule="auto"/>
            </w:pPr>
            <w:r>
              <w:rPr>
                <w:sz w:val="18"/>
                <w:szCs w:val="18"/>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FF34C7" w:rsidRDefault="00FF34C7" w:rsidP="0055187E">
            <w:pPr>
              <w:spacing w:line="252" w:lineRule="auto"/>
            </w:pPr>
            <w:r>
              <w:rPr>
                <w:sz w:val="18"/>
                <w:szCs w:val="18"/>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FF34C7" w:rsidRDefault="00FF34C7" w:rsidP="0055187E">
            <w:pPr>
              <w:spacing w:line="252" w:lineRule="auto"/>
            </w:pPr>
            <w:r>
              <w:rPr>
                <w:sz w:val="18"/>
                <w:szCs w:val="18"/>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FF34C7" w:rsidRDefault="00FF34C7" w:rsidP="0055187E">
            <w:pPr>
              <w:spacing w:line="252" w:lineRule="auto"/>
            </w:pPr>
            <w:r>
              <w:rPr>
                <w:sz w:val="18"/>
                <w:szCs w:val="18"/>
              </w:rPr>
              <w:t>Vitest, Testing Library, jsdom</w:t>
            </w:r>
          </w:p>
        </w:tc>
        <w:tc>
          <w:tcPr>
            <w:tcW w:w="3600" w:type="dxa"/>
            <w:shd w:val="clear" w:color="auto" w:fill="F4F6F9"/>
            <w:tcMar>
              <w:top w:w="80" w:type="dxa"/>
              <w:left w:w="120" w:type="dxa"/>
              <w:bottom w:w="80" w:type="dxa"/>
              <w:right w:w="120" w:type="dxa"/>
            </w:tcMar>
            <w:vAlign w:val="center"/>
          </w:tcPr>
          <w:p w14:paraId="392A9EF7" w14:textId="77777777" w:rsidR="00FF34C7" w:rsidRDefault="00FF34C7" w:rsidP="0055187E">
            <w:pPr>
              <w:spacing w:line="252" w:lineRule="auto"/>
            </w:pPr>
            <w:r>
              <w:rPr>
                <w:sz w:val="18"/>
                <w:szCs w:val="18"/>
              </w:rPr>
              <w:t>UI behavior,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FF34C7" w:rsidRDefault="00FF34C7" w:rsidP="0055187E">
            <w:pPr>
              <w:spacing w:line="252" w:lineRule="auto"/>
            </w:pPr>
            <w:r>
              <w:rPr>
                <w:sz w:val="18"/>
                <w:szCs w:val="18"/>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FF34C7" w:rsidRDefault="00FF34C7" w:rsidP="0055187E">
            <w:pPr>
              <w:spacing w:line="252" w:lineRule="auto"/>
            </w:pPr>
            <w:r>
              <w:rPr>
                <w:sz w:val="18"/>
                <w:szCs w:val="18"/>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FF34C7" w:rsidRDefault="00FF34C7" w:rsidP="0055187E">
            <w:pPr>
              <w:spacing w:line="252" w:lineRule="auto"/>
            </w:pPr>
            <w:r>
              <w:rPr>
                <w:sz w:val="18"/>
                <w:szCs w:val="18"/>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FF34C7" w:rsidRDefault="00FF34C7" w:rsidP="0055187E">
            <w:pPr>
              <w:spacing w:line="252" w:lineRule="auto"/>
            </w:pPr>
            <w:r>
              <w:rPr>
                <w:sz w:val="18"/>
                <w:szCs w:val="18"/>
              </w:rPr>
              <w:t>Background jobs</w:t>
            </w:r>
          </w:p>
        </w:tc>
        <w:tc>
          <w:tcPr>
            <w:tcW w:w="3060" w:type="dxa"/>
            <w:shd w:val="clear" w:color="auto" w:fill="F4F6F9"/>
            <w:tcMar>
              <w:top w:w="80" w:type="dxa"/>
              <w:left w:w="120" w:type="dxa"/>
              <w:bottom w:w="80" w:type="dxa"/>
              <w:right w:w="120" w:type="dxa"/>
            </w:tcMar>
            <w:vAlign w:val="center"/>
          </w:tcPr>
          <w:p w14:paraId="58DD7482" w14:textId="77777777" w:rsidR="00FF34C7" w:rsidRDefault="00FF34C7" w:rsidP="0055187E">
            <w:pPr>
              <w:spacing w:line="252" w:lineRule="auto"/>
            </w:pPr>
            <w:r>
              <w:rPr>
                <w:sz w:val="18"/>
                <w:szCs w:val="18"/>
              </w:rPr>
              <w:t>Celery, Celery Beat</w:t>
            </w:r>
          </w:p>
        </w:tc>
        <w:tc>
          <w:tcPr>
            <w:tcW w:w="3600" w:type="dxa"/>
            <w:shd w:val="clear" w:color="auto" w:fill="F4F6F9"/>
            <w:tcMar>
              <w:top w:w="80" w:type="dxa"/>
              <w:left w:w="120" w:type="dxa"/>
              <w:bottom w:w="80" w:type="dxa"/>
              <w:right w:w="120" w:type="dxa"/>
            </w:tcMar>
            <w:vAlign w:val="center"/>
          </w:tcPr>
          <w:p w14:paraId="42CB90F8" w14:textId="77777777" w:rsidR="00FF34C7" w:rsidRDefault="00FF34C7" w:rsidP="0055187E">
            <w:pPr>
              <w:spacing w:line="252" w:lineRule="auto"/>
            </w:pPr>
            <w:r>
              <w:rPr>
                <w:sz w:val="18"/>
                <w:szCs w:val="18"/>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FF34C7" w:rsidRDefault="00FF34C7" w:rsidP="0055187E">
            <w:pPr>
              <w:spacing w:line="252" w:lineRule="auto"/>
            </w:pPr>
            <w:r>
              <w:rPr>
                <w:sz w:val="18"/>
                <w:szCs w:val="18"/>
              </w:rPr>
              <w:t>Application server</w:t>
            </w:r>
          </w:p>
        </w:tc>
        <w:tc>
          <w:tcPr>
            <w:tcW w:w="3060" w:type="dxa"/>
            <w:shd w:val="clear" w:color="auto" w:fill="FFFFFF"/>
            <w:tcMar>
              <w:top w:w="80" w:type="dxa"/>
              <w:left w:w="120" w:type="dxa"/>
              <w:bottom w:w="80" w:type="dxa"/>
              <w:right w:w="120" w:type="dxa"/>
            </w:tcMar>
            <w:vAlign w:val="center"/>
          </w:tcPr>
          <w:p w14:paraId="4BD6D19D" w14:textId="77777777" w:rsidR="00FF34C7" w:rsidRDefault="00FF34C7" w:rsidP="0055187E">
            <w:pPr>
              <w:spacing w:line="252" w:lineRule="auto"/>
            </w:pPr>
            <w:r>
              <w:rPr>
                <w:sz w:val="18"/>
                <w:szCs w:val="18"/>
              </w:rPr>
              <w:t>Gunicorn</w:t>
            </w:r>
          </w:p>
        </w:tc>
        <w:tc>
          <w:tcPr>
            <w:tcW w:w="3600" w:type="dxa"/>
            <w:shd w:val="clear" w:color="auto" w:fill="FFFFFF"/>
            <w:tcMar>
              <w:top w:w="80" w:type="dxa"/>
              <w:left w:w="120" w:type="dxa"/>
              <w:bottom w:w="80" w:type="dxa"/>
              <w:right w:w="120" w:type="dxa"/>
            </w:tcMar>
            <w:vAlign w:val="center"/>
          </w:tcPr>
          <w:p w14:paraId="0B345B4A" w14:textId="77777777" w:rsidR="00FF34C7" w:rsidRDefault="00FF34C7" w:rsidP="0055187E">
            <w:pPr>
              <w:spacing w:line="252" w:lineRule="auto"/>
            </w:pPr>
            <w:r>
              <w:rPr>
                <w:sz w:val="18"/>
                <w:szCs w:val="18"/>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FF34C7" w:rsidRDefault="00FF34C7" w:rsidP="0055187E">
            <w:pPr>
              <w:spacing w:line="252" w:lineRule="auto"/>
            </w:pPr>
            <w:r>
              <w:rPr>
                <w:sz w:val="18"/>
                <w:szCs w:val="18"/>
              </w:rPr>
              <w:t>Service testing</w:t>
            </w:r>
          </w:p>
        </w:tc>
        <w:tc>
          <w:tcPr>
            <w:tcW w:w="3060" w:type="dxa"/>
            <w:shd w:val="clear" w:color="auto" w:fill="F4F6F9"/>
            <w:tcMar>
              <w:top w:w="80" w:type="dxa"/>
              <w:left w:w="120" w:type="dxa"/>
              <w:bottom w:w="80" w:type="dxa"/>
              <w:right w:w="120" w:type="dxa"/>
            </w:tcMar>
            <w:vAlign w:val="center"/>
          </w:tcPr>
          <w:p w14:paraId="6905D545" w14:textId="77777777" w:rsidR="00FF34C7" w:rsidRDefault="00FF34C7" w:rsidP="0055187E">
            <w:pPr>
              <w:spacing w:line="252" w:lineRule="auto"/>
            </w:pPr>
            <w:r>
              <w:rPr>
                <w:sz w:val="18"/>
                <w:szCs w:val="18"/>
              </w:rPr>
              <w:t>pytest, pytest-django</w:t>
            </w:r>
          </w:p>
        </w:tc>
        <w:tc>
          <w:tcPr>
            <w:tcW w:w="3600" w:type="dxa"/>
            <w:shd w:val="clear" w:color="auto" w:fill="F4F6F9"/>
            <w:tcMar>
              <w:top w:w="80" w:type="dxa"/>
              <w:left w:w="120" w:type="dxa"/>
              <w:bottom w:w="80" w:type="dxa"/>
              <w:right w:w="120" w:type="dxa"/>
            </w:tcMar>
            <w:vAlign w:val="center"/>
          </w:tcPr>
          <w:p w14:paraId="1FD399A0" w14:textId="77777777" w:rsidR="00FF34C7" w:rsidRDefault="00FF34C7" w:rsidP="0055187E">
            <w:pPr>
              <w:spacing w:line="252" w:lineRule="auto"/>
            </w:pPr>
            <w:r>
              <w:rPr>
                <w:sz w:val="18"/>
                <w:szCs w:val="18"/>
              </w:rPr>
              <w:t>Business services, data rules, API behavior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FF34C7" w:rsidRDefault="00FF34C7" w:rsidP="0055187E">
            <w:pPr>
              <w:spacing w:line="252" w:lineRule="auto"/>
            </w:pPr>
            <w:r>
              <w:rPr>
                <w:sz w:val="18"/>
                <w:szCs w:val="18"/>
              </w:rPr>
              <w:t>Database</w:t>
            </w:r>
          </w:p>
        </w:tc>
        <w:tc>
          <w:tcPr>
            <w:tcW w:w="3060" w:type="dxa"/>
            <w:shd w:val="clear" w:color="auto" w:fill="FFFFFF"/>
            <w:tcMar>
              <w:top w:w="80" w:type="dxa"/>
              <w:left w:w="120" w:type="dxa"/>
              <w:bottom w:w="80" w:type="dxa"/>
              <w:right w:w="120" w:type="dxa"/>
            </w:tcMar>
            <w:vAlign w:val="center"/>
          </w:tcPr>
          <w:p w14:paraId="35389A04" w14:textId="77777777" w:rsidR="00FF34C7" w:rsidRDefault="00FF34C7" w:rsidP="0055187E">
            <w:pPr>
              <w:spacing w:line="252" w:lineRule="auto"/>
            </w:pPr>
            <w:r>
              <w:rPr>
                <w:sz w:val="18"/>
                <w:szCs w:val="18"/>
              </w:rPr>
              <w:t>PostgreSQL with PostGIS</w:t>
            </w:r>
          </w:p>
        </w:tc>
        <w:tc>
          <w:tcPr>
            <w:tcW w:w="3600" w:type="dxa"/>
            <w:shd w:val="clear" w:color="auto" w:fill="FFFFFF"/>
            <w:tcMar>
              <w:top w:w="80" w:type="dxa"/>
              <w:left w:w="120" w:type="dxa"/>
              <w:bottom w:w="80" w:type="dxa"/>
              <w:right w:w="120" w:type="dxa"/>
            </w:tcMar>
            <w:vAlign w:val="center"/>
          </w:tcPr>
          <w:p w14:paraId="57796C1C" w14:textId="77777777" w:rsidR="00FF34C7" w:rsidRDefault="00FF34C7" w:rsidP="0055187E">
            <w:pPr>
              <w:spacing w:line="252" w:lineRule="auto"/>
            </w:pPr>
            <w:r>
              <w:rPr>
                <w:sz w:val="18"/>
                <w:szCs w:val="18"/>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FF34C7" w:rsidRDefault="00FF34C7" w:rsidP="0055187E">
            <w:pPr>
              <w:spacing w:line="252" w:lineRule="auto"/>
            </w:pPr>
            <w:r>
              <w:rPr>
                <w:sz w:val="18"/>
                <w:szCs w:val="18"/>
              </w:rPr>
              <w:t>Cache / broker</w:t>
            </w:r>
          </w:p>
        </w:tc>
        <w:tc>
          <w:tcPr>
            <w:tcW w:w="3060" w:type="dxa"/>
            <w:shd w:val="clear" w:color="auto" w:fill="F4F6F9"/>
            <w:tcMar>
              <w:top w:w="80" w:type="dxa"/>
              <w:left w:w="120" w:type="dxa"/>
              <w:bottom w:w="80" w:type="dxa"/>
              <w:right w:w="120" w:type="dxa"/>
            </w:tcMar>
            <w:vAlign w:val="center"/>
          </w:tcPr>
          <w:p w14:paraId="0FA05085" w14:textId="77777777" w:rsidR="00FF34C7" w:rsidRDefault="00FF34C7" w:rsidP="0055187E">
            <w:pPr>
              <w:spacing w:line="252" w:lineRule="auto"/>
            </w:pPr>
            <w:r>
              <w:rPr>
                <w:sz w:val="18"/>
                <w:szCs w:val="18"/>
              </w:rPr>
              <w:t>Redis</w:t>
            </w:r>
          </w:p>
        </w:tc>
        <w:tc>
          <w:tcPr>
            <w:tcW w:w="3600" w:type="dxa"/>
            <w:shd w:val="clear" w:color="auto" w:fill="F4F6F9"/>
            <w:tcMar>
              <w:top w:w="80" w:type="dxa"/>
              <w:left w:w="120" w:type="dxa"/>
              <w:bottom w:w="80" w:type="dxa"/>
              <w:right w:w="120" w:type="dxa"/>
            </w:tcMar>
            <w:vAlign w:val="center"/>
          </w:tcPr>
          <w:p w14:paraId="143DBC83" w14:textId="77777777" w:rsidR="00FF34C7" w:rsidRDefault="00FF34C7" w:rsidP="0055187E">
            <w:pPr>
              <w:spacing w:line="252" w:lineRule="auto"/>
            </w:pPr>
            <w:r>
              <w:rPr>
                <w:sz w:val="18"/>
                <w:szCs w:val="18"/>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FF34C7" w:rsidRDefault="00FF34C7" w:rsidP="0055187E">
            <w:pPr>
              <w:spacing w:line="252" w:lineRule="auto"/>
            </w:pPr>
            <w:r>
              <w:rPr>
                <w:sz w:val="18"/>
                <w:szCs w:val="18"/>
              </w:rPr>
              <w:t>Object storage</w:t>
            </w:r>
          </w:p>
        </w:tc>
        <w:tc>
          <w:tcPr>
            <w:tcW w:w="3060" w:type="dxa"/>
            <w:shd w:val="clear" w:color="auto" w:fill="FFFFFF"/>
            <w:tcMar>
              <w:top w:w="80" w:type="dxa"/>
              <w:left w:w="120" w:type="dxa"/>
              <w:bottom w:w="80" w:type="dxa"/>
              <w:right w:w="120" w:type="dxa"/>
            </w:tcMar>
            <w:vAlign w:val="center"/>
          </w:tcPr>
          <w:p w14:paraId="543A198F" w14:textId="77777777" w:rsidR="00FF34C7" w:rsidRDefault="00FF34C7" w:rsidP="0055187E">
            <w:pPr>
              <w:spacing w:line="252" w:lineRule="auto"/>
            </w:pPr>
            <w:r>
              <w:rPr>
                <w:sz w:val="18"/>
                <w:szCs w:val="18"/>
              </w:rPr>
              <w:t>MinIO / S3-compatible storage</w:t>
            </w:r>
          </w:p>
        </w:tc>
        <w:tc>
          <w:tcPr>
            <w:tcW w:w="3600" w:type="dxa"/>
            <w:shd w:val="clear" w:color="auto" w:fill="FFFFFF"/>
            <w:tcMar>
              <w:top w:w="80" w:type="dxa"/>
              <w:left w:w="120" w:type="dxa"/>
              <w:bottom w:w="80" w:type="dxa"/>
              <w:right w:w="120" w:type="dxa"/>
            </w:tcMar>
            <w:vAlign w:val="center"/>
          </w:tcPr>
          <w:p w14:paraId="53F37045" w14:textId="77777777" w:rsidR="00FF34C7" w:rsidRDefault="00FF34C7" w:rsidP="0055187E">
            <w:pPr>
              <w:spacing w:line="252" w:lineRule="auto"/>
            </w:pPr>
            <w:r>
              <w:rPr>
                <w:sz w:val="18"/>
                <w:szCs w:val="18"/>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FF34C7" w:rsidRDefault="00FF34C7" w:rsidP="0055187E">
            <w:pPr>
              <w:spacing w:line="252" w:lineRule="auto"/>
            </w:pPr>
            <w:r>
              <w:rPr>
                <w:sz w:val="18"/>
                <w:szCs w:val="18"/>
              </w:rPr>
              <w:t>Edge routing</w:t>
            </w:r>
          </w:p>
        </w:tc>
        <w:tc>
          <w:tcPr>
            <w:tcW w:w="3060" w:type="dxa"/>
            <w:shd w:val="clear" w:color="auto" w:fill="F4F6F9"/>
            <w:tcMar>
              <w:top w:w="80" w:type="dxa"/>
              <w:left w:w="120" w:type="dxa"/>
              <w:bottom w:w="80" w:type="dxa"/>
              <w:right w:w="120" w:type="dxa"/>
            </w:tcMar>
            <w:vAlign w:val="center"/>
          </w:tcPr>
          <w:p w14:paraId="666B5043" w14:textId="77777777" w:rsidR="00FF34C7" w:rsidRDefault="00FF34C7" w:rsidP="0055187E">
            <w:pPr>
              <w:spacing w:line="252" w:lineRule="auto"/>
            </w:pPr>
            <w:r>
              <w:rPr>
                <w:sz w:val="18"/>
                <w:szCs w:val="18"/>
              </w:rPr>
              <w:t>Nginx</w:t>
            </w:r>
          </w:p>
        </w:tc>
        <w:tc>
          <w:tcPr>
            <w:tcW w:w="3600" w:type="dxa"/>
            <w:shd w:val="clear" w:color="auto" w:fill="F4F6F9"/>
            <w:tcMar>
              <w:top w:w="80" w:type="dxa"/>
              <w:left w:w="120" w:type="dxa"/>
              <w:bottom w:w="80" w:type="dxa"/>
              <w:right w:w="120" w:type="dxa"/>
            </w:tcMar>
            <w:vAlign w:val="center"/>
          </w:tcPr>
          <w:p w14:paraId="3DF3118D" w14:textId="77777777" w:rsidR="00FF34C7" w:rsidRDefault="00FF34C7" w:rsidP="0055187E">
            <w:pPr>
              <w:spacing w:line="252" w:lineRule="auto"/>
            </w:pPr>
            <w:r>
              <w:rPr>
                <w:sz w:val="18"/>
                <w:szCs w:val="18"/>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FF34C7" w:rsidRDefault="00FF34C7" w:rsidP="0055187E">
            <w:pPr>
              <w:spacing w:line="252" w:lineRule="auto"/>
            </w:pPr>
            <w:r>
              <w:rPr>
                <w:sz w:val="18"/>
                <w:szCs w:val="18"/>
              </w:rPr>
              <w:t>Runtime approach</w:t>
            </w:r>
          </w:p>
        </w:tc>
        <w:tc>
          <w:tcPr>
            <w:tcW w:w="3060" w:type="dxa"/>
            <w:shd w:val="clear" w:color="auto" w:fill="FFFFFF"/>
            <w:tcMar>
              <w:top w:w="80" w:type="dxa"/>
              <w:left w:w="120" w:type="dxa"/>
              <w:bottom w:w="80" w:type="dxa"/>
              <w:right w:w="120" w:type="dxa"/>
            </w:tcMar>
            <w:vAlign w:val="center"/>
          </w:tcPr>
          <w:p w14:paraId="5174BFFB" w14:textId="77777777" w:rsidR="00FF34C7" w:rsidRDefault="00FF34C7" w:rsidP="0055187E">
            <w:pPr>
              <w:spacing w:line="252" w:lineRule="auto"/>
            </w:pPr>
            <w:r>
              <w:rPr>
                <w:sz w:val="18"/>
                <w:szCs w:val="18"/>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FF34C7" w:rsidRDefault="00FF34C7" w:rsidP="0055187E">
            <w:pPr>
              <w:spacing w:line="252" w:lineRule="auto"/>
            </w:pPr>
            <w:r>
              <w:rPr>
                <w:sz w:val="18"/>
                <w:szCs w:val="18"/>
              </w:rPr>
              <w:t>Repeatable deployment units for local, UAT and production environments</w:t>
            </w:r>
          </w:p>
        </w:tc>
      </w:tr>
    </w:tbl>
    <w:p w14:paraId="1A9E7D4A" w14:textId="77777777" w:rsidR="00FF34C7" w:rsidRDefault="00FF34C7" w:rsidP="00FF34C7">
      <w:pPr>
        <w:spacing w:before="60" w:after="120" w:line="276" w:lineRule="auto"/>
      </w:pPr>
      <w:r>
        <w:t>Deferred integration technology includes, where required by confirmed integration scope, MQTT, HTTP callbacks, AIS/NMEA feeds, Kafka/Redpanda, TimescaleDB or ClickHouse, OPC-UA or Modbus, and live UI push updates.</w:t>
      </w:r>
    </w:p>
    <w:p w14:paraId="4D393109" w14:textId="77777777" w:rsidR="00FF34C7" w:rsidRDefault="00FF34C7" w:rsidP="00FF34C7">
      <w:pPr>
        <w:pStyle w:val="Heading1"/>
        <w:pBdr>
          <w:bottom w:val="single" w:sz="4" w:space="4" w:color="2E74B5"/>
        </w:pBdr>
      </w:pPr>
      <w:bookmarkStart w:id="35" w:name="_Toc231224573"/>
      <w:r>
        <w:rPr>
          <w:rFonts w:ascii="Arial" w:eastAsia="Arial" w:hAnsi="Arial" w:cs="Arial"/>
          <w:b/>
          <w:bCs/>
          <w:color w:val="0B2545"/>
          <w:sz w:val="32"/>
          <w:szCs w:val="32"/>
        </w:rPr>
        <w:lastRenderedPageBreak/>
        <w:t>15. External Data Sources Assumed To Be Available</w:t>
      </w:r>
      <w:bookmarkEnd w:id="3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55187E">
        <w:tc>
          <w:tcPr>
            <w:tcW w:w="2000" w:type="dxa"/>
            <w:shd w:val="clear" w:color="auto" w:fill="0B2545"/>
            <w:tcMar>
              <w:top w:w="80" w:type="dxa"/>
              <w:left w:w="120" w:type="dxa"/>
              <w:bottom w:w="80" w:type="dxa"/>
              <w:right w:w="120" w:type="dxa"/>
            </w:tcMar>
            <w:vAlign w:val="center"/>
          </w:tcPr>
          <w:p w14:paraId="261B061B" w14:textId="77777777" w:rsidR="00FF34C7" w:rsidRDefault="00FF34C7" w:rsidP="0055187E">
            <w:pPr>
              <w:spacing w:line="252" w:lineRule="auto"/>
            </w:pPr>
            <w:r>
              <w:rPr>
                <w:b/>
                <w:bCs/>
                <w:color w:val="FFFFFF"/>
                <w:sz w:val="18"/>
                <w:szCs w:val="18"/>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FF34C7" w:rsidRDefault="00FF34C7" w:rsidP="0055187E">
            <w:pPr>
              <w:spacing w:line="252" w:lineRule="auto"/>
            </w:pPr>
            <w:r>
              <w:rPr>
                <w:b/>
                <w:bCs/>
                <w:color w:val="FFFFFF"/>
                <w:sz w:val="18"/>
                <w:szCs w:val="18"/>
              </w:rPr>
              <w:t>Assumed content</w:t>
            </w:r>
          </w:p>
        </w:tc>
        <w:tc>
          <w:tcPr>
            <w:tcW w:w="2280" w:type="dxa"/>
            <w:shd w:val="clear" w:color="auto" w:fill="0B2545"/>
            <w:tcMar>
              <w:top w:w="80" w:type="dxa"/>
              <w:left w:w="120" w:type="dxa"/>
              <w:bottom w:w="80" w:type="dxa"/>
              <w:right w:w="120" w:type="dxa"/>
            </w:tcMar>
            <w:vAlign w:val="center"/>
          </w:tcPr>
          <w:p w14:paraId="4701661C" w14:textId="77777777" w:rsidR="00FF34C7" w:rsidRDefault="00FF34C7" w:rsidP="0055187E">
            <w:pPr>
              <w:spacing w:line="252" w:lineRule="auto"/>
            </w:pPr>
            <w:r>
              <w:rPr>
                <w:b/>
                <w:bCs/>
                <w:color w:val="FFFFFF"/>
                <w:sz w:val="18"/>
                <w:szCs w:val="18"/>
              </w:rPr>
              <w:t>Initial handling</w:t>
            </w:r>
          </w:p>
        </w:tc>
        <w:tc>
          <w:tcPr>
            <w:tcW w:w="2280" w:type="dxa"/>
            <w:shd w:val="clear" w:color="auto" w:fill="0B2545"/>
            <w:tcMar>
              <w:top w:w="80" w:type="dxa"/>
              <w:left w:w="120" w:type="dxa"/>
              <w:bottom w:w="80" w:type="dxa"/>
              <w:right w:w="120" w:type="dxa"/>
            </w:tcMar>
            <w:vAlign w:val="center"/>
          </w:tcPr>
          <w:p w14:paraId="1BB72C72" w14:textId="77777777" w:rsidR="00FF34C7" w:rsidRDefault="00FF34C7" w:rsidP="0055187E">
            <w:pPr>
              <w:spacing w:line="252" w:lineRule="auto"/>
            </w:pPr>
            <w:r>
              <w:rPr>
                <w:b/>
                <w:bCs/>
                <w:color w:val="FFFFFF"/>
                <w:sz w:val="18"/>
                <w:szCs w:val="18"/>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FF34C7" w:rsidRDefault="00FF34C7" w:rsidP="0055187E">
            <w:pPr>
              <w:spacing w:line="252" w:lineRule="auto"/>
            </w:pPr>
            <w:r>
              <w:rPr>
                <w:sz w:val="18"/>
                <w:szCs w:val="18"/>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FF34C7" w:rsidRDefault="00FF34C7" w:rsidP="0055187E">
            <w:pPr>
              <w:spacing w:line="252" w:lineRule="auto"/>
            </w:pPr>
            <w:r>
              <w:rPr>
                <w:sz w:val="18"/>
                <w:szCs w:val="18"/>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FF34C7" w:rsidRDefault="00FF34C7" w:rsidP="0055187E">
            <w:pPr>
              <w:spacing w:line="252" w:lineRule="auto"/>
            </w:pPr>
            <w:r>
              <w:rPr>
                <w:sz w:val="18"/>
                <w:szCs w:val="18"/>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FF34C7" w:rsidRDefault="00FF34C7" w:rsidP="0055187E">
            <w:pPr>
              <w:spacing w:line="252" w:lineRule="auto"/>
            </w:pPr>
            <w:r>
              <w:rPr>
                <w:sz w:val="18"/>
                <w:szCs w:val="18"/>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FF34C7" w:rsidRDefault="00FF34C7" w:rsidP="0055187E">
            <w:pPr>
              <w:spacing w:line="252" w:lineRule="auto"/>
            </w:pPr>
            <w:r>
              <w:rPr>
                <w:sz w:val="18"/>
                <w:szCs w:val="18"/>
              </w:rPr>
              <w:t>OGV schedule</w:t>
            </w:r>
          </w:p>
        </w:tc>
        <w:tc>
          <w:tcPr>
            <w:tcW w:w="2800" w:type="dxa"/>
            <w:shd w:val="clear" w:color="auto" w:fill="F4F6F9"/>
            <w:tcMar>
              <w:top w:w="80" w:type="dxa"/>
              <w:left w:w="120" w:type="dxa"/>
              <w:bottom w:w="80" w:type="dxa"/>
              <w:right w:w="120" w:type="dxa"/>
            </w:tcMar>
            <w:vAlign w:val="center"/>
          </w:tcPr>
          <w:p w14:paraId="2B7488F7" w14:textId="77777777" w:rsidR="00FF34C7" w:rsidRDefault="00FF34C7" w:rsidP="0055187E">
            <w:pPr>
              <w:spacing w:line="252" w:lineRule="auto"/>
            </w:pPr>
            <w:r>
              <w:rPr>
                <w:sz w:val="18"/>
                <w:szCs w:val="18"/>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FF34C7" w:rsidRDefault="00FF34C7" w:rsidP="0055187E">
            <w:pPr>
              <w:spacing w:line="252" w:lineRule="auto"/>
            </w:pPr>
            <w:r>
              <w:rPr>
                <w:sz w:val="18"/>
                <w:szCs w:val="18"/>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FF34C7" w:rsidRDefault="00FF34C7" w:rsidP="0055187E">
            <w:pPr>
              <w:spacing w:line="252" w:lineRule="auto"/>
            </w:pPr>
            <w:r>
              <w:rPr>
                <w:sz w:val="18"/>
                <w:szCs w:val="18"/>
              </w:rPr>
              <w:t>API feed from Berau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FF34C7" w:rsidRDefault="00FF34C7" w:rsidP="0055187E">
            <w:pPr>
              <w:spacing w:line="252" w:lineRule="auto"/>
            </w:pPr>
            <w:r>
              <w:rPr>
                <w:sz w:val="18"/>
                <w:szCs w:val="18"/>
              </w:rPr>
              <w:t>Cargo/source data</w:t>
            </w:r>
          </w:p>
        </w:tc>
        <w:tc>
          <w:tcPr>
            <w:tcW w:w="2800" w:type="dxa"/>
            <w:shd w:val="clear" w:color="auto" w:fill="FFFFFF"/>
            <w:tcMar>
              <w:top w:w="80" w:type="dxa"/>
              <w:left w:w="120" w:type="dxa"/>
              <w:bottom w:w="80" w:type="dxa"/>
              <w:right w:w="120" w:type="dxa"/>
            </w:tcMar>
            <w:vAlign w:val="center"/>
          </w:tcPr>
          <w:p w14:paraId="53154265" w14:textId="77777777" w:rsidR="00FF34C7" w:rsidRDefault="00FF34C7" w:rsidP="0055187E">
            <w:pPr>
              <w:spacing w:line="252" w:lineRule="auto"/>
            </w:pPr>
            <w:r>
              <w:rPr>
                <w:sz w:val="18"/>
                <w:szCs w:val="18"/>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FF34C7" w:rsidRDefault="00FF34C7" w:rsidP="0055187E">
            <w:pPr>
              <w:spacing w:line="252" w:lineRule="auto"/>
            </w:pPr>
            <w:r>
              <w:rPr>
                <w:sz w:val="18"/>
                <w:szCs w:val="18"/>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FF34C7" w:rsidRDefault="00FF34C7" w:rsidP="0055187E">
            <w:pPr>
              <w:spacing w:line="252" w:lineRule="auto"/>
            </w:pPr>
            <w:r>
              <w:rPr>
                <w:sz w:val="18"/>
                <w:szCs w:val="18"/>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FF34C7" w:rsidRDefault="00FF34C7" w:rsidP="0055187E">
            <w:pPr>
              <w:spacing w:line="252" w:lineRule="auto"/>
            </w:pPr>
            <w:r>
              <w:rPr>
                <w:sz w:val="18"/>
                <w:szCs w:val="18"/>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FF34C7" w:rsidRDefault="00FF34C7" w:rsidP="0055187E">
            <w:pPr>
              <w:spacing w:line="252" w:lineRule="auto"/>
            </w:pPr>
            <w:r>
              <w:rPr>
                <w:sz w:val="18"/>
                <w:szCs w:val="18"/>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FF34C7" w:rsidRDefault="00FF34C7" w:rsidP="0055187E">
            <w:pPr>
              <w:spacing w:line="252" w:lineRule="auto"/>
            </w:pPr>
            <w:r>
              <w:rPr>
                <w:sz w:val="18"/>
                <w:szCs w:val="18"/>
              </w:rPr>
              <w:t>Cargo layer model</w:t>
            </w:r>
          </w:p>
        </w:tc>
        <w:tc>
          <w:tcPr>
            <w:tcW w:w="2280" w:type="dxa"/>
            <w:shd w:val="clear" w:color="auto" w:fill="F4F6F9"/>
            <w:tcMar>
              <w:top w:w="80" w:type="dxa"/>
              <w:left w:w="120" w:type="dxa"/>
              <w:bottom w:w="80" w:type="dxa"/>
              <w:right w:w="120" w:type="dxa"/>
            </w:tcMar>
            <w:vAlign w:val="center"/>
          </w:tcPr>
          <w:p w14:paraId="201842C3" w14:textId="77777777" w:rsidR="00FF34C7" w:rsidRDefault="00FF34C7" w:rsidP="0055187E">
            <w:pPr>
              <w:spacing w:line="252" w:lineRule="auto"/>
            </w:pPr>
            <w:r>
              <w:rPr>
                <w:sz w:val="18"/>
                <w:szCs w:val="18"/>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FF34C7" w:rsidRDefault="00FF34C7" w:rsidP="0055187E">
            <w:pPr>
              <w:spacing w:line="252" w:lineRule="auto"/>
            </w:pPr>
            <w:r>
              <w:rPr>
                <w:sz w:val="18"/>
                <w:szCs w:val="18"/>
              </w:rPr>
              <w:t>Jetty/BLC data</w:t>
            </w:r>
          </w:p>
        </w:tc>
        <w:tc>
          <w:tcPr>
            <w:tcW w:w="2800" w:type="dxa"/>
            <w:shd w:val="clear" w:color="auto" w:fill="FFFFFF"/>
            <w:tcMar>
              <w:top w:w="80" w:type="dxa"/>
              <w:left w:w="120" w:type="dxa"/>
              <w:bottom w:w="80" w:type="dxa"/>
              <w:right w:w="120" w:type="dxa"/>
            </w:tcMar>
            <w:vAlign w:val="center"/>
          </w:tcPr>
          <w:p w14:paraId="160455D7" w14:textId="77777777" w:rsidR="00FF34C7" w:rsidRDefault="00FF34C7" w:rsidP="0055187E">
            <w:pPr>
              <w:spacing w:line="252" w:lineRule="auto"/>
            </w:pPr>
            <w:r>
              <w:rPr>
                <w:sz w:val="18"/>
                <w:szCs w:val="18"/>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FF34C7" w:rsidRDefault="00FF34C7" w:rsidP="0055187E">
            <w:pPr>
              <w:spacing w:line="252" w:lineRule="auto"/>
            </w:pPr>
            <w:r>
              <w:rPr>
                <w:sz w:val="18"/>
                <w:szCs w:val="18"/>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FF34C7" w:rsidRDefault="00FF34C7" w:rsidP="0055187E">
            <w:pPr>
              <w:spacing w:line="252" w:lineRule="auto"/>
            </w:pPr>
            <w:r>
              <w:rPr>
                <w:sz w:val="18"/>
                <w:szCs w:val="18"/>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FF34C7" w:rsidRDefault="00FF34C7" w:rsidP="0055187E">
            <w:pPr>
              <w:spacing w:line="252" w:lineRule="auto"/>
            </w:pPr>
            <w:r>
              <w:rPr>
                <w:sz w:val="18"/>
                <w:szCs w:val="18"/>
              </w:rPr>
              <w:t>ABL fleet data</w:t>
            </w:r>
          </w:p>
        </w:tc>
        <w:tc>
          <w:tcPr>
            <w:tcW w:w="2800" w:type="dxa"/>
            <w:shd w:val="clear" w:color="auto" w:fill="F4F6F9"/>
            <w:tcMar>
              <w:top w:w="80" w:type="dxa"/>
              <w:left w:w="120" w:type="dxa"/>
              <w:bottom w:w="80" w:type="dxa"/>
              <w:right w:w="120" w:type="dxa"/>
            </w:tcMar>
            <w:vAlign w:val="center"/>
          </w:tcPr>
          <w:p w14:paraId="2C80A90E" w14:textId="77777777" w:rsidR="00FF34C7" w:rsidRDefault="00FF34C7" w:rsidP="0055187E">
            <w:pPr>
              <w:spacing w:line="252" w:lineRule="auto"/>
            </w:pPr>
            <w:r>
              <w:rPr>
                <w:sz w:val="18"/>
                <w:szCs w:val="18"/>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FF34C7" w:rsidRDefault="00FF34C7" w:rsidP="0055187E">
            <w:pPr>
              <w:spacing w:line="252" w:lineRule="auto"/>
            </w:pPr>
            <w:r>
              <w:rPr>
                <w:sz w:val="18"/>
                <w:szCs w:val="18"/>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FF34C7" w:rsidRDefault="00FF34C7" w:rsidP="0055187E">
            <w:pPr>
              <w:spacing w:line="252" w:lineRule="auto"/>
            </w:pPr>
            <w:r>
              <w:rPr>
                <w:sz w:val="18"/>
                <w:szCs w:val="18"/>
              </w:rPr>
              <w:t>Spinergie,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FF34C7" w:rsidRDefault="00FF34C7" w:rsidP="0055187E">
            <w:pPr>
              <w:spacing w:line="252" w:lineRule="auto"/>
            </w:pPr>
            <w:r>
              <w:rPr>
                <w:sz w:val="18"/>
                <w:szCs w:val="18"/>
              </w:rPr>
              <w:t>Tide data</w:t>
            </w:r>
          </w:p>
        </w:tc>
        <w:tc>
          <w:tcPr>
            <w:tcW w:w="2800" w:type="dxa"/>
            <w:shd w:val="clear" w:color="auto" w:fill="FFFFFF"/>
            <w:tcMar>
              <w:top w:w="80" w:type="dxa"/>
              <w:left w:w="120" w:type="dxa"/>
              <w:bottom w:w="80" w:type="dxa"/>
              <w:right w:w="120" w:type="dxa"/>
            </w:tcMar>
            <w:vAlign w:val="center"/>
          </w:tcPr>
          <w:p w14:paraId="70C1083F" w14:textId="77777777" w:rsidR="00FF34C7" w:rsidRDefault="00FF34C7" w:rsidP="0055187E">
            <w:pPr>
              <w:spacing w:line="252" w:lineRule="auto"/>
            </w:pPr>
            <w:r>
              <w:rPr>
                <w:sz w:val="18"/>
                <w:szCs w:val="18"/>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FF34C7" w:rsidRDefault="00FF34C7" w:rsidP="0055187E">
            <w:pPr>
              <w:spacing w:line="252" w:lineRule="auto"/>
            </w:pPr>
            <w:r>
              <w:rPr>
                <w:sz w:val="18"/>
                <w:szCs w:val="18"/>
              </w:rPr>
              <w:t>Manual tide windows</w:t>
            </w:r>
          </w:p>
        </w:tc>
        <w:tc>
          <w:tcPr>
            <w:tcW w:w="2280" w:type="dxa"/>
            <w:shd w:val="clear" w:color="auto" w:fill="FFFFFF"/>
            <w:tcMar>
              <w:top w:w="80" w:type="dxa"/>
              <w:left w:w="120" w:type="dxa"/>
              <w:bottom w:w="80" w:type="dxa"/>
              <w:right w:w="120" w:type="dxa"/>
            </w:tcMar>
            <w:vAlign w:val="center"/>
          </w:tcPr>
          <w:p w14:paraId="48946331" w14:textId="77777777" w:rsidR="00FF34C7" w:rsidRDefault="00FF34C7" w:rsidP="0055187E">
            <w:pPr>
              <w:spacing w:line="252" w:lineRule="auto"/>
            </w:pPr>
            <w:r>
              <w:rPr>
                <w:sz w:val="18"/>
                <w:szCs w:val="18"/>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FF34C7" w:rsidRDefault="00FF34C7" w:rsidP="0055187E">
            <w:pPr>
              <w:spacing w:line="252" w:lineRule="auto"/>
            </w:pPr>
            <w:r>
              <w:rPr>
                <w:sz w:val="18"/>
                <w:szCs w:val="18"/>
              </w:rPr>
              <w:t>Bridge data</w:t>
            </w:r>
          </w:p>
        </w:tc>
        <w:tc>
          <w:tcPr>
            <w:tcW w:w="2800" w:type="dxa"/>
            <w:shd w:val="clear" w:color="auto" w:fill="F4F6F9"/>
            <w:tcMar>
              <w:top w:w="80" w:type="dxa"/>
              <w:left w:w="120" w:type="dxa"/>
              <w:bottom w:w="80" w:type="dxa"/>
              <w:right w:w="120" w:type="dxa"/>
            </w:tcMar>
            <w:vAlign w:val="center"/>
          </w:tcPr>
          <w:p w14:paraId="2E65FCF9" w14:textId="77777777" w:rsidR="00FF34C7" w:rsidRDefault="00FF34C7" w:rsidP="0055187E">
            <w:pPr>
              <w:spacing w:line="252" w:lineRule="auto"/>
            </w:pPr>
            <w:r>
              <w:rPr>
                <w:sz w:val="18"/>
                <w:szCs w:val="18"/>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FF34C7" w:rsidRDefault="00FF34C7" w:rsidP="0055187E">
            <w:pPr>
              <w:spacing w:line="252" w:lineRule="auto"/>
            </w:pPr>
            <w:r>
              <w:rPr>
                <w:sz w:val="18"/>
                <w:szCs w:val="18"/>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FF34C7" w:rsidRDefault="00FF34C7" w:rsidP="0055187E">
            <w:pPr>
              <w:spacing w:line="252" w:lineRule="auto"/>
            </w:pPr>
            <w:r>
              <w:rPr>
                <w:sz w:val="18"/>
                <w:szCs w:val="18"/>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FF34C7" w:rsidRDefault="00FF34C7" w:rsidP="0055187E">
            <w:pPr>
              <w:spacing w:line="252" w:lineRule="auto"/>
            </w:pPr>
            <w:r>
              <w:rPr>
                <w:sz w:val="18"/>
                <w:szCs w:val="18"/>
              </w:rPr>
              <w:t>Weather/marine data</w:t>
            </w:r>
          </w:p>
        </w:tc>
        <w:tc>
          <w:tcPr>
            <w:tcW w:w="2800" w:type="dxa"/>
            <w:shd w:val="clear" w:color="auto" w:fill="FFFFFF"/>
            <w:tcMar>
              <w:top w:w="80" w:type="dxa"/>
              <w:left w:w="120" w:type="dxa"/>
              <w:bottom w:w="80" w:type="dxa"/>
              <w:right w:w="120" w:type="dxa"/>
            </w:tcMar>
            <w:vAlign w:val="center"/>
          </w:tcPr>
          <w:p w14:paraId="35055888" w14:textId="77777777" w:rsidR="00FF34C7" w:rsidRDefault="00FF34C7" w:rsidP="0055187E">
            <w:pPr>
              <w:spacing w:line="252" w:lineRule="auto"/>
            </w:pPr>
            <w:r>
              <w:rPr>
                <w:sz w:val="18"/>
                <w:szCs w:val="18"/>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FF34C7" w:rsidRDefault="00FF34C7" w:rsidP="0055187E">
            <w:pPr>
              <w:spacing w:line="252" w:lineRule="auto"/>
            </w:pPr>
            <w:r>
              <w:rPr>
                <w:sz w:val="18"/>
                <w:szCs w:val="18"/>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FF34C7" w:rsidRDefault="00FF34C7" w:rsidP="0055187E">
            <w:pPr>
              <w:spacing w:line="252" w:lineRule="auto"/>
            </w:pPr>
            <w:r>
              <w:rPr>
                <w:sz w:val="18"/>
                <w:szCs w:val="18"/>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FF34C7" w:rsidRDefault="00FF34C7" w:rsidP="0055187E">
            <w:pPr>
              <w:spacing w:line="252" w:lineRule="auto"/>
            </w:pPr>
            <w:r>
              <w:rPr>
                <w:sz w:val="18"/>
                <w:szCs w:val="18"/>
              </w:rPr>
              <w:t>GPS/AIS data</w:t>
            </w:r>
          </w:p>
        </w:tc>
        <w:tc>
          <w:tcPr>
            <w:tcW w:w="2800" w:type="dxa"/>
            <w:shd w:val="clear" w:color="auto" w:fill="F4F6F9"/>
            <w:tcMar>
              <w:top w:w="80" w:type="dxa"/>
              <w:left w:w="120" w:type="dxa"/>
              <w:bottom w:w="80" w:type="dxa"/>
              <w:right w:w="120" w:type="dxa"/>
            </w:tcMar>
            <w:vAlign w:val="center"/>
          </w:tcPr>
          <w:p w14:paraId="22515008" w14:textId="77777777" w:rsidR="00FF34C7" w:rsidRDefault="00FF34C7" w:rsidP="0055187E">
            <w:pPr>
              <w:spacing w:line="252" w:lineRule="auto"/>
            </w:pPr>
            <w:r>
              <w:rPr>
                <w:sz w:val="18"/>
                <w:szCs w:val="18"/>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FF34C7" w:rsidRDefault="00FF34C7" w:rsidP="0055187E">
            <w:pPr>
              <w:spacing w:line="252" w:lineRule="auto"/>
            </w:pPr>
            <w:r>
              <w:rPr>
                <w:sz w:val="18"/>
                <w:szCs w:val="18"/>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FF34C7" w:rsidRDefault="00FF34C7" w:rsidP="0055187E">
            <w:pPr>
              <w:spacing w:line="252" w:lineRule="auto"/>
            </w:pPr>
            <w:r>
              <w:rPr>
                <w:sz w:val="18"/>
                <w:szCs w:val="18"/>
              </w:rPr>
              <w:t>Spinergie,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FF34C7" w:rsidRDefault="00FF34C7" w:rsidP="0055187E">
            <w:pPr>
              <w:spacing w:line="252" w:lineRule="auto"/>
            </w:pPr>
            <w:r>
              <w:rPr>
                <w:sz w:val="18"/>
                <w:szCs w:val="18"/>
              </w:rPr>
              <w:t>Operational events</w:t>
            </w:r>
          </w:p>
        </w:tc>
        <w:tc>
          <w:tcPr>
            <w:tcW w:w="2800" w:type="dxa"/>
            <w:shd w:val="clear" w:color="auto" w:fill="FFFFFF"/>
            <w:tcMar>
              <w:top w:w="80" w:type="dxa"/>
              <w:left w:w="120" w:type="dxa"/>
              <w:bottom w:w="80" w:type="dxa"/>
              <w:right w:w="120" w:type="dxa"/>
            </w:tcMar>
            <w:vAlign w:val="center"/>
          </w:tcPr>
          <w:p w14:paraId="1D74A7C3" w14:textId="77777777" w:rsidR="00FF34C7" w:rsidRDefault="00FF34C7" w:rsidP="0055187E">
            <w:pPr>
              <w:spacing w:line="252" w:lineRule="auto"/>
            </w:pPr>
            <w:r>
              <w:rPr>
                <w:sz w:val="18"/>
                <w:szCs w:val="18"/>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FF34C7" w:rsidRDefault="00FF34C7" w:rsidP="0055187E">
            <w:pPr>
              <w:spacing w:line="252" w:lineRule="auto"/>
            </w:pPr>
            <w:r>
              <w:rPr>
                <w:sz w:val="18"/>
                <w:szCs w:val="18"/>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FF34C7" w:rsidRDefault="00FF34C7" w:rsidP="0055187E">
            <w:pPr>
              <w:spacing w:line="252" w:lineRule="auto"/>
            </w:pPr>
            <w:r>
              <w:rPr>
                <w:sz w:val="18"/>
                <w:szCs w:val="18"/>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FF34C7" w:rsidRDefault="00FF34C7" w:rsidP="0055187E">
            <w:pPr>
              <w:spacing w:line="252" w:lineRule="auto"/>
            </w:pPr>
            <w:r>
              <w:rPr>
                <w:sz w:val="18"/>
                <w:szCs w:val="18"/>
              </w:rPr>
              <w:t>Device health</w:t>
            </w:r>
          </w:p>
        </w:tc>
        <w:tc>
          <w:tcPr>
            <w:tcW w:w="2800" w:type="dxa"/>
            <w:shd w:val="clear" w:color="auto" w:fill="F4F6F9"/>
            <w:tcMar>
              <w:top w:w="80" w:type="dxa"/>
              <w:left w:w="120" w:type="dxa"/>
              <w:bottom w:w="80" w:type="dxa"/>
              <w:right w:w="120" w:type="dxa"/>
            </w:tcMar>
            <w:vAlign w:val="center"/>
          </w:tcPr>
          <w:p w14:paraId="5E76F1AF" w14:textId="77777777" w:rsidR="00FF34C7" w:rsidRDefault="00FF34C7" w:rsidP="0055187E">
            <w:pPr>
              <w:spacing w:line="252" w:lineRule="auto"/>
            </w:pPr>
            <w:r>
              <w:rPr>
                <w:sz w:val="18"/>
                <w:szCs w:val="18"/>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FF34C7" w:rsidRDefault="00FF34C7" w:rsidP="0055187E">
            <w:pPr>
              <w:spacing w:line="252" w:lineRule="auto"/>
            </w:pPr>
            <w:r>
              <w:rPr>
                <w:sz w:val="18"/>
                <w:szCs w:val="18"/>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FF34C7" w:rsidRDefault="00FF34C7" w:rsidP="0055187E">
            <w:pPr>
              <w:spacing w:line="252" w:lineRule="auto"/>
            </w:pPr>
            <w:r>
              <w:rPr>
                <w:sz w:val="18"/>
                <w:szCs w:val="18"/>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FF34C7" w:rsidRDefault="00FF34C7" w:rsidP="0055187E">
            <w:pPr>
              <w:spacing w:line="252" w:lineRule="auto"/>
            </w:pPr>
            <w:r>
              <w:rPr>
                <w:sz w:val="18"/>
                <w:szCs w:val="18"/>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FF34C7" w:rsidRDefault="00FF34C7" w:rsidP="0055187E">
            <w:pPr>
              <w:spacing w:line="252" w:lineRule="auto"/>
            </w:pPr>
            <w:r>
              <w:rPr>
                <w:sz w:val="18"/>
                <w:szCs w:val="18"/>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FF34C7" w:rsidRDefault="00FF34C7" w:rsidP="0055187E">
            <w:pPr>
              <w:spacing w:line="252" w:lineRule="auto"/>
            </w:pPr>
            <w:r>
              <w:rPr>
                <w:sz w:val="18"/>
                <w:szCs w:val="18"/>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FF34C7" w:rsidRDefault="00FF34C7" w:rsidP="0055187E">
            <w:pPr>
              <w:spacing w:line="252" w:lineRule="auto"/>
            </w:pPr>
            <w:r>
              <w:rPr>
                <w:sz w:val="18"/>
                <w:szCs w:val="18"/>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FF34C7" w:rsidRDefault="00FF34C7" w:rsidP="0055187E">
            <w:pPr>
              <w:spacing w:line="252" w:lineRule="auto"/>
            </w:pPr>
            <w:r>
              <w:rPr>
                <w:sz w:val="18"/>
                <w:szCs w:val="18"/>
              </w:rPr>
              <w:t>Commercial parameters</w:t>
            </w:r>
          </w:p>
        </w:tc>
        <w:tc>
          <w:tcPr>
            <w:tcW w:w="2800" w:type="dxa"/>
            <w:shd w:val="clear" w:color="auto" w:fill="F4F6F9"/>
            <w:tcMar>
              <w:top w:w="80" w:type="dxa"/>
              <w:left w:w="120" w:type="dxa"/>
              <w:bottom w:w="80" w:type="dxa"/>
              <w:right w:w="120" w:type="dxa"/>
            </w:tcMar>
            <w:vAlign w:val="center"/>
          </w:tcPr>
          <w:p w14:paraId="7A97BA92" w14:textId="77777777" w:rsidR="00FF34C7" w:rsidRDefault="00FF34C7" w:rsidP="0055187E">
            <w:pPr>
              <w:spacing w:line="252" w:lineRule="auto"/>
            </w:pPr>
            <w:r>
              <w:rPr>
                <w:sz w:val="18"/>
                <w:szCs w:val="18"/>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FF34C7" w:rsidRDefault="00FF34C7" w:rsidP="0055187E">
            <w:pPr>
              <w:spacing w:line="252" w:lineRule="auto"/>
            </w:pPr>
            <w:r>
              <w:rPr>
                <w:sz w:val="18"/>
                <w:szCs w:val="18"/>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FF34C7" w:rsidRDefault="00FF34C7" w:rsidP="0055187E">
            <w:pPr>
              <w:spacing w:line="252" w:lineRule="auto"/>
            </w:pPr>
            <w:r>
              <w:rPr>
                <w:sz w:val="18"/>
                <w:szCs w:val="18"/>
              </w:rPr>
              <w:t>Separate commercial sign-off</w:t>
            </w:r>
          </w:p>
        </w:tc>
      </w:tr>
    </w:tbl>
    <w:p w14:paraId="050E4469"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30204E" w:rsidRPr="000A1B98" w:rsidSect="00E416F0">
          <w:type w:val="nextPage"/>
          <w:headerReference w:type="default" r:id="rId31"/>
          <w:footerReference w:type="default" r:id="rId32"/>
          <w:pgSz w:w="11906" w:h="16838"/>
          <w:pgMar w:top="1440" w:right="1080" w:bottom="1440" w:left="1080" w:header="708" w:footer="708" w:gutter="0"/>
          <w:cols w:space="708"/>
          <w:titlePg/>
          <w:docGrid w:linePitch="360"/>
        </w:sectPr>
      </w:pPr>
      <w:bookmarkStart w:id="36" w:name="_Toc231224574"/>
    </w:p>
    <w:p w14:paraId="0F632C8A"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30204E" w:rsidRPr="000A1B98" w:rsidSect="00E416F0">
          <w:type w:val="nextPage"/>
          <w:headerReference w:type="default" r:id="rId31"/>
          <w:footerReference w:type="default" r:id="rId32"/>
          <w:pgSz w:w="16838" w:h="11906" w:orient="landscape"/>
          <w:pgMar w:top="1440" w:right="1080" w:bottom="1440" w:left="1080" w:header="708" w:footer="708" w:gutter="0"/>
          <w:cols w:space="708"/>
          <w:docGrid w:linePitch="360"/>
        </w:sect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691A9CC0">
            <wp:simplePos x="0" y="0"/>
            <wp:positionH relativeFrom="margin">
              <wp:align>center</wp:align>
            </wp:positionH>
            <wp:positionV relativeFrom="paragraph">
              <wp:posOffset>421640</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101">
                      <a:extLst>
                        <a:ext uri="{96DAC541-7B7A-43D3-8B79-37D633B846F1}">
                          <asvg:svgBlip xmlns:asvg="http://schemas.microsoft.com/office/drawing/2016/SVG/main" r:embed="rId100"/>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p>
    <w:p w14:paraId="57287981" w14:textId="569A4800" w:rsidR="00FF34C7" w:rsidRPr="00595ED1" w:rsidRDefault="00FF34C7" w:rsidP="00595ED1">
      <w:pPr>
        <w:spacing w:after="160" w:line="278" w:lineRule="auto"/>
        <w:rPr>
          <w:b/>
          <w:bCs/>
          <w:color w:val="0B2545"/>
          <w:sz w:val="32"/>
          <w:szCs w:val="32"/>
        </w:rPr>
      </w:pPr>
      <w:r>
        <w:rPr>
          <w:b/>
          <w:bCs/>
          <w:color w:val="0B2545"/>
          <w:sz w:val="32"/>
          <w:szCs w:val="32"/>
        </w:rPr>
        <w:lastRenderedPageBreak/>
        <w:t>16. Build Deliverables</w:t>
      </w:r>
      <w:bookmarkEnd w:id="36"/>
    </w:p>
    <w:p w14:paraId="46CA3CA7" w14:textId="77777777" w:rsidR="00FF34C7" w:rsidRDefault="00FF34C7" w:rsidP="00FF34C7">
      <w:pPr>
        <w:pStyle w:val="Heading2"/>
      </w:pPr>
      <w:bookmarkStart w:id="37" w:name="_Toc231224575"/>
      <w:r>
        <w:rPr>
          <w:rFonts w:ascii="Arial" w:eastAsia="Arial" w:hAnsi="Arial" w:cs="Arial"/>
          <w:b/>
          <w:bCs/>
          <w:color w:val="1F4D78"/>
          <w:sz w:val="26"/>
          <w:szCs w:val="26"/>
        </w:rPr>
        <w:t>16.1 Release 1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3FCA36CB" w14:textId="77777777" w:rsidR="00FF34C7" w:rsidRDefault="00FF34C7" w:rsidP="0055187E">
            <w:pPr>
              <w:spacing w:line="252" w:lineRule="auto"/>
            </w:pPr>
            <w:r>
              <w:rPr>
                <w:b/>
                <w:bCs/>
                <w:color w:val="FFFFFF"/>
                <w:sz w:val="18"/>
                <w:szCs w:val="18"/>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FF34C7" w:rsidRDefault="00FF34C7" w:rsidP="0055187E">
            <w:pPr>
              <w:spacing w:line="252" w:lineRule="auto"/>
            </w:pPr>
            <w:r>
              <w:rPr>
                <w:sz w:val="18"/>
                <w:szCs w:val="18"/>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FF34C7" w:rsidRDefault="00FF34C7" w:rsidP="0055187E">
            <w:pPr>
              <w:spacing w:line="252" w:lineRule="auto"/>
            </w:pPr>
            <w:r>
              <w:rPr>
                <w:sz w:val="18"/>
                <w:szCs w:val="18"/>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FF34C7" w:rsidRDefault="00FF34C7" w:rsidP="0055187E">
            <w:pPr>
              <w:spacing w:line="252" w:lineRule="auto"/>
            </w:pPr>
            <w:r>
              <w:rPr>
                <w:sz w:val="18"/>
                <w:szCs w:val="18"/>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FF34C7" w:rsidRDefault="00FF34C7" w:rsidP="0055187E">
            <w:pPr>
              <w:spacing w:line="252" w:lineRule="auto"/>
            </w:pPr>
            <w:r>
              <w:rPr>
                <w:sz w:val="18"/>
                <w:szCs w:val="18"/>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FF34C7" w:rsidRDefault="00FF34C7" w:rsidP="0055187E">
            <w:pPr>
              <w:spacing w:line="252" w:lineRule="auto"/>
            </w:pPr>
            <w:r>
              <w:rPr>
                <w:sz w:val="18"/>
                <w:szCs w:val="18"/>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FF34C7" w:rsidRDefault="00FF34C7" w:rsidP="0055187E">
            <w:pPr>
              <w:spacing w:line="252" w:lineRule="auto"/>
            </w:pPr>
            <w:r>
              <w:rPr>
                <w:sz w:val="18"/>
                <w:szCs w:val="18"/>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FF34C7" w:rsidRDefault="00FF34C7" w:rsidP="0055187E">
            <w:pPr>
              <w:spacing w:line="252" w:lineRule="auto"/>
            </w:pPr>
            <w:r>
              <w:rPr>
                <w:sz w:val="18"/>
                <w:szCs w:val="18"/>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FF34C7" w:rsidRDefault="00FF34C7" w:rsidP="0055187E">
            <w:pPr>
              <w:spacing w:line="252" w:lineRule="auto"/>
            </w:pPr>
            <w:r>
              <w:rPr>
                <w:sz w:val="18"/>
                <w:szCs w:val="18"/>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FF34C7" w:rsidRDefault="00FF34C7" w:rsidP="0055187E">
            <w:pPr>
              <w:spacing w:line="252" w:lineRule="auto"/>
            </w:pPr>
            <w:r>
              <w:rPr>
                <w:sz w:val="18"/>
                <w:szCs w:val="18"/>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FF34C7" w:rsidRDefault="00FF34C7" w:rsidP="0055187E">
            <w:pPr>
              <w:spacing w:line="252" w:lineRule="auto"/>
            </w:pPr>
            <w:r>
              <w:rPr>
                <w:sz w:val="18"/>
                <w:szCs w:val="18"/>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FF34C7" w:rsidRDefault="00FF34C7" w:rsidP="0055187E">
            <w:pPr>
              <w:spacing w:line="252" w:lineRule="auto"/>
            </w:pPr>
            <w:r>
              <w:rPr>
                <w:sz w:val="18"/>
                <w:szCs w:val="18"/>
              </w:rPr>
              <w:t>Operator screens</w:t>
            </w:r>
          </w:p>
        </w:tc>
        <w:tc>
          <w:tcPr>
            <w:tcW w:w="6160" w:type="dxa"/>
            <w:shd w:val="clear" w:color="auto" w:fill="F4F6F9"/>
            <w:tcMar>
              <w:top w:w="80" w:type="dxa"/>
              <w:left w:w="120" w:type="dxa"/>
              <w:bottom w:w="80" w:type="dxa"/>
              <w:right w:w="120" w:type="dxa"/>
            </w:tcMar>
            <w:vAlign w:val="center"/>
          </w:tcPr>
          <w:p w14:paraId="30243374" w14:textId="77777777" w:rsidR="00FF34C7" w:rsidRDefault="00FF34C7" w:rsidP="0055187E">
            <w:pPr>
              <w:spacing w:line="252" w:lineRule="auto"/>
            </w:pPr>
            <w:r>
              <w:rPr>
                <w:sz w:val="18"/>
                <w:szCs w:val="18"/>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FF34C7" w:rsidRDefault="00FF34C7" w:rsidP="0055187E">
            <w:pPr>
              <w:spacing w:line="252" w:lineRule="auto"/>
            </w:pPr>
            <w:r>
              <w:rPr>
                <w:sz w:val="18"/>
                <w:szCs w:val="18"/>
              </w:rPr>
              <w:t>Governance layer</w:t>
            </w:r>
          </w:p>
        </w:tc>
        <w:tc>
          <w:tcPr>
            <w:tcW w:w="6160" w:type="dxa"/>
            <w:shd w:val="clear" w:color="auto" w:fill="FFFFFF"/>
            <w:tcMar>
              <w:top w:w="80" w:type="dxa"/>
              <w:left w:w="120" w:type="dxa"/>
              <w:bottom w:w="80" w:type="dxa"/>
              <w:right w:w="120" w:type="dxa"/>
            </w:tcMar>
            <w:vAlign w:val="center"/>
          </w:tcPr>
          <w:p w14:paraId="3EE65BC7" w14:textId="77777777" w:rsidR="00FF34C7" w:rsidRDefault="00FF34C7" w:rsidP="0055187E">
            <w:pPr>
              <w:spacing w:line="252" w:lineRule="auto"/>
            </w:pPr>
            <w:r>
              <w:rPr>
                <w:sz w:val="18"/>
                <w:szCs w:val="18"/>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FF34C7" w:rsidRDefault="00FF34C7" w:rsidP="0055187E">
            <w:pPr>
              <w:spacing w:line="252" w:lineRule="auto"/>
            </w:pPr>
            <w:r>
              <w:rPr>
                <w:sz w:val="18"/>
                <w:szCs w:val="18"/>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FF34C7" w:rsidRDefault="00FF34C7" w:rsidP="0055187E">
            <w:pPr>
              <w:spacing w:line="252" w:lineRule="auto"/>
            </w:pPr>
            <w:r>
              <w:rPr>
                <w:sz w:val="18"/>
                <w:szCs w:val="18"/>
              </w:rPr>
              <w:t>Service tests, web application tests, proof commands, UAT scripts and runbook</w:t>
            </w:r>
          </w:p>
        </w:tc>
      </w:tr>
    </w:tbl>
    <w:p w14:paraId="675AD574" w14:textId="77777777" w:rsidR="00FF34C7" w:rsidRDefault="00FF34C7" w:rsidP="00FF34C7">
      <w:pPr>
        <w:pStyle w:val="Heading2"/>
      </w:pPr>
      <w:bookmarkStart w:id="38" w:name="_Toc231224576"/>
      <w:r>
        <w:rPr>
          <w:rFonts w:ascii="Arial" w:eastAsia="Arial" w:hAnsi="Arial" w:cs="Arial"/>
          <w:b/>
          <w:bCs/>
          <w:color w:val="1F4D78"/>
          <w:sz w:val="26"/>
          <w:szCs w:val="26"/>
        </w:rPr>
        <w:t>16.2 Later release deliverables</w:t>
      </w:r>
      <w:bookmarkEnd w:id="3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1476445B" w14:textId="77777777" w:rsidR="00FF34C7" w:rsidRDefault="00FF34C7" w:rsidP="0055187E">
            <w:pPr>
              <w:spacing w:line="252" w:lineRule="auto"/>
            </w:pPr>
            <w:r>
              <w:rPr>
                <w:b/>
                <w:bCs/>
                <w:color w:val="FFFFFF"/>
                <w:sz w:val="18"/>
                <w:szCs w:val="18"/>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FF34C7" w:rsidRDefault="00FF34C7" w:rsidP="0055187E">
            <w:pPr>
              <w:spacing w:line="252" w:lineRule="auto"/>
            </w:pPr>
            <w:r>
              <w:rPr>
                <w:sz w:val="18"/>
                <w:szCs w:val="18"/>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FF34C7" w:rsidRDefault="00FF34C7" w:rsidP="0055187E">
            <w:pPr>
              <w:spacing w:line="252" w:lineRule="auto"/>
            </w:pPr>
            <w:r>
              <w:rPr>
                <w:sz w:val="18"/>
                <w:szCs w:val="18"/>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FF34C7" w:rsidRDefault="00FF34C7" w:rsidP="0055187E">
            <w:pPr>
              <w:spacing w:line="252" w:lineRule="auto"/>
            </w:pPr>
            <w:r>
              <w:rPr>
                <w:sz w:val="18"/>
                <w:szCs w:val="18"/>
              </w:rPr>
              <w:t>Recovery support</w:t>
            </w:r>
          </w:p>
        </w:tc>
        <w:tc>
          <w:tcPr>
            <w:tcW w:w="6160" w:type="dxa"/>
            <w:shd w:val="clear" w:color="auto" w:fill="F4F6F9"/>
            <w:tcMar>
              <w:top w:w="80" w:type="dxa"/>
              <w:left w:w="120" w:type="dxa"/>
              <w:bottom w:w="80" w:type="dxa"/>
              <w:right w:w="120" w:type="dxa"/>
            </w:tcMar>
            <w:vAlign w:val="center"/>
          </w:tcPr>
          <w:p w14:paraId="3C337582" w14:textId="77777777" w:rsidR="00FF34C7" w:rsidRDefault="00FF34C7" w:rsidP="0055187E">
            <w:pPr>
              <w:spacing w:line="252" w:lineRule="auto"/>
            </w:pPr>
            <w:r>
              <w:rPr>
                <w:sz w:val="18"/>
                <w:szCs w:val="18"/>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FF34C7" w:rsidRDefault="00FF34C7" w:rsidP="0055187E">
            <w:pPr>
              <w:spacing w:line="252" w:lineRule="auto"/>
            </w:pPr>
            <w:r>
              <w:rPr>
                <w:sz w:val="18"/>
                <w:szCs w:val="18"/>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FF34C7" w:rsidRDefault="00FF34C7" w:rsidP="0055187E">
            <w:pPr>
              <w:spacing w:line="252" w:lineRule="auto"/>
            </w:pPr>
            <w:r>
              <w:rPr>
                <w:sz w:val="18"/>
                <w:szCs w:val="18"/>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FF34C7" w:rsidRDefault="00FF34C7" w:rsidP="0055187E">
            <w:pPr>
              <w:spacing w:line="252" w:lineRule="auto"/>
            </w:pPr>
            <w:r>
              <w:rPr>
                <w:sz w:val="18"/>
                <w:szCs w:val="18"/>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FF34C7" w:rsidRDefault="00FF34C7" w:rsidP="0055187E">
            <w:pPr>
              <w:spacing w:line="252" w:lineRule="auto"/>
            </w:pPr>
            <w:r>
              <w:rPr>
                <w:sz w:val="18"/>
                <w:szCs w:val="18"/>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FF34C7" w:rsidRDefault="00FF34C7" w:rsidP="0055187E">
            <w:pPr>
              <w:spacing w:line="252" w:lineRule="auto"/>
            </w:pPr>
            <w:r>
              <w:rPr>
                <w:sz w:val="18"/>
                <w:szCs w:val="18"/>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FF34C7" w:rsidRDefault="00FF34C7" w:rsidP="0055187E">
            <w:pPr>
              <w:spacing w:line="252" w:lineRule="auto"/>
            </w:pPr>
            <w:r>
              <w:rPr>
                <w:sz w:val="18"/>
                <w:szCs w:val="18"/>
              </w:rPr>
              <w:t>Exception patterns, operating impact, projection-only indicators and maturity reporting</w:t>
            </w:r>
          </w:p>
        </w:tc>
      </w:tr>
    </w:tbl>
    <w:p w14:paraId="4802ED90" w14:textId="77777777" w:rsidR="00FF34C7" w:rsidRDefault="00FF34C7" w:rsidP="00FF34C7">
      <w:pPr>
        <w:pStyle w:val="Heading2"/>
      </w:pPr>
      <w:bookmarkStart w:id="39" w:name="_Toc231224577"/>
      <w:r>
        <w:rPr>
          <w:rFonts w:ascii="Arial" w:eastAsia="Arial" w:hAnsi="Arial" w:cs="Arial"/>
          <w:b/>
          <w:bCs/>
          <w:color w:val="1F4D78"/>
          <w:sz w:val="26"/>
          <w:szCs w:val="26"/>
        </w:rPr>
        <w:t>16.3 Operating impact indicators</w:t>
      </w:r>
      <w:bookmarkEnd w:id="39"/>
    </w:p>
    <w:p w14:paraId="336086EE" w14:textId="77777777" w:rsidR="00FF34C7" w:rsidRDefault="00FF34C7" w:rsidP="00FF34C7">
      <w:pPr>
        <w:spacing w:before="60" w:after="120" w:line="276" w:lineRule="auto"/>
      </w:pPr>
      <w:r>
        <w:t>Where the required data is available, later release layers may expose projection-only operating indicators:</w:t>
      </w:r>
    </w:p>
    <w:p w14:paraId="1925153B" w14:textId="77777777" w:rsidR="00FF34C7" w:rsidRDefault="00FF34C7" w:rsidP="00FF34C7">
      <w:pPr>
        <w:pStyle w:val="ListParagraph"/>
        <w:numPr>
          <w:ilvl w:val="0"/>
          <w:numId w:val="2"/>
        </w:numPr>
        <w:spacing w:before="40" w:after="60"/>
        <w:contextualSpacing w:val="0"/>
      </w:pPr>
      <w:r>
        <w:t>laycan risk</w:t>
      </w:r>
    </w:p>
    <w:p w14:paraId="3EAC37D3" w14:textId="77777777" w:rsidR="00FF34C7" w:rsidRDefault="00FF34C7" w:rsidP="00FF34C7">
      <w:pPr>
        <w:pStyle w:val="ListParagraph"/>
        <w:numPr>
          <w:ilvl w:val="0"/>
          <w:numId w:val="2"/>
        </w:numPr>
        <w:spacing w:before="40" w:after="60"/>
        <w:contextualSpacing w:val="0"/>
      </w:pPr>
      <w:r>
        <w:t>waiting time</w:t>
      </w:r>
    </w:p>
    <w:p w14:paraId="6FE666C0" w14:textId="77777777" w:rsidR="00FF34C7" w:rsidRDefault="00FF34C7" w:rsidP="00FF34C7">
      <w:pPr>
        <w:pStyle w:val="ListParagraph"/>
        <w:numPr>
          <w:ilvl w:val="0"/>
          <w:numId w:val="2"/>
        </w:numPr>
        <w:spacing w:before="40" w:after="60"/>
        <w:contextualSpacing w:val="0"/>
      </w:pPr>
      <w:r>
        <w:t>fleet utilization</w:t>
      </w:r>
    </w:p>
    <w:p w14:paraId="7500D06E" w14:textId="77777777" w:rsidR="00FF34C7" w:rsidRDefault="00FF34C7" w:rsidP="00FF34C7">
      <w:pPr>
        <w:pStyle w:val="ListParagraph"/>
        <w:numPr>
          <w:ilvl w:val="0"/>
          <w:numId w:val="2"/>
        </w:numPr>
        <w:spacing w:before="40" w:after="60"/>
        <w:contextualSpacing w:val="0"/>
      </w:pPr>
      <w:r>
        <w:t>queue impact</w:t>
      </w:r>
    </w:p>
    <w:p w14:paraId="3B48EF64" w14:textId="77777777" w:rsidR="00FF34C7" w:rsidRDefault="00FF34C7" w:rsidP="00FF34C7">
      <w:pPr>
        <w:pStyle w:val="ListParagraph"/>
        <w:numPr>
          <w:ilvl w:val="0"/>
          <w:numId w:val="2"/>
        </w:numPr>
        <w:spacing w:before="40" w:after="60"/>
        <w:contextualSpacing w:val="0"/>
      </w:pPr>
      <w:r>
        <w:t>charter lead-time pressure</w:t>
      </w:r>
    </w:p>
    <w:p w14:paraId="7814AAAA" w14:textId="77777777" w:rsidR="00FF34C7" w:rsidRDefault="00FF34C7" w:rsidP="00FF34C7">
      <w:pPr>
        <w:pStyle w:val="ListParagraph"/>
        <w:numPr>
          <w:ilvl w:val="0"/>
          <w:numId w:val="2"/>
        </w:numPr>
        <w:spacing w:before="40" w:after="60"/>
        <w:contextualSpacing w:val="0"/>
      </w:pPr>
      <w:r>
        <w:t>demurrage exposure proxy.</w:t>
      </w:r>
    </w:p>
    <w:p w14:paraId="4BE425B5" w14:textId="77777777" w:rsidR="00FF34C7" w:rsidRDefault="00FF34C7" w:rsidP="00FF34C7">
      <w:pPr>
        <w:spacing w:before="60" w:after="120" w:line="276" w:lineRule="auto"/>
      </w:pPr>
      <w:r>
        <w:t>These indicators support planning and review. Final demurrage, despatch, invoicing and settlement remain separately scoped.</w:t>
      </w:r>
    </w:p>
    <w:p w14:paraId="0A87649A" w14:textId="77777777" w:rsidR="00FF34C7" w:rsidRDefault="00FF34C7" w:rsidP="00FF34C7">
      <w:pPr>
        <w:pStyle w:val="Heading1"/>
        <w:pBdr>
          <w:bottom w:val="single" w:sz="4" w:space="4" w:color="2E74B5"/>
        </w:pBdr>
      </w:pPr>
      <w:bookmarkStart w:id="40" w:name="_Toc231224578"/>
      <w:r>
        <w:rPr>
          <w:rFonts w:ascii="Arial" w:eastAsia="Arial" w:hAnsi="Arial" w:cs="Arial"/>
          <w:b/>
          <w:bCs/>
          <w:color w:val="0B2545"/>
          <w:sz w:val="32"/>
          <w:szCs w:val="32"/>
        </w:rPr>
        <w:lastRenderedPageBreak/>
        <w:t>17. Implementation Clarification</w:t>
      </w:r>
      <w:bookmarkEnd w:id="40"/>
    </w:p>
    <w:p w14:paraId="072B253E" w14:textId="77777777" w:rsidR="00FF34C7" w:rsidRDefault="00FF34C7" w:rsidP="00FF34C7">
      <w:pPr>
        <w:spacing w:before="60" w:after="120" w:line="276" w:lineRule="auto"/>
      </w:pPr>
      <w:r>
        <w:t>This extension defines the application build direction that follows the blueprinting and prototype scope.</w:t>
      </w:r>
    </w:p>
    <w:p w14:paraId="1D405EF8" w14:textId="77777777" w:rsidR="00FF34C7" w:rsidRDefault="00FF34C7" w:rsidP="00FF34C7">
      <w:pPr>
        <w:spacing w:before="60" w:after="120" w:line="276" w:lineRule="auto"/>
      </w:pPr>
      <w:r>
        <w:t>Final implementation timeline, team size and commercials will be confirmed after:</w:t>
      </w:r>
    </w:p>
    <w:p w14:paraId="49880059" w14:textId="77777777" w:rsidR="00FF34C7" w:rsidRDefault="00FF34C7" w:rsidP="00FF34C7">
      <w:pPr>
        <w:pStyle w:val="ListParagraph"/>
        <w:numPr>
          <w:ilvl w:val="0"/>
          <w:numId w:val="2"/>
        </w:numPr>
        <w:spacing w:before="40" w:after="60"/>
        <w:contextualSpacing w:val="0"/>
      </w:pPr>
      <w:r>
        <w:t>ABL and Berau validate the operational rules</w:t>
      </w:r>
    </w:p>
    <w:p w14:paraId="01822F47" w14:textId="77777777" w:rsidR="00FF34C7" w:rsidRDefault="00FF34C7" w:rsidP="00FF34C7">
      <w:pPr>
        <w:pStyle w:val="ListParagraph"/>
        <w:numPr>
          <w:ilvl w:val="0"/>
          <w:numId w:val="2"/>
        </w:numPr>
        <w:spacing w:before="40" w:after="60"/>
        <w:contextualSpacing w:val="0"/>
      </w:pPr>
      <w:r>
        <w:t>required external data sources are confirmed</w:t>
      </w:r>
    </w:p>
    <w:p w14:paraId="7A5C5B34" w14:textId="77777777" w:rsidR="00FF34C7" w:rsidRDefault="00FF34C7" w:rsidP="00FF34C7">
      <w:pPr>
        <w:pStyle w:val="ListParagraph"/>
        <w:numPr>
          <w:ilvl w:val="0"/>
          <w:numId w:val="2"/>
        </w:numPr>
        <w:spacing w:before="40" w:after="60"/>
        <w:contextualSpacing w:val="0"/>
      </w:pPr>
      <w:r>
        <w:t>integration owners and access methods are known</w:t>
      </w:r>
    </w:p>
    <w:p w14:paraId="4423E4BC" w14:textId="77777777" w:rsidR="00FF34C7" w:rsidRDefault="00FF34C7" w:rsidP="00FF34C7">
      <w:pPr>
        <w:pStyle w:val="ListParagraph"/>
        <w:numPr>
          <w:ilvl w:val="0"/>
          <w:numId w:val="2"/>
        </w:numPr>
        <w:spacing w:before="40" w:after="60"/>
        <w:contextualSpacing w:val="0"/>
      </w:pPr>
      <w:r>
        <w:t>master-data ownership is agreed</w:t>
      </w:r>
    </w:p>
    <w:p w14:paraId="300AD5A4" w14:textId="77777777" w:rsidR="00FF34C7" w:rsidRDefault="00FF34C7" w:rsidP="00FF34C7">
      <w:pPr>
        <w:pStyle w:val="ListParagraph"/>
        <w:numPr>
          <w:ilvl w:val="0"/>
          <w:numId w:val="2"/>
        </w:numPr>
        <w:spacing w:before="40" w:after="60"/>
        <w:contextualSpacing w:val="0"/>
      </w:pPr>
      <w:r>
        <w:t>pilot users and approval authorities are named</w:t>
      </w:r>
    </w:p>
    <w:p w14:paraId="2AB2CA26" w14:textId="77777777" w:rsidR="00FF34C7" w:rsidRDefault="00FF34C7" w:rsidP="00FF34C7">
      <w:pPr>
        <w:pStyle w:val="ListParagraph"/>
        <w:numPr>
          <w:ilvl w:val="0"/>
          <w:numId w:val="2"/>
        </w:numPr>
        <w:spacing w:before="40" w:after="60"/>
        <w:contextualSpacing w:val="0"/>
      </w:pPr>
      <w:r>
        <w:t>UAT scope and deployment environment are confirmed</w:t>
      </w:r>
    </w:p>
    <w:p w14:paraId="2801D7EB" w14:textId="77777777" w:rsidR="00FF34C7" w:rsidRDefault="00FF34C7" w:rsidP="00FF34C7">
      <w:pPr>
        <w:pStyle w:val="ListParagraph"/>
        <w:numPr>
          <w:ilvl w:val="0"/>
          <w:numId w:val="2"/>
        </w:numPr>
        <w:spacing w:before="40" w:after="60"/>
        <w:contextualSpacing w:val="0"/>
      </w:pPr>
      <w:r>
        <w:t>licensing and usage terms for Vector proprietary scheduling and scenario scaffolding are finalized.</w:t>
      </w:r>
    </w:p>
    <w:p w14:paraId="69C50A1E" w14:textId="77777777" w:rsidR="00FF34C7" w:rsidRDefault="00FF34C7" w:rsidP="00FF34C7">
      <w:pPr>
        <w:pStyle w:val="Heading1"/>
        <w:pBdr>
          <w:bottom w:val="single" w:sz="4" w:space="4" w:color="2E74B5"/>
        </w:pBdr>
      </w:pPr>
      <w:bookmarkStart w:id="41" w:name="_Toc231224579"/>
      <w:r>
        <w:rPr>
          <w:rFonts w:ascii="Arial" w:eastAsia="Arial" w:hAnsi="Arial" w:cs="Arial"/>
          <w:b/>
          <w:bCs/>
          <w:color w:val="0B2545"/>
          <w:sz w:val="32"/>
          <w:szCs w:val="32"/>
        </w:rPr>
        <w:t>18. Important Build Boundaries</w:t>
      </w:r>
      <w:bookmarkEnd w:id="41"/>
    </w:p>
    <w:p w14:paraId="47220022" w14:textId="77777777" w:rsidR="00FF34C7" w:rsidRDefault="00FF34C7" w:rsidP="00E31A28">
      <w:pPr>
        <w:pStyle w:val="ListParagraph"/>
        <w:numPr>
          <w:ilvl w:val="0"/>
          <w:numId w:val="6"/>
        </w:numPr>
        <w:spacing w:before="40" w:after="60"/>
        <w:contextualSpacing w:val="0"/>
      </w:pPr>
      <w:r>
        <w:t>GPS/AIS is evidence, not automatic truth.</w:t>
      </w:r>
    </w:p>
    <w:p w14:paraId="7E6BED04" w14:textId="77777777" w:rsidR="00FF34C7" w:rsidRDefault="00FF34C7" w:rsidP="00E31A28">
      <w:pPr>
        <w:pStyle w:val="ListParagraph"/>
        <w:numPr>
          <w:ilvl w:val="0"/>
          <w:numId w:val="6"/>
        </w:numPr>
        <w:spacing w:before="40" w:after="60"/>
        <w:contextualSpacing w:val="0"/>
      </w:pPr>
      <w:r>
        <w:t>Raw pings do not update the execution plan directly.</w:t>
      </w:r>
    </w:p>
    <w:p w14:paraId="0D70BC66" w14:textId="77777777" w:rsidR="00FF34C7" w:rsidRDefault="00FF34C7" w:rsidP="00E31A28">
      <w:pPr>
        <w:pStyle w:val="ListParagraph"/>
        <w:numPr>
          <w:ilvl w:val="0"/>
          <w:numId w:val="6"/>
        </w:numPr>
        <w:spacing w:before="40" w:after="60"/>
        <w:contextualSpacing w:val="0"/>
      </w:pPr>
      <w:r>
        <w:t>Confirmed field events update actual execution state.</w:t>
      </w:r>
    </w:p>
    <w:p w14:paraId="38F857F7" w14:textId="77777777" w:rsidR="00FF34C7" w:rsidRDefault="00FF34C7" w:rsidP="00E31A28">
      <w:pPr>
        <w:pStyle w:val="ListParagraph"/>
        <w:numPr>
          <w:ilvl w:val="0"/>
          <w:numId w:val="6"/>
        </w:numPr>
        <w:spacing w:before="40" w:after="60"/>
        <w:contextualSpacing w:val="0"/>
      </w:pPr>
      <w:r>
        <w:t>Recovery options are advisory until simulated, approved and checked for publish readiness.</w:t>
      </w:r>
    </w:p>
    <w:p w14:paraId="2A538070" w14:textId="77777777" w:rsidR="00FF34C7" w:rsidRDefault="00FF34C7" w:rsidP="00E31A28">
      <w:pPr>
        <w:pStyle w:val="ListParagraph"/>
        <w:numPr>
          <w:ilvl w:val="0"/>
          <w:numId w:val="6"/>
        </w:numPr>
        <w:spacing w:before="40" w:after="60"/>
        <w:contextualSpacing w:val="0"/>
      </w:pPr>
      <w:r>
        <w:t>Published plans remain immutable.</w:t>
      </w:r>
    </w:p>
    <w:p w14:paraId="60731D21" w14:textId="77777777" w:rsidR="00FF34C7" w:rsidRDefault="00FF34C7" w:rsidP="00E31A28">
      <w:pPr>
        <w:pStyle w:val="ListParagraph"/>
        <w:numPr>
          <w:ilvl w:val="0"/>
          <w:numId w:val="6"/>
        </w:numPr>
        <w:spacing w:before="40" w:after="60"/>
        <w:contextualSpacing w:val="0"/>
      </w:pPr>
      <w:r>
        <w:t>External visibility is governed through approved publication rules.</w:t>
      </w:r>
    </w:p>
    <w:p w14:paraId="3B317007" w14:textId="77777777" w:rsidR="00FF34C7" w:rsidRDefault="00FF34C7" w:rsidP="00E31A28">
      <w:pPr>
        <w:pStyle w:val="ListParagraph"/>
        <w:numPr>
          <w:ilvl w:val="0"/>
          <w:numId w:val="6"/>
        </w:numPr>
        <w:spacing w:before="40" w:after="60"/>
        <w:contextualSpacing w:val="0"/>
      </w:pPr>
      <w:r>
        <w:t>Commercial projection is not final settlement logic.</w:t>
      </w:r>
    </w:p>
    <w:p w14:paraId="72A38BBD" w14:textId="77777777" w:rsidR="00FF34C7" w:rsidRDefault="00FF34C7" w:rsidP="00E31A28">
      <w:pPr>
        <w:pStyle w:val="ListParagraph"/>
        <w:numPr>
          <w:ilvl w:val="0"/>
          <w:numId w:val="6"/>
        </w:numPr>
        <w:spacing w:before="40" w:after="60"/>
        <w:contextualSpacing w:val="0"/>
      </w:pPr>
      <w:r>
        <w:t>Synthetic proof data is acceptable for prototype and UAT, but production claims require real integration testing.</w:t>
      </w:r>
    </w:p>
    <w:p w14:paraId="0734D1A4" w14:textId="77777777" w:rsidR="00FF34C7" w:rsidRDefault="00FF34C7" w:rsidP="00E31A28">
      <w:pPr>
        <w:pStyle w:val="ListParagraph"/>
        <w:numPr>
          <w:ilvl w:val="0"/>
          <w:numId w:val="6"/>
        </w:numPr>
        <w:spacing w:before="40" w:after="60"/>
        <w:contextualSpacing w:val="0"/>
      </w:pPr>
      <w:r>
        <w:t>Planned, observed, confirmed, projected and recommended states remain separate.</w:t>
      </w:r>
    </w:p>
    <w:p w14:paraId="105B3D59" w14:textId="77777777" w:rsidR="00FF34C7" w:rsidRDefault="00FF34C7" w:rsidP="00FF34C7">
      <w:pPr>
        <w:pStyle w:val="Heading1"/>
        <w:pBdr>
          <w:bottom w:val="single" w:sz="4" w:space="4" w:color="2E74B5"/>
        </w:pBdr>
      </w:pPr>
      <w:bookmarkStart w:id="42" w:name="_Toc231224580"/>
      <w:r>
        <w:rPr>
          <w:rFonts w:ascii="Arial" w:eastAsia="Arial" w:hAnsi="Arial" w:cs="Arial"/>
          <w:b/>
          <w:bCs/>
          <w:color w:val="0B2545"/>
          <w:sz w:val="32"/>
          <w:szCs w:val="32"/>
        </w:rPr>
        <w:t>19. Glossary</w:t>
      </w:r>
      <w:bookmarkEnd w:id="4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55187E">
        <w:tc>
          <w:tcPr>
            <w:tcW w:w="2200" w:type="dxa"/>
            <w:shd w:val="clear" w:color="auto" w:fill="0B2545"/>
            <w:tcMar>
              <w:top w:w="80" w:type="dxa"/>
              <w:left w:w="120" w:type="dxa"/>
              <w:bottom w:w="80" w:type="dxa"/>
              <w:right w:w="120" w:type="dxa"/>
            </w:tcMar>
          </w:tcPr>
          <w:p w14:paraId="174D3EB9" w14:textId="77777777" w:rsidR="00FF34C7" w:rsidRDefault="00FF34C7" w:rsidP="0055187E">
            <w:r>
              <w:rPr>
                <w:b/>
                <w:bCs/>
                <w:color w:val="FFFFFF"/>
                <w:sz w:val="18"/>
                <w:szCs w:val="18"/>
              </w:rPr>
              <w:t>Term</w:t>
            </w:r>
          </w:p>
        </w:tc>
        <w:tc>
          <w:tcPr>
            <w:tcW w:w="7160" w:type="dxa"/>
            <w:shd w:val="clear" w:color="auto" w:fill="0B2545"/>
            <w:tcMar>
              <w:top w:w="80" w:type="dxa"/>
              <w:left w:w="120" w:type="dxa"/>
              <w:bottom w:w="80" w:type="dxa"/>
              <w:right w:w="120" w:type="dxa"/>
            </w:tcMar>
          </w:tcPr>
          <w:p w14:paraId="096C0C50" w14:textId="77777777" w:rsidR="00FF34C7" w:rsidRDefault="00FF34C7" w:rsidP="0055187E">
            <w:r>
              <w:rPr>
                <w:b/>
                <w:bCs/>
                <w:color w:val="FFFFFF"/>
                <w:sz w:val="18"/>
                <w:szCs w:val="18"/>
              </w:rPr>
              <w:t>Definition</w:t>
            </w:r>
          </w:p>
        </w:tc>
      </w:tr>
      <w:tr w:rsidR="00FF34C7" w14:paraId="305990C4" w14:textId="77777777" w:rsidTr="0055187E">
        <w:tc>
          <w:tcPr>
            <w:tcW w:w="2200" w:type="dxa"/>
            <w:shd w:val="clear" w:color="auto" w:fill="F4F6F9"/>
            <w:tcMar>
              <w:top w:w="80" w:type="dxa"/>
              <w:left w:w="120" w:type="dxa"/>
              <w:bottom w:w="80" w:type="dxa"/>
              <w:right w:w="120" w:type="dxa"/>
            </w:tcMar>
          </w:tcPr>
          <w:p w14:paraId="3B63C1E2" w14:textId="77777777" w:rsidR="00FF34C7" w:rsidRDefault="00FF34C7" w:rsidP="0055187E">
            <w:r>
              <w:rPr>
                <w:b/>
                <w:bCs/>
                <w:color w:val="0B2545"/>
                <w:sz w:val="18"/>
                <w:szCs w:val="18"/>
              </w:rPr>
              <w:t>ABL</w:t>
            </w:r>
          </w:p>
        </w:tc>
        <w:tc>
          <w:tcPr>
            <w:tcW w:w="7160" w:type="dxa"/>
            <w:shd w:val="clear" w:color="auto" w:fill="F4F6F9"/>
            <w:tcMar>
              <w:top w:w="80" w:type="dxa"/>
              <w:left w:w="120" w:type="dxa"/>
              <w:bottom w:w="80" w:type="dxa"/>
              <w:right w:w="120" w:type="dxa"/>
            </w:tcMar>
          </w:tcPr>
          <w:p w14:paraId="7D11D65C" w14:textId="77777777" w:rsidR="00FF34C7" w:rsidRDefault="00FF34C7" w:rsidP="0055187E">
            <w:r>
              <w:rPr>
                <w:sz w:val="18"/>
                <w:szCs w:val="18"/>
              </w:rPr>
              <w:t>The operating organization responsible for transshipment logistics coordination in this proposal context.</w:t>
            </w:r>
          </w:p>
        </w:tc>
      </w:tr>
      <w:tr w:rsidR="00FF34C7" w14:paraId="0366845B" w14:textId="77777777" w:rsidTr="0055187E">
        <w:tc>
          <w:tcPr>
            <w:tcW w:w="2200" w:type="dxa"/>
            <w:shd w:val="clear" w:color="auto" w:fill="FFFFFF"/>
            <w:tcMar>
              <w:top w:w="80" w:type="dxa"/>
              <w:left w:w="120" w:type="dxa"/>
              <w:bottom w:w="80" w:type="dxa"/>
              <w:right w:w="120" w:type="dxa"/>
            </w:tcMar>
          </w:tcPr>
          <w:p w14:paraId="77138717" w14:textId="77777777" w:rsidR="00FF34C7" w:rsidRDefault="00FF34C7" w:rsidP="0055187E">
            <w:r>
              <w:rPr>
                <w:b/>
                <w:bCs/>
                <w:color w:val="0B2545"/>
                <w:sz w:val="18"/>
                <w:szCs w:val="18"/>
              </w:rPr>
              <w:t>AIS</w:t>
            </w:r>
          </w:p>
        </w:tc>
        <w:tc>
          <w:tcPr>
            <w:tcW w:w="7160" w:type="dxa"/>
            <w:shd w:val="clear" w:color="auto" w:fill="FFFFFF"/>
            <w:tcMar>
              <w:top w:w="80" w:type="dxa"/>
              <w:left w:w="120" w:type="dxa"/>
              <w:bottom w:w="80" w:type="dxa"/>
              <w:right w:w="120" w:type="dxa"/>
            </w:tcMar>
          </w:tcPr>
          <w:p w14:paraId="43328008" w14:textId="77777777" w:rsidR="00FF34C7" w:rsidRDefault="00FF34C7" w:rsidP="0055187E">
            <w:r>
              <w:rPr>
                <w:sz w:val="18"/>
                <w:szCs w:val="18"/>
              </w:rPr>
              <w:t>Automatic Identification System, a marine tracking signal used to identify vessel location, heading, speed and related navigation information.</w:t>
            </w:r>
          </w:p>
        </w:tc>
      </w:tr>
      <w:tr w:rsidR="00FF34C7" w14:paraId="092D1CA0" w14:textId="77777777" w:rsidTr="0055187E">
        <w:tc>
          <w:tcPr>
            <w:tcW w:w="2200" w:type="dxa"/>
            <w:shd w:val="clear" w:color="auto" w:fill="F4F6F9"/>
            <w:tcMar>
              <w:top w:w="80" w:type="dxa"/>
              <w:left w:w="120" w:type="dxa"/>
              <w:bottom w:w="80" w:type="dxa"/>
              <w:right w:w="120" w:type="dxa"/>
            </w:tcMar>
          </w:tcPr>
          <w:p w14:paraId="0EF05B8C" w14:textId="77777777" w:rsidR="00FF34C7" w:rsidRDefault="00FF34C7" w:rsidP="0055187E">
            <w:r>
              <w:rPr>
                <w:b/>
                <w:bCs/>
                <w:color w:val="0B2545"/>
                <w:sz w:val="18"/>
                <w:szCs w:val="18"/>
              </w:rPr>
              <w:t>BLC</w:t>
            </w:r>
          </w:p>
        </w:tc>
        <w:tc>
          <w:tcPr>
            <w:tcW w:w="7160" w:type="dxa"/>
            <w:shd w:val="clear" w:color="auto" w:fill="F4F6F9"/>
            <w:tcMar>
              <w:top w:w="80" w:type="dxa"/>
              <w:left w:w="120" w:type="dxa"/>
              <w:bottom w:w="80" w:type="dxa"/>
              <w:right w:w="120" w:type="dxa"/>
            </w:tcMar>
          </w:tcPr>
          <w:p w14:paraId="35F4BE16" w14:textId="77777777" w:rsidR="00FF34C7" w:rsidRDefault="00FF34C7" w:rsidP="0055187E">
            <w:r>
              <w:rPr>
                <w:sz w:val="18"/>
                <w:szCs w:val="18"/>
              </w:rPr>
              <w:t>Barge Loading Conveyor or barge loading capability used at jetty/loading points for coal movement into barges.</w:t>
            </w:r>
          </w:p>
        </w:tc>
      </w:tr>
      <w:tr w:rsidR="00FF34C7" w14:paraId="4D58E599" w14:textId="77777777" w:rsidTr="0055187E">
        <w:tc>
          <w:tcPr>
            <w:tcW w:w="2200" w:type="dxa"/>
            <w:shd w:val="clear" w:color="auto" w:fill="FFFFFF"/>
            <w:tcMar>
              <w:top w:w="80" w:type="dxa"/>
              <w:left w:w="120" w:type="dxa"/>
              <w:bottom w:w="80" w:type="dxa"/>
              <w:right w:w="120" w:type="dxa"/>
            </w:tcMar>
          </w:tcPr>
          <w:p w14:paraId="22AFD64E" w14:textId="77777777" w:rsidR="00FF34C7" w:rsidRDefault="00FF34C7" w:rsidP="0055187E">
            <w:r>
              <w:rPr>
                <w:b/>
                <w:bCs/>
                <w:color w:val="0B2545"/>
                <w:sz w:val="18"/>
                <w:szCs w:val="18"/>
              </w:rPr>
              <w:t>Berau</w:t>
            </w:r>
          </w:p>
        </w:tc>
        <w:tc>
          <w:tcPr>
            <w:tcW w:w="7160" w:type="dxa"/>
            <w:shd w:val="clear" w:color="auto" w:fill="FFFFFF"/>
            <w:tcMar>
              <w:top w:w="80" w:type="dxa"/>
              <w:left w:w="120" w:type="dxa"/>
              <w:bottom w:w="80" w:type="dxa"/>
              <w:right w:w="120" w:type="dxa"/>
            </w:tcMar>
          </w:tcPr>
          <w:p w14:paraId="4EBD404F" w14:textId="77777777" w:rsidR="00FF34C7" w:rsidRDefault="00FF34C7" w:rsidP="0055187E">
            <w:r>
              <w:rPr>
                <w:sz w:val="18"/>
                <w:szCs w:val="18"/>
              </w:rPr>
              <w:t>Berau Coal, the shipment-demand context for the proposed ABL operating blueprint.</w:t>
            </w:r>
          </w:p>
        </w:tc>
      </w:tr>
      <w:tr w:rsidR="00FF34C7" w14:paraId="2D0E00B1" w14:textId="77777777" w:rsidTr="0055187E">
        <w:tc>
          <w:tcPr>
            <w:tcW w:w="2200" w:type="dxa"/>
            <w:shd w:val="clear" w:color="auto" w:fill="F4F6F9"/>
            <w:tcMar>
              <w:top w:w="80" w:type="dxa"/>
              <w:left w:w="120" w:type="dxa"/>
              <w:bottom w:w="80" w:type="dxa"/>
              <w:right w:w="120" w:type="dxa"/>
            </w:tcMar>
          </w:tcPr>
          <w:p w14:paraId="666D02AF" w14:textId="77777777" w:rsidR="00FF34C7" w:rsidRDefault="00FF34C7" w:rsidP="0055187E">
            <w:r>
              <w:rPr>
                <w:b/>
                <w:bCs/>
                <w:color w:val="0B2545"/>
                <w:sz w:val="18"/>
                <w:szCs w:val="18"/>
              </w:rPr>
              <w:t>Bridge window</w:t>
            </w:r>
          </w:p>
        </w:tc>
        <w:tc>
          <w:tcPr>
            <w:tcW w:w="7160" w:type="dxa"/>
            <w:shd w:val="clear" w:color="auto" w:fill="F4F6F9"/>
            <w:tcMar>
              <w:top w:w="80" w:type="dxa"/>
              <w:left w:w="120" w:type="dxa"/>
              <w:bottom w:w="80" w:type="dxa"/>
              <w:right w:w="120" w:type="dxa"/>
            </w:tcMar>
          </w:tcPr>
          <w:p w14:paraId="7F0CE72F" w14:textId="77777777" w:rsidR="00FF34C7" w:rsidRDefault="00FF34C7" w:rsidP="0055187E">
            <w:r>
              <w:rPr>
                <w:sz w:val="18"/>
                <w:szCs w:val="18"/>
              </w:rPr>
              <w:t>A permitted time range for a tug-barge movement to pass a bridge based on opening rules, navigation safety or operating coordination.</w:t>
            </w:r>
          </w:p>
        </w:tc>
      </w:tr>
      <w:tr w:rsidR="00FF34C7" w14:paraId="175BE2F5" w14:textId="77777777" w:rsidTr="0055187E">
        <w:tc>
          <w:tcPr>
            <w:tcW w:w="2200" w:type="dxa"/>
            <w:shd w:val="clear" w:color="auto" w:fill="FFFFFF"/>
            <w:tcMar>
              <w:top w:w="80" w:type="dxa"/>
              <w:left w:w="120" w:type="dxa"/>
              <w:bottom w:w="80" w:type="dxa"/>
              <w:right w:w="120" w:type="dxa"/>
            </w:tcMar>
          </w:tcPr>
          <w:p w14:paraId="0D3D61A4" w14:textId="77777777" w:rsidR="00FF34C7" w:rsidRDefault="00FF34C7" w:rsidP="0055187E">
            <w:r>
              <w:rPr>
                <w:b/>
                <w:bCs/>
                <w:color w:val="0B2545"/>
                <w:sz w:val="18"/>
                <w:szCs w:val="18"/>
              </w:rPr>
              <w:t>Candidate movement</w:t>
            </w:r>
          </w:p>
        </w:tc>
        <w:tc>
          <w:tcPr>
            <w:tcW w:w="7160" w:type="dxa"/>
            <w:shd w:val="clear" w:color="auto" w:fill="FFFFFF"/>
            <w:tcMar>
              <w:top w:w="80" w:type="dxa"/>
              <w:left w:w="120" w:type="dxa"/>
              <w:bottom w:w="80" w:type="dxa"/>
              <w:right w:w="120" w:type="dxa"/>
            </w:tcMar>
          </w:tcPr>
          <w:p w14:paraId="06D7942B" w14:textId="77777777" w:rsidR="00FF34C7" w:rsidRDefault="00FF34C7" w:rsidP="0055187E">
            <w:r>
              <w:rPr>
                <w:sz w:val="18"/>
                <w:szCs w:val="18"/>
              </w:rPr>
              <w:t>A possible scheduled movement generated by the planning logic before it is accepted into a draft or published plan.</w:t>
            </w:r>
          </w:p>
        </w:tc>
      </w:tr>
      <w:tr w:rsidR="00FF34C7" w14:paraId="563DA076" w14:textId="77777777" w:rsidTr="0055187E">
        <w:tc>
          <w:tcPr>
            <w:tcW w:w="2200" w:type="dxa"/>
            <w:shd w:val="clear" w:color="auto" w:fill="F4F6F9"/>
            <w:tcMar>
              <w:top w:w="80" w:type="dxa"/>
              <w:left w:w="120" w:type="dxa"/>
              <w:bottom w:w="80" w:type="dxa"/>
              <w:right w:w="120" w:type="dxa"/>
            </w:tcMar>
          </w:tcPr>
          <w:p w14:paraId="3B1E805C" w14:textId="77777777" w:rsidR="00FF34C7" w:rsidRDefault="00FF34C7" w:rsidP="0055187E">
            <w:r>
              <w:rPr>
                <w:b/>
                <w:bCs/>
                <w:color w:val="0B2545"/>
                <w:sz w:val="18"/>
                <w:szCs w:val="18"/>
              </w:rPr>
              <w:t>Cargo layer sequence</w:t>
            </w:r>
          </w:p>
        </w:tc>
        <w:tc>
          <w:tcPr>
            <w:tcW w:w="7160" w:type="dxa"/>
            <w:shd w:val="clear" w:color="auto" w:fill="F4F6F9"/>
            <w:tcMar>
              <w:top w:w="80" w:type="dxa"/>
              <w:left w:w="120" w:type="dxa"/>
              <w:bottom w:w="80" w:type="dxa"/>
              <w:right w:w="120" w:type="dxa"/>
            </w:tcMar>
          </w:tcPr>
          <w:p w14:paraId="1C2F1B79" w14:textId="77777777" w:rsidR="00FF34C7" w:rsidRDefault="00FF34C7" w:rsidP="0055187E">
            <w:r>
              <w:rPr>
                <w:sz w:val="18"/>
                <w:szCs w:val="18"/>
              </w:rPr>
              <w:t>The required sequence in which coal grades or cargo layers are loaded into an OGV hold or hatch.</w:t>
            </w:r>
          </w:p>
        </w:tc>
      </w:tr>
      <w:tr w:rsidR="00FF34C7" w14:paraId="3A888F06" w14:textId="77777777" w:rsidTr="0055187E">
        <w:tc>
          <w:tcPr>
            <w:tcW w:w="2200" w:type="dxa"/>
            <w:shd w:val="clear" w:color="auto" w:fill="FFFFFF"/>
            <w:tcMar>
              <w:top w:w="80" w:type="dxa"/>
              <w:left w:w="120" w:type="dxa"/>
              <w:bottom w:w="80" w:type="dxa"/>
              <w:right w:w="120" w:type="dxa"/>
            </w:tcMar>
          </w:tcPr>
          <w:p w14:paraId="1541AEDA" w14:textId="77777777" w:rsidR="00FF34C7" w:rsidRDefault="00FF34C7" w:rsidP="0055187E">
            <w:r>
              <w:rPr>
                <w:b/>
                <w:bCs/>
                <w:color w:val="0B2545"/>
                <w:sz w:val="18"/>
                <w:szCs w:val="18"/>
              </w:rPr>
              <w:t>Constraint</w:t>
            </w:r>
          </w:p>
        </w:tc>
        <w:tc>
          <w:tcPr>
            <w:tcW w:w="7160" w:type="dxa"/>
            <w:shd w:val="clear" w:color="auto" w:fill="FFFFFF"/>
            <w:tcMar>
              <w:top w:w="80" w:type="dxa"/>
              <w:left w:w="120" w:type="dxa"/>
              <w:bottom w:w="80" w:type="dxa"/>
              <w:right w:w="120" w:type="dxa"/>
            </w:tcMar>
          </w:tcPr>
          <w:p w14:paraId="13DDAED3" w14:textId="77777777" w:rsidR="00FF34C7" w:rsidRDefault="00FF34C7" w:rsidP="0055187E">
            <w:r>
              <w:rPr>
                <w:sz w:val="18"/>
                <w:szCs w:val="18"/>
              </w:rPr>
              <w:t>A limiting factor that affects whether a movement can be planned, such as asset availability, tide timing, bridge opening, jetty capacity or cargo readiness.</w:t>
            </w:r>
          </w:p>
        </w:tc>
      </w:tr>
      <w:tr w:rsidR="00FF34C7" w14:paraId="13D17EE7" w14:textId="77777777" w:rsidTr="0055187E">
        <w:tc>
          <w:tcPr>
            <w:tcW w:w="2200" w:type="dxa"/>
            <w:shd w:val="clear" w:color="auto" w:fill="F4F6F9"/>
            <w:tcMar>
              <w:top w:w="80" w:type="dxa"/>
              <w:left w:w="120" w:type="dxa"/>
              <w:bottom w:w="80" w:type="dxa"/>
              <w:right w:w="120" w:type="dxa"/>
            </w:tcMar>
          </w:tcPr>
          <w:p w14:paraId="23E39FC4" w14:textId="77777777" w:rsidR="00FF34C7" w:rsidRDefault="00FF34C7" w:rsidP="0055187E">
            <w:r>
              <w:rPr>
                <w:b/>
                <w:bCs/>
                <w:color w:val="0B2545"/>
                <w:sz w:val="18"/>
                <w:szCs w:val="18"/>
              </w:rPr>
              <w:lastRenderedPageBreak/>
              <w:t>CTS</w:t>
            </w:r>
          </w:p>
        </w:tc>
        <w:tc>
          <w:tcPr>
            <w:tcW w:w="7160" w:type="dxa"/>
            <w:shd w:val="clear" w:color="auto" w:fill="F4F6F9"/>
            <w:tcMar>
              <w:top w:w="80" w:type="dxa"/>
              <w:left w:w="120" w:type="dxa"/>
              <w:bottom w:w="80" w:type="dxa"/>
              <w:right w:w="120" w:type="dxa"/>
            </w:tcMar>
          </w:tcPr>
          <w:p w14:paraId="6E74D9B9" w14:textId="77777777" w:rsidR="00FF34C7" w:rsidRDefault="00FF34C7" w:rsidP="0055187E">
            <w:r>
              <w:rPr>
                <w:sz w:val="18"/>
                <w:szCs w:val="18"/>
              </w:rPr>
              <w:t>Coal Transshipment Station or transshipment asset used for floating transfer/discharge operations between barges and ocean-going vessels.</w:t>
            </w:r>
          </w:p>
        </w:tc>
      </w:tr>
      <w:tr w:rsidR="00FF34C7" w14:paraId="125D31AE" w14:textId="77777777" w:rsidTr="0055187E">
        <w:tc>
          <w:tcPr>
            <w:tcW w:w="2200" w:type="dxa"/>
            <w:shd w:val="clear" w:color="auto" w:fill="FFFFFF"/>
            <w:tcMar>
              <w:top w:w="80" w:type="dxa"/>
              <w:left w:w="120" w:type="dxa"/>
              <w:bottom w:w="80" w:type="dxa"/>
              <w:right w:w="120" w:type="dxa"/>
            </w:tcMar>
          </w:tcPr>
          <w:p w14:paraId="66FE1E96" w14:textId="77777777" w:rsidR="00FF34C7" w:rsidRDefault="00FF34C7" w:rsidP="0055187E">
            <w:r>
              <w:rPr>
                <w:b/>
                <w:bCs/>
                <w:color w:val="0B2545"/>
                <w:sz w:val="18"/>
                <w:szCs w:val="18"/>
              </w:rPr>
              <w:t>Demurrage exposure proxy</w:t>
            </w:r>
          </w:p>
        </w:tc>
        <w:tc>
          <w:tcPr>
            <w:tcW w:w="7160" w:type="dxa"/>
            <w:shd w:val="clear" w:color="auto" w:fill="FFFFFF"/>
            <w:tcMar>
              <w:top w:w="80" w:type="dxa"/>
              <w:left w:w="120" w:type="dxa"/>
              <w:bottom w:w="80" w:type="dxa"/>
              <w:right w:w="120" w:type="dxa"/>
            </w:tcMar>
          </w:tcPr>
          <w:p w14:paraId="3DE842F3" w14:textId="77777777" w:rsidR="00FF34C7" w:rsidRDefault="00FF34C7" w:rsidP="0055187E">
            <w:r>
              <w:rPr>
                <w:sz w:val="18"/>
                <w:szCs w:val="18"/>
              </w:rPr>
              <w:t>A planning indicator that estimates potential commercial exposure due to waiting or delay. It is not final settlement logic.</w:t>
            </w:r>
          </w:p>
        </w:tc>
      </w:tr>
      <w:tr w:rsidR="00FF34C7" w14:paraId="01C4E088" w14:textId="77777777" w:rsidTr="0055187E">
        <w:tc>
          <w:tcPr>
            <w:tcW w:w="2200" w:type="dxa"/>
            <w:shd w:val="clear" w:color="auto" w:fill="F4F6F9"/>
            <w:tcMar>
              <w:top w:w="80" w:type="dxa"/>
              <w:left w:w="120" w:type="dxa"/>
              <w:bottom w:w="80" w:type="dxa"/>
              <w:right w:w="120" w:type="dxa"/>
            </w:tcMar>
          </w:tcPr>
          <w:p w14:paraId="1C47AC0A" w14:textId="77777777" w:rsidR="00FF34C7" w:rsidRDefault="00FF34C7" w:rsidP="0055187E">
            <w:r>
              <w:rPr>
                <w:b/>
                <w:bCs/>
                <w:color w:val="0B2545"/>
                <w:sz w:val="18"/>
                <w:szCs w:val="18"/>
              </w:rPr>
              <w:t>Dynamic constraint</w:t>
            </w:r>
          </w:p>
        </w:tc>
        <w:tc>
          <w:tcPr>
            <w:tcW w:w="7160" w:type="dxa"/>
            <w:shd w:val="clear" w:color="auto" w:fill="F4F6F9"/>
            <w:tcMar>
              <w:top w:w="80" w:type="dxa"/>
              <w:left w:w="120" w:type="dxa"/>
              <w:bottom w:w="80" w:type="dxa"/>
              <w:right w:w="120" w:type="dxa"/>
            </w:tcMar>
          </w:tcPr>
          <w:p w14:paraId="049FCE95" w14:textId="77777777" w:rsidR="00FF34C7" w:rsidRDefault="00FF34C7" w:rsidP="0055187E">
            <w:r>
              <w:rPr>
                <w:sz w:val="18"/>
                <w:szCs w:val="18"/>
              </w:rPr>
              <w:t>A constraint whose value or effect changes during operations, such as tide level, bridge availability, equipment status or asset position.</w:t>
            </w:r>
          </w:p>
        </w:tc>
      </w:tr>
      <w:tr w:rsidR="00FF34C7" w14:paraId="1787F69E" w14:textId="77777777" w:rsidTr="0055187E">
        <w:tc>
          <w:tcPr>
            <w:tcW w:w="2200" w:type="dxa"/>
            <w:shd w:val="clear" w:color="auto" w:fill="FFFFFF"/>
            <w:tcMar>
              <w:top w:w="80" w:type="dxa"/>
              <w:left w:w="120" w:type="dxa"/>
              <w:bottom w:w="80" w:type="dxa"/>
              <w:right w:w="120" w:type="dxa"/>
            </w:tcMar>
          </w:tcPr>
          <w:p w14:paraId="78E66FEF" w14:textId="77777777" w:rsidR="00FF34C7" w:rsidRDefault="00FF34C7" w:rsidP="0055187E">
            <w:r>
              <w:rPr>
                <w:b/>
                <w:bCs/>
                <w:color w:val="0B2545"/>
                <w:sz w:val="18"/>
                <w:szCs w:val="18"/>
              </w:rPr>
              <w:t>Feasibility check</w:t>
            </w:r>
          </w:p>
        </w:tc>
        <w:tc>
          <w:tcPr>
            <w:tcW w:w="7160" w:type="dxa"/>
            <w:shd w:val="clear" w:color="auto" w:fill="FFFFFF"/>
            <w:tcMar>
              <w:top w:w="80" w:type="dxa"/>
              <w:left w:w="120" w:type="dxa"/>
              <w:bottom w:w="80" w:type="dxa"/>
              <w:right w:w="120" w:type="dxa"/>
            </w:tcMar>
          </w:tcPr>
          <w:p w14:paraId="3B611C50" w14:textId="77777777" w:rsidR="00FF34C7" w:rsidRDefault="00FF34C7" w:rsidP="0055187E">
            <w:r>
              <w:rPr>
                <w:sz w:val="18"/>
                <w:szCs w:val="18"/>
              </w:rPr>
              <w:t>A schedule validation step that confirms whether a movement can be placed within eligible resources and valid operating windows.</w:t>
            </w:r>
          </w:p>
        </w:tc>
      </w:tr>
      <w:tr w:rsidR="00FF34C7" w14:paraId="299B60DC" w14:textId="77777777" w:rsidTr="0055187E">
        <w:tc>
          <w:tcPr>
            <w:tcW w:w="2200" w:type="dxa"/>
            <w:shd w:val="clear" w:color="auto" w:fill="F4F6F9"/>
            <w:tcMar>
              <w:top w:w="80" w:type="dxa"/>
              <w:left w:w="120" w:type="dxa"/>
              <w:bottom w:w="80" w:type="dxa"/>
              <w:right w:w="120" w:type="dxa"/>
            </w:tcMar>
          </w:tcPr>
          <w:p w14:paraId="560CBECC" w14:textId="77777777" w:rsidR="00FF34C7" w:rsidRDefault="00FF34C7" w:rsidP="0055187E">
            <w:r>
              <w:rPr>
                <w:b/>
                <w:bCs/>
                <w:color w:val="0B2545"/>
                <w:sz w:val="18"/>
                <w:szCs w:val="18"/>
              </w:rPr>
              <w:t>Geofence</w:t>
            </w:r>
          </w:p>
        </w:tc>
        <w:tc>
          <w:tcPr>
            <w:tcW w:w="7160" w:type="dxa"/>
            <w:shd w:val="clear" w:color="auto" w:fill="F4F6F9"/>
            <w:tcMar>
              <w:top w:w="80" w:type="dxa"/>
              <w:left w:w="120" w:type="dxa"/>
              <w:bottom w:w="80" w:type="dxa"/>
              <w:right w:w="120" w:type="dxa"/>
            </w:tcMar>
          </w:tcPr>
          <w:p w14:paraId="4200892D" w14:textId="77777777" w:rsidR="00FF34C7" w:rsidRDefault="00FF34C7" w:rsidP="0055187E">
            <w:r>
              <w:rPr>
                <w:sz w:val="18"/>
                <w:szCs w:val="18"/>
              </w:rPr>
              <w:t>A virtual geographic boundary used to detect whether an asset has entered, exited or remained within an operating zone.</w:t>
            </w:r>
          </w:p>
        </w:tc>
      </w:tr>
      <w:tr w:rsidR="00FF34C7" w14:paraId="372EE779" w14:textId="77777777" w:rsidTr="0055187E">
        <w:tc>
          <w:tcPr>
            <w:tcW w:w="2200" w:type="dxa"/>
            <w:shd w:val="clear" w:color="auto" w:fill="FFFFFF"/>
            <w:tcMar>
              <w:top w:w="80" w:type="dxa"/>
              <w:left w:w="120" w:type="dxa"/>
              <w:bottom w:w="80" w:type="dxa"/>
              <w:right w:w="120" w:type="dxa"/>
            </w:tcMar>
          </w:tcPr>
          <w:p w14:paraId="48DFA5C6" w14:textId="77777777" w:rsidR="00FF34C7" w:rsidRDefault="00FF34C7" w:rsidP="0055187E">
            <w:r>
              <w:rPr>
                <w:b/>
                <w:bCs/>
                <w:color w:val="0B2545"/>
                <w:sz w:val="18"/>
                <w:szCs w:val="18"/>
              </w:rPr>
              <w:t>Governed scheduling spine</w:t>
            </w:r>
          </w:p>
        </w:tc>
        <w:tc>
          <w:tcPr>
            <w:tcW w:w="7160" w:type="dxa"/>
            <w:shd w:val="clear" w:color="auto" w:fill="FFFFFF"/>
            <w:tcMar>
              <w:top w:w="80" w:type="dxa"/>
              <w:left w:w="120" w:type="dxa"/>
              <w:bottom w:w="80" w:type="dxa"/>
              <w:right w:w="120" w:type="dxa"/>
            </w:tcMar>
          </w:tcPr>
          <w:p w14:paraId="46E76C34" w14:textId="77777777" w:rsidR="00FF34C7" w:rsidRDefault="00FF34C7" w:rsidP="0055187E">
            <w:r>
              <w:rPr>
                <w:sz w:val="18"/>
                <w:szCs w:val="18"/>
              </w:rPr>
              <w:t>The controlled planning workflow from demand intake through schedule generation, conflict review, approval, publish and export.</w:t>
            </w:r>
          </w:p>
        </w:tc>
      </w:tr>
      <w:tr w:rsidR="00FF34C7" w14:paraId="309EE981" w14:textId="77777777" w:rsidTr="0055187E">
        <w:tc>
          <w:tcPr>
            <w:tcW w:w="2200" w:type="dxa"/>
            <w:shd w:val="clear" w:color="auto" w:fill="F4F6F9"/>
            <w:tcMar>
              <w:top w:w="80" w:type="dxa"/>
              <w:left w:w="120" w:type="dxa"/>
              <w:bottom w:w="80" w:type="dxa"/>
              <w:right w:w="120" w:type="dxa"/>
            </w:tcMar>
          </w:tcPr>
          <w:p w14:paraId="1D72EBF8" w14:textId="77777777" w:rsidR="00FF34C7" w:rsidRDefault="00FF34C7" w:rsidP="0055187E">
            <w:r>
              <w:rPr>
                <w:b/>
                <w:bCs/>
                <w:color w:val="0B2545"/>
                <w:sz w:val="18"/>
                <w:szCs w:val="18"/>
              </w:rPr>
              <w:t>Jetty</w:t>
            </w:r>
          </w:p>
        </w:tc>
        <w:tc>
          <w:tcPr>
            <w:tcW w:w="7160" w:type="dxa"/>
            <w:shd w:val="clear" w:color="auto" w:fill="F4F6F9"/>
            <w:tcMar>
              <w:top w:w="80" w:type="dxa"/>
              <w:left w:w="120" w:type="dxa"/>
              <w:bottom w:w="80" w:type="dxa"/>
              <w:right w:w="120" w:type="dxa"/>
            </w:tcMar>
          </w:tcPr>
          <w:p w14:paraId="5CD348DB" w14:textId="77777777" w:rsidR="00FF34C7" w:rsidRDefault="00FF34C7" w:rsidP="0055187E">
            <w:r>
              <w:rPr>
                <w:sz w:val="18"/>
                <w:szCs w:val="18"/>
              </w:rPr>
              <w:t>The loading point where cargo is transferred to barges before movement toward CTS or OGV operations.</w:t>
            </w:r>
          </w:p>
        </w:tc>
      </w:tr>
      <w:tr w:rsidR="00FF34C7" w14:paraId="30717869" w14:textId="77777777" w:rsidTr="0055187E">
        <w:tc>
          <w:tcPr>
            <w:tcW w:w="2200" w:type="dxa"/>
            <w:shd w:val="clear" w:color="auto" w:fill="FFFFFF"/>
            <w:tcMar>
              <w:top w:w="80" w:type="dxa"/>
              <w:left w:w="120" w:type="dxa"/>
              <w:bottom w:w="80" w:type="dxa"/>
              <w:right w:w="120" w:type="dxa"/>
            </w:tcMar>
          </w:tcPr>
          <w:p w14:paraId="5B70BB93" w14:textId="77777777" w:rsidR="00FF34C7" w:rsidRDefault="00FF34C7" w:rsidP="0055187E">
            <w:r>
              <w:rPr>
                <w:b/>
                <w:bCs/>
                <w:color w:val="0B2545"/>
                <w:sz w:val="18"/>
                <w:szCs w:val="18"/>
              </w:rPr>
              <w:t>Laycan</w:t>
            </w:r>
          </w:p>
        </w:tc>
        <w:tc>
          <w:tcPr>
            <w:tcW w:w="7160" w:type="dxa"/>
            <w:shd w:val="clear" w:color="auto" w:fill="FFFFFF"/>
            <w:tcMar>
              <w:top w:w="80" w:type="dxa"/>
              <w:left w:w="120" w:type="dxa"/>
              <w:bottom w:w="80" w:type="dxa"/>
              <w:right w:w="120" w:type="dxa"/>
            </w:tcMar>
          </w:tcPr>
          <w:p w14:paraId="0ED8DBB5" w14:textId="77777777" w:rsidR="00FF34C7" w:rsidRDefault="00FF34C7" w:rsidP="0055187E">
            <w:r>
              <w:rPr>
                <w:sz w:val="18"/>
                <w:szCs w:val="18"/>
              </w:rPr>
              <w:t>The contractual or operating window within which an OGV is expected to be ready for loading.</w:t>
            </w:r>
          </w:p>
        </w:tc>
      </w:tr>
      <w:tr w:rsidR="00FF34C7" w14:paraId="67FFFAC5" w14:textId="77777777" w:rsidTr="0055187E">
        <w:tc>
          <w:tcPr>
            <w:tcW w:w="2200" w:type="dxa"/>
            <w:shd w:val="clear" w:color="auto" w:fill="F4F6F9"/>
            <w:tcMar>
              <w:top w:w="80" w:type="dxa"/>
              <w:left w:w="120" w:type="dxa"/>
              <w:bottom w:w="80" w:type="dxa"/>
              <w:right w:w="120" w:type="dxa"/>
            </w:tcMar>
          </w:tcPr>
          <w:p w14:paraId="0C251CD4" w14:textId="77777777" w:rsidR="00FF34C7" w:rsidRDefault="00FF34C7" w:rsidP="0055187E">
            <w:r>
              <w:rPr>
                <w:b/>
                <w:bCs/>
                <w:color w:val="0B2545"/>
                <w:sz w:val="18"/>
                <w:szCs w:val="18"/>
              </w:rPr>
              <w:t>Manual override</w:t>
            </w:r>
          </w:p>
        </w:tc>
        <w:tc>
          <w:tcPr>
            <w:tcW w:w="7160" w:type="dxa"/>
            <w:shd w:val="clear" w:color="auto" w:fill="F4F6F9"/>
            <w:tcMar>
              <w:top w:w="80" w:type="dxa"/>
              <w:left w:w="120" w:type="dxa"/>
              <w:bottom w:w="80" w:type="dxa"/>
              <w:right w:w="120" w:type="dxa"/>
            </w:tcMar>
          </w:tcPr>
          <w:p w14:paraId="06CFABD7" w14:textId="77777777" w:rsidR="00FF34C7" w:rsidRDefault="00FF34C7" w:rsidP="0055187E">
            <w:r>
              <w:rPr>
                <w:sz w:val="18"/>
                <w:szCs w:val="18"/>
              </w:rPr>
              <w:t>A planner action that allows a schedule decision to proceed despite a blocker or rule exception, with reason and audit capture.</w:t>
            </w:r>
          </w:p>
        </w:tc>
      </w:tr>
      <w:tr w:rsidR="00FF34C7" w14:paraId="635ABDBA" w14:textId="77777777" w:rsidTr="0055187E">
        <w:tc>
          <w:tcPr>
            <w:tcW w:w="2200" w:type="dxa"/>
            <w:shd w:val="clear" w:color="auto" w:fill="FFFFFF"/>
            <w:tcMar>
              <w:top w:w="80" w:type="dxa"/>
              <w:left w:w="120" w:type="dxa"/>
              <w:bottom w:w="80" w:type="dxa"/>
              <w:right w:w="120" w:type="dxa"/>
            </w:tcMar>
          </w:tcPr>
          <w:p w14:paraId="62444316" w14:textId="77777777" w:rsidR="00FF34C7" w:rsidRDefault="00FF34C7" w:rsidP="0055187E">
            <w:r>
              <w:rPr>
                <w:b/>
                <w:bCs/>
                <w:color w:val="0B2545"/>
                <w:sz w:val="18"/>
                <w:szCs w:val="18"/>
              </w:rPr>
              <w:t>MQTT</w:t>
            </w:r>
          </w:p>
        </w:tc>
        <w:tc>
          <w:tcPr>
            <w:tcW w:w="7160" w:type="dxa"/>
            <w:shd w:val="clear" w:color="auto" w:fill="FFFFFF"/>
            <w:tcMar>
              <w:top w:w="80" w:type="dxa"/>
              <w:left w:w="120" w:type="dxa"/>
              <w:bottom w:w="80" w:type="dxa"/>
              <w:right w:w="120" w:type="dxa"/>
            </w:tcMar>
          </w:tcPr>
          <w:p w14:paraId="6FCE95EE" w14:textId="77777777" w:rsidR="00FF34C7" w:rsidRDefault="00FF34C7" w:rsidP="0055187E">
            <w:r>
              <w:rPr>
                <w:sz w:val="18"/>
                <w:szCs w:val="18"/>
              </w:rPr>
              <w:t>Message Queuing Telemetry Transport, a lightweight publish/subscribe protocol commonly used for IoT, device and event-message integration.</w:t>
            </w:r>
          </w:p>
        </w:tc>
      </w:tr>
      <w:tr w:rsidR="00FF34C7" w14:paraId="14022A19" w14:textId="77777777" w:rsidTr="0055187E">
        <w:tc>
          <w:tcPr>
            <w:tcW w:w="2200" w:type="dxa"/>
            <w:shd w:val="clear" w:color="auto" w:fill="F4F6F9"/>
            <w:tcMar>
              <w:top w:w="80" w:type="dxa"/>
              <w:left w:w="120" w:type="dxa"/>
              <w:bottom w:w="80" w:type="dxa"/>
              <w:right w:w="120" w:type="dxa"/>
            </w:tcMar>
          </w:tcPr>
          <w:p w14:paraId="2B2D6290" w14:textId="77777777" w:rsidR="00FF34C7" w:rsidRDefault="00FF34C7" w:rsidP="0055187E">
            <w:r>
              <w:rPr>
                <w:b/>
                <w:bCs/>
                <w:color w:val="0B2545"/>
                <w:sz w:val="18"/>
                <w:szCs w:val="18"/>
              </w:rPr>
              <w:t>NMEA</w:t>
            </w:r>
          </w:p>
        </w:tc>
        <w:tc>
          <w:tcPr>
            <w:tcW w:w="7160" w:type="dxa"/>
            <w:shd w:val="clear" w:color="auto" w:fill="F4F6F9"/>
            <w:tcMar>
              <w:top w:w="80" w:type="dxa"/>
              <w:left w:w="120" w:type="dxa"/>
              <w:bottom w:w="80" w:type="dxa"/>
              <w:right w:w="120" w:type="dxa"/>
            </w:tcMar>
          </w:tcPr>
          <w:p w14:paraId="072AE790" w14:textId="77777777" w:rsidR="00FF34C7" w:rsidRDefault="00FF34C7" w:rsidP="0055187E">
            <w:r>
              <w:rPr>
                <w:sz w:val="18"/>
                <w:szCs w:val="18"/>
              </w:rPr>
              <w:t>National Marine Electronics Association data format family used by marine navigation equipment, often carrying GPS, AIS and vessel instrument data.</w:t>
            </w:r>
          </w:p>
        </w:tc>
      </w:tr>
      <w:tr w:rsidR="00FF34C7" w14:paraId="47CFB206" w14:textId="77777777" w:rsidTr="0055187E">
        <w:tc>
          <w:tcPr>
            <w:tcW w:w="2200" w:type="dxa"/>
            <w:shd w:val="clear" w:color="auto" w:fill="FFFFFF"/>
            <w:tcMar>
              <w:top w:w="80" w:type="dxa"/>
              <w:left w:w="120" w:type="dxa"/>
              <w:bottom w:w="80" w:type="dxa"/>
              <w:right w:w="120" w:type="dxa"/>
            </w:tcMar>
          </w:tcPr>
          <w:p w14:paraId="3215D00F" w14:textId="77777777" w:rsidR="00FF34C7" w:rsidRDefault="00FF34C7" w:rsidP="0055187E">
            <w:r>
              <w:rPr>
                <w:b/>
                <w:bCs/>
                <w:color w:val="0B2545"/>
                <w:sz w:val="18"/>
                <w:szCs w:val="18"/>
              </w:rPr>
              <w:t>OGV</w:t>
            </w:r>
          </w:p>
        </w:tc>
        <w:tc>
          <w:tcPr>
            <w:tcW w:w="7160" w:type="dxa"/>
            <w:shd w:val="clear" w:color="auto" w:fill="FFFFFF"/>
            <w:tcMar>
              <w:top w:w="80" w:type="dxa"/>
              <w:left w:w="120" w:type="dxa"/>
              <w:bottom w:w="80" w:type="dxa"/>
              <w:right w:w="120" w:type="dxa"/>
            </w:tcMar>
          </w:tcPr>
          <w:p w14:paraId="09DB9429" w14:textId="77777777" w:rsidR="00FF34C7" w:rsidRDefault="00FF34C7" w:rsidP="0055187E">
            <w:r>
              <w:rPr>
                <w:sz w:val="18"/>
                <w:szCs w:val="18"/>
              </w:rPr>
              <w:t>Ocean Going Vessel, the receiving vessel for the final coal-loading operation.</w:t>
            </w:r>
          </w:p>
        </w:tc>
      </w:tr>
      <w:tr w:rsidR="00FF34C7" w14:paraId="7ED90C0D" w14:textId="77777777" w:rsidTr="0055187E">
        <w:tc>
          <w:tcPr>
            <w:tcW w:w="2200" w:type="dxa"/>
            <w:shd w:val="clear" w:color="auto" w:fill="F4F6F9"/>
            <w:tcMar>
              <w:top w:w="80" w:type="dxa"/>
              <w:left w:w="120" w:type="dxa"/>
              <w:bottom w:w="80" w:type="dxa"/>
              <w:right w:w="120" w:type="dxa"/>
            </w:tcMar>
          </w:tcPr>
          <w:p w14:paraId="05ED74D0" w14:textId="77777777" w:rsidR="00FF34C7" w:rsidRDefault="00FF34C7" w:rsidP="0055187E">
            <w:r>
              <w:rPr>
                <w:b/>
                <w:bCs/>
                <w:color w:val="0B2545"/>
                <w:sz w:val="18"/>
                <w:szCs w:val="18"/>
              </w:rPr>
              <w:t>OPC-UA</w:t>
            </w:r>
          </w:p>
        </w:tc>
        <w:tc>
          <w:tcPr>
            <w:tcW w:w="7160" w:type="dxa"/>
            <w:shd w:val="clear" w:color="auto" w:fill="F4F6F9"/>
            <w:tcMar>
              <w:top w:w="80" w:type="dxa"/>
              <w:left w:w="120" w:type="dxa"/>
              <w:bottom w:w="80" w:type="dxa"/>
              <w:right w:w="120" w:type="dxa"/>
            </w:tcMar>
          </w:tcPr>
          <w:p w14:paraId="01A700DF" w14:textId="77777777" w:rsidR="00FF34C7" w:rsidRDefault="00FF34C7" w:rsidP="0055187E">
            <w:r>
              <w:rPr>
                <w:sz w:val="18"/>
                <w:szCs w:val="18"/>
              </w:rPr>
              <w:t>Open Platform Communications Unified Architecture, an industrial communication standard used to exchange structured machine, equipment and process data.</w:t>
            </w:r>
          </w:p>
        </w:tc>
      </w:tr>
      <w:tr w:rsidR="00FF34C7" w14:paraId="43A9163F" w14:textId="77777777" w:rsidTr="0055187E">
        <w:tc>
          <w:tcPr>
            <w:tcW w:w="2200" w:type="dxa"/>
            <w:shd w:val="clear" w:color="auto" w:fill="FFFFFF"/>
            <w:tcMar>
              <w:top w:w="80" w:type="dxa"/>
              <w:left w:w="120" w:type="dxa"/>
              <w:bottom w:w="80" w:type="dxa"/>
              <w:right w:w="120" w:type="dxa"/>
            </w:tcMar>
          </w:tcPr>
          <w:p w14:paraId="67B052E5" w14:textId="77777777" w:rsidR="00FF34C7" w:rsidRDefault="00FF34C7" w:rsidP="0055187E">
            <w:r>
              <w:rPr>
                <w:b/>
                <w:bCs/>
                <w:color w:val="0B2545"/>
                <w:sz w:val="18"/>
                <w:szCs w:val="18"/>
              </w:rPr>
              <w:t>Operating window</w:t>
            </w:r>
          </w:p>
        </w:tc>
        <w:tc>
          <w:tcPr>
            <w:tcW w:w="7160" w:type="dxa"/>
            <w:shd w:val="clear" w:color="auto" w:fill="FFFFFF"/>
            <w:tcMar>
              <w:top w:w="80" w:type="dxa"/>
              <w:left w:w="120" w:type="dxa"/>
              <w:bottom w:w="80" w:type="dxa"/>
              <w:right w:w="120" w:type="dxa"/>
            </w:tcMar>
          </w:tcPr>
          <w:p w14:paraId="72691074" w14:textId="77777777" w:rsidR="00FF34C7" w:rsidRDefault="00FF34C7" w:rsidP="0055187E">
            <w:r>
              <w:rPr>
                <w:sz w:val="18"/>
                <w:szCs w:val="18"/>
              </w:rPr>
              <w:t>A time range within which an activity is permitted or feasible, such as tide movement, bridge crossing, jetty loading or CTS discharge.</w:t>
            </w:r>
          </w:p>
        </w:tc>
      </w:tr>
      <w:tr w:rsidR="00FF34C7" w14:paraId="218E7B49" w14:textId="77777777" w:rsidTr="0055187E">
        <w:tc>
          <w:tcPr>
            <w:tcW w:w="2200" w:type="dxa"/>
            <w:shd w:val="clear" w:color="auto" w:fill="F4F6F9"/>
            <w:tcMar>
              <w:top w:w="80" w:type="dxa"/>
              <w:left w:w="120" w:type="dxa"/>
              <w:bottom w:w="80" w:type="dxa"/>
              <w:right w:w="120" w:type="dxa"/>
            </w:tcMar>
          </w:tcPr>
          <w:p w14:paraId="48C73C23" w14:textId="77777777" w:rsidR="00FF34C7" w:rsidRDefault="00FF34C7" w:rsidP="0055187E">
            <w:r>
              <w:rPr>
                <w:b/>
                <w:bCs/>
                <w:color w:val="0B2545"/>
                <w:sz w:val="18"/>
                <w:szCs w:val="18"/>
              </w:rPr>
              <w:t>Operator console</w:t>
            </w:r>
          </w:p>
        </w:tc>
        <w:tc>
          <w:tcPr>
            <w:tcW w:w="7160" w:type="dxa"/>
            <w:shd w:val="clear" w:color="auto" w:fill="F4F6F9"/>
            <w:tcMar>
              <w:top w:w="80" w:type="dxa"/>
              <w:left w:w="120" w:type="dxa"/>
              <w:bottom w:w="80" w:type="dxa"/>
              <w:right w:w="120" w:type="dxa"/>
            </w:tcMar>
          </w:tcPr>
          <w:p w14:paraId="1E5AEEF9" w14:textId="77777777" w:rsidR="00FF34C7" w:rsidRDefault="00FF34C7" w:rsidP="0055187E">
            <w:r>
              <w:rPr>
                <w:sz w:val="18"/>
                <w:szCs w:val="18"/>
              </w:rPr>
              <w:t>A local system, screen or control interface used by operational staff to enter, confirm or view equipment and process status.</w:t>
            </w:r>
          </w:p>
        </w:tc>
      </w:tr>
      <w:tr w:rsidR="00FF34C7" w14:paraId="3C92F8FE" w14:textId="77777777" w:rsidTr="0055187E">
        <w:tc>
          <w:tcPr>
            <w:tcW w:w="2200" w:type="dxa"/>
            <w:shd w:val="clear" w:color="auto" w:fill="FFFFFF"/>
            <w:tcMar>
              <w:top w:w="80" w:type="dxa"/>
              <w:left w:w="120" w:type="dxa"/>
              <w:bottom w:w="80" w:type="dxa"/>
              <w:right w:w="120" w:type="dxa"/>
            </w:tcMar>
          </w:tcPr>
          <w:p w14:paraId="721C552A" w14:textId="77777777" w:rsidR="00FF34C7" w:rsidRDefault="00FF34C7" w:rsidP="0055187E">
            <w:r>
              <w:rPr>
                <w:b/>
                <w:bCs/>
                <w:color w:val="0B2545"/>
                <w:sz w:val="18"/>
                <w:szCs w:val="18"/>
              </w:rPr>
              <w:t>PLC</w:t>
            </w:r>
          </w:p>
        </w:tc>
        <w:tc>
          <w:tcPr>
            <w:tcW w:w="7160" w:type="dxa"/>
            <w:shd w:val="clear" w:color="auto" w:fill="FFFFFF"/>
            <w:tcMar>
              <w:top w:w="80" w:type="dxa"/>
              <w:left w:w="120" w:type="dxa"/>
              <w:bottom w:w="80" w:type="dxa"/>
              <w:right w:w="120" w:type="dxa"/>
            </w:tcMar>
          </w:tcPr>
          <w:p w14:paraId="43FC2E8F" w14:textId="77777777" w:rsidR="00FF34C7" w:rsidRDefault="00FF34C7" w:rsidP="0055187E">
            <w:r>
              <w:rPr>
                <w:sz w:val="18"/>
                <w:szCs w:val="18"/>
              </w:rPr>
              <w:t>Programmable Logic Controller, an industrial controller used to monitor and control equipment such as conveyors, loading systems and related plant operations.</w:t>
            </w:r>
          </w:p>
        </w:tc>
      </w:tr>
      <w:tr w:rsidR="00FF34C7" w14:paraId="2DBBF3A5" w14:textId="77777777" w:rsidTr="0055187E">
        <w:tc>
          <w:tcPr>
            <w:tcW w:w="2200" w:type="dxa"/>
            <w:shd w:val="clear" w:color="auto" w:fill="F4F6F9"/>
            <w:tcMar>
              <w:top w:w="80" w:type="dxa"/>
              <w:left w:w="120" w:type="dxa"/>
              <w:bottom w:w="80" w:type="dxa"/>
              <w:right w:w="120" w:type="dxa"/>
            </w:tcMar>
          </w:tcPr>
          <w:p w14:paraId="6D670854" w14:textId="77777777" w:rsidR="00FF34C7" w:rsidRDefault="00FF34C7" w:rsidP="0055187E">
            <w:r>
              <w:rPr>
                <w:b/>
                <w:bCs/>
                <w:color w:val="0B2545"/>
                <w:sz w:val="18"/>
                <w:szCs w:val="18"/>
              </w:rPr>
              <w:t>Planned state</w:t>
            </w:r>
          </w:p>
        </w:tc>
        <w:tc>
          <w:tcPr>
            <w:tcW w:w="7160" w:type="dxa"/>
            <w:shd w:val="clear" w:color="auto" w:fill="F4F6F9"/>
            <w:tcMar>
              <w:top w:w="80" w:type="dxa"/>
              <w:left w:w="120" w:type="dxa"/>
              <w:bottom w:w="80" w:type="dxa"/>
              <w:right w:w="120" w:type="dxa"/>
            </w:tcMar>
          </w:tcPr>
          <w:p w14:paraId="24B7797A" w14:textId="77777777" w:rsidR="00FF34C7" w:rsidRDefault="00FF34C7" w:rsidP="0055187E">
            <w:r>
              <w:rPr>
                <w:sz w:val="18"/>
                <w:szCs w:val="18"/>
              </w:rPr>
              <w:t>The approved schedule expectation before field execution changes are confirmed.</w:t>
            </w:r>
          </w:p>
        </w:tc>
      </w:tr>
      <w:tr w:rsidR="00FF34C7" w14:paraId="1470374B" w14:textId="77777777" w:rsidTr="0055187E">
        <w:tc>
          <w:tcPr>
            <w:tcW w:w="2200" w:type="dxa"/>
            <w:shd w:val="clear" w:color="auto" w:fill="FFFFFF"/>
            <w:tcMar>
              <w:top w:w="80" w:type="dxa"/>
              <w:left w:w="120" w:type="dxa"/>
              <w:bottom w:w="80" w:type="dxa"/>
              <w:right w:w="120" w:type="dxa"/>
            </w:tcMar>
          </w:tcPr>
          <w:p w14:paraId="1E7ECEDF" w14:textId="77777777" w:rsidR="00FF34C7" w:rsidRDefault="00FF34C7" w:rsidP="0055187E">
            <w:r>
              <w:rPr>
                <w:b/>
                <w:bCs/>
                <w:color w:val="0B2545"/>
                <w:sz w:val="18"/>
                <w:szCs w:val="18"/>
              </w:rPr>
              <w:t>Publishability check</w:t>
            </w:r>
          </w:p>
        </w:tc>
        <w:tc>
          <w:tcPr>
            <w:tcW w:w="7160" w:type="dxa"/>
            <w:shd w:val="clear" w:color="auto" w:fill="FFFFFF"/>
            <w:tcMar>
              <w:top w:w="80" w:type="dxa"/>
              <w:left w:w="120" w:type="dxa"/>
              <w:bottom w:w="80" w:type="dxa"/>
              <w:right w:w="120" w:type="dxa"/>
            </w:tcMar>
          </w:tcPr>
          <w:p w14:paraId="01D2F0E5" w14:textId="77777777" w:rsidR="00FF34C7" w:rsidRDefault="00FF34C7" w:rsidP="0055187E">
            <w:r>
              <w:rPr>
                <w:sz w:val="18"/>
                <w:szCs w:val="18"/>
              </w:rPr>
              <w:t>A final validation that a plan is ready to be released as an approved operating schedule.</w:t>
            </w:r>
          </w:p>
        </w:tc>
      </w:tr>
      <w:tr w:rsidR="00FF34C7" w14:paraId="49564A55" w14:textId="77777777" w:rsidTr="0055187E">
        <w:tc>
          <w:tcPr>
            <w:tcW w:w="2200" w:type="dxa"/>
            <w:shd w:val="clear" w:color="auto" w:fill="F4F6F9"/>
            <w:tcMar>
              <w:top w:w="80" w:type="dxa"/>
              <w:left w:w="120" w:type="dxa"/>
              <w:bottom w:w="80" w:type="dxa"/>
              <w:right w:w="120" w:type="dxa"/>
            </w:tcMar>
          </w:tcPr>
          <w:p w14:paraId="3005F145" w14:textId="77777777" w:rsidR="00FF34C7" w:rsidRDefault="00FF34C7" w:rsidP="0055187E">
            <w:r>
              <w:rPr>
                <w:b/>
                <w:bCs/>
                <w:color w:val="0B2545"/>
                <w:sz w:val="18"/>
                <w:szCs w:val="18"/>
              </w:rPr>
              <w:t>Published plan</w:t>
            </w:r>
          </w:p>
        </w:tc>
        <w:tc>
          <w:tcPr>
            <w:tcW w:w="7160" w:type="dxa"/>
            <w:shd w:val="clear" w:color="auto" w:fill="F4F6F9"/>
            <w:tcMar>
              <w:top w:w="80" w:type="dxa"/>
              <w:left w:w="120" w:type="dxa"/>
              <w:bottom w:w="80" w:type="dxa"/>
              <w:right w:w="120" w:type="dxa"/>
            </w:tcMar>
          </w:tcPr>
          <w:p w14:paraId="6F05B74F" w14:textId="77777777" w:rsidR="00FF34C7" w:rsidRDefault="00FF34C7" w:rsidP="0055187E">
            <w:r>
              <w:rPr>
                <w:sz w:val="18"/>
                <w:szCs w:val="18"/>
              </w:rPr>
              <w:t>An approved, immutable schedule snapshot that becomes the operating reference until a successor version is approved.</w:t>
            </w:r>
          </w:p>
        </w:tc>
      </w:tr>
      <w:tr w:rsidR="00FF34C7" w14:paraId="19AF7C6B" w14:textId="77777777" w:rsidTr="0055187E">
        <w:tc>
          <w:tcPr>
            <w:tcW w:w="2200" w:type="dxa"/>
            <w:shd w:val="clear" w:color="auto" w:fill="FFFFFF"/>
            <w:tcMar>
              <w:top w:w="80" w:type="dxa"/>
              <w:left w:w="120" w:type="dxa"/>
              <w:bottom w:w="80" w:type="dxa"/>
              <w:right w:w="120" w:type="dxa"/>
            </w:tcMar>
          </w:tcPr>
          <w:p w14:paraId="0E6E89CE" w14:textId="77777777" w:rsidR="00FF34C7" w:rsidRDefault="00FF34C7" w:rsidP="0055187E">
            <w:r>
              <w:rPr>
                <w:b/>
                <w:bCs/>
                <w:color w:val="0B2545"/>
                <w:sz w:val="18"/>
                <w:szCs w:val="18"/>
              </w:rPr>
              <w:t>Reason code</w:t>
            </w:r>
          </w:p>
        </w:tc>
        <w:tc>
          <w:tcPr>
            <w:tcW w:w="7160" w:type="dxa"/>
            <w:shd w:val="clear" w:color="auto" w:fill="FFFFFF"/>
            <w:tcMar>
              <w:top w:w="80" w:type="dxa"/>
              <w:left w:w="120" w:type="dxa"/>
              <w:bottom w:w="80" w:type="dxa"/>
              <w:right w:w="120" w:type="dxa"/>
            </w:tcMar>
          </w:tcPr>
          <w:p w14:paraId="41A95F08" w14:textId="77777777" w:rsidR="00FF34C7" w:rsidRDefault="00FF34C7" w:rsidP="0055187E">
            <w:r>
              <w:rPr>
                <w:sz w:val="18"/>
                <w:szCs w:val="18"/>
              </w:rPr>
              <w:t>A standardized explanation attached to a conflict, exception or manual override.</w:t>
            </w:r>
          </w:p>
        </w:tc>
      </w:tr>
      <w:tr w:rsidR="00FF34C7" w14:paraId="1A6C6E18" w14:textId="77777777" w:rsidTr="0055187E">
        <w:tc>
          <w:tcPr>
            <w:tcW w:w="2200" w:type="dxa"/>
            <w:shd w:val="clear" w:color="auto" w:fill="F4F6F9"/>
            <w:tcMar>
              <w:top w:w="80" w:type="dxa"/>
              <w:left w:w="120" w:type="dxa"/>
              <w:bottom w:w="80" w:type="dxa"/>
              <w:right w:w="120" w:type="dxa"/>
            </w:tcMar>
          </w:tcPr>
          <w:p w14:paraId="7C44C56C" w14:textId="77777777" w:rsidR="00FF34C7" w:rsidRDefault="00FF34C7" w:rsidP="0055187E">
            <w:r>
              <w:rPr>
                <w:b/>
                <w:bCs/>
                <w:color w:val="0B2545"/>
                <w:sz w:val="18"/>
                <w:szCs w:val="18"/>
              </w:rPr>
              <w:t>Recovery option</w:t>
            </w:r>
          </w:p>
        </w:tc>
        <w:tc>
          <w:tcPr>
            <w:tcW w:w="7160" w:type="dxa"/>
            <w:shd w:val="clear" w:color="auto" w:fill="F4F6F9"/>
            <w:tcMar>
              <w:top w:w="80" w:type="dxa"/>
              <w:left w:w="120" w:type="dxa"/>
              <w:bottom w:w="80" w:type="dxa"/>
              <w:right w:w="120" w:type="dxa"/>
            </w:tcMar>
          </w:tcPr>
          <w:p w14:paraId="7556B50B" w14:textId="77777777" w:rsidR="00FF34C7" w:rsidRDefault="00FF34C7" w:rsidP="0055187E">
            <w:r>
              <w:rPr>
                <w:sz w:val="18"/>
                <w:szCs w:val="18"/>
              </w:rPr>
              <w:t>A candidate corrective action proposed for review after an operational disruption.</w:t>
            </w:r>
          </w:p>
        </w:tc>
      </w:tr>
      <w:tr w:rsidR="00FF34C7" w14:paraId="1BA75425" w14:textId="77777777" w:rsidTr="0055187E">
        <w:tc>
          <w:tcPr>
            <w:tcW w:w="2200" w:type="dxa"/>
            <w:shd w:val="clear" w:color="auto" w:fill="FFFFFF"/>
            <w:tcMar>
              <w:top w:w="80" w:type="dxa"/>
              <w:left w:w="120" w:type="dxa"/>
              <w:bottom w:w="80" w:type="dxa"/>
              <w:right w:w="120" w:type="dxa"/>
            </w:tcMar>
          </w:tcPr>
          <w:p w14:paraId="4CC85560" w14:textId="77777777" w:rsidR="00FF34C7" w:rsidRDefault="00FF34C7" w:rsidP="0055187E">
            <w:r>
              <w:rPr>
                <w:b/>
                <w:bCs/>
                <w:color w:val="0B2545"/>
                <w:sz w:val="18"/>
                <w:szCs w:val="18"/>
              </w:rPr>
              <w:t>Scenario</w:t>
            </w:r>
          </w:p>
        </w:tc>
        <w:tc>
          <w:tcPr>
            <w:tcW w:w="7160" w:type="dxa"/>
            <w:shd w:val="clear" w:color="auto" w:fill="FFFFFF"/>
            <w:tcMar>
              <w:top w:w="80" w:type="dxa"/>
              <w:left w:w="120" w:type="dxa"/>
              <w:bottom w:w="80" w:type="dxa"/>
              <w:right w:w="120" w:type="dxa"/>
            </w:tcMar>
          </w:tcPr>
          <w:p w14:paraId="3C8028BB" w14:textId="77777777" w:rsidR="00FF34C7" w:rsidRDefault="00FF34C7" w:rsidP="0055187E">
            <w:r>
              <w:rPr>
                <w:sz w:val="18"/>
                <w:szCs w:val="18"/>
              </w:rPr>
              <w:t>A what-if schedule view that tests assumptions before changing the published plan.</w:t>
            </w:r>
          </w:p>
        </w:tc>
      </w:tr>
      <w:tr w:rsidR="00FF34C7" w14:paraId="199CDD6C" w14:textId="77777777" w:rsidTr="0055187E">
        <w:tc>
          <w:tcPr>
            <w:tcW w:w="2200" w:type="dxa"/>
            <w:shd w:val="clear" w:color="auto" w:fill="F4F6F9"/>
            <w:tcMar>
              <w:top w:w="80" w:type="dxa"/>
              <w:left w:w="120" w:type="dxa"/>
              <w:bottom w:w="80" w:type="dxa"/>
              <w:right w:w="120" w:type="dxa"/>
            </w:tcMar>
          </w:tcPr>
          <w:p w14:paraId="7D53CA7B" w14:textId="77777777" w:rsidR="00FF34C7" w:rsidRDefault="00FF34C7" w:rsidP="0055187E">
            <w:r>
              <w:rPr>
                <w:b/>
                <w:bCs/>
                <w:color w:val="0B2545"/>
                <w:sz w:val="18"/>
                <w:szCs w:val="18"/>
              </w:rPr>
              <w:t>Tide window</w:t>
            </w:r>
          </w:p>
        </w:tc>
        <w:tc>
          <w:tcPr>
            <w:tcW w:w="7160" w:type="dxa"/>
            <w:shd w:val="clear" w:color="auto" w:fill="F4F6F9"/>
            <w:tcMar>
              <w:top w:w="80" w:type="dxa"/>
              <w:left w:w="120" w:type="dxa"/>
              <w:bottom w:w="80" w:type="dxa"/>
              <w:right w:w="120" w:type="dxa"/>
            </w:tcMar>
          </w:tcPr>
          <w:p w14:paraId="128BD5FC" w14:textId="77777777" w:rsidR="00FF34C7" w:rsidRDefault="00FF34C7" w:rsidP="0055187E">
            <w:r>
              <w:rPr>
                <w:sz w:val="18"/>
                <w:szCs w:val="18"/>
              </w:rPr>
              <w:t>A time range during which water level and navigation conditions allow a safe or permitted movement.</w:t>
            </w:r>
          </w:p>
        </w:tc>
      </w:tr>
      <w:tr w:rsidR="00FF34C7" w14:paraId="216AB252" w14:textId="77777777" w:rsidTr="0055187E">
        <w:tc>
          <w:tcPr>
            <w:tcW w:w="2200" w:type="dxa"/>
            <w:shd w:val="clear" w:color="auto" w:fill="FFFFFF"/>
            <w:tcMar>
              <w:top w:w="80" w:type="dxa"/>
              <w:left w:w="120" w:type="dxa"/>
              <w:bottom w:w="80" w:type="dxa"/>
              <w:right w:w="120" w:type="dxa"/>
            </w:tcMar>
          </w:tcPr>
          <w:p w14:paraId="31E7268B" w14:textId="77777777" w:rsidR="00FF34C7" w:rsidRDefault="00FF34C7" w:rsidP="0055187E">
            <w:r>
              <w:rPr>
                <w:b/>
                <w:bCs/>
                <w:color w:val="0B2545"/>
                <w:sz w:val="18"/>
                <w:szCs w:val="18"/>
              </w:rPr>
              <w:lastRenderedPageBreak/>
              <w:t>Tug-barge pair</w:t>
            </w:r>
          </w:p>
        </w:tc>
        <w:tc>
          <w:tcPr>
            <w:tcW w:w="7160" w:type="dxa"/>
            <w:shd w:val="clear" w:color="auto" w:fill="FFFFFF"/>
            <w:tcMar>
              <w:top w:w="80" w:type="dxa"/>
              <w:left w:w="120" w:type="dxa"/>
              <w:bottom w:w="80" w:type="dxa"/>
              <w:right w:w="120" w:type="dxa"/>
            </w:tcMar>
          </w:tcPr>
          <w:p w14:paraId="0BBE5FB7" w14:textId="77777777" w:rsidR="00FF34C7" w:rsidRDefault="00FF34C7" w:rsidP="0055187E">
            <w:r>
              <w:rPr>
                <w:sz w:val="18"/>
                <w:szCs w:val="18"/>
              </w:rPr>
              <w:t>A tug and barge combination considered together for movement eligibility, availability and compatibility.</w:t>
            </w:r>
          </w:p>
        </w:tc>
      </w:tr>
      <w:tr w:rsidR="00FF34C7" w14:paraId="3C9D0BF4" w14:textId="77777777" w:rsidTr="0055187E">
        <w:tc>
          <w:tcPr>
            <w:tcW w:w="2200" w:type="dxa"/>
            <w:shd w:val="clear" w:color="auto" w:fill="F4F6F9"/>
            <w:tcMar>
              <w:top w:w="80" w:type="dxa"/>
              <w:left w:w="120" w:type="dxa"/>
              <w:bottom w:w="80" w:type="dxa"/>
              <w:right w:w="120" w:type="dxa"/>
            </w:tcMar>
          </w:tcPr>
          <w:p w14:paraId="1547A82B" w14:textId="77777777" w:rsidR="00FF34C7" w:rsidRDefault="00FF34C7" w:rsidP="0055187E">
            <w:r>
              <w:rPr>
                <w:b/>
                <w:bCs/>
                <w:color w:val="0B2545"/>
                <w:sz w:val="18"/>
                <w:szCs w:val="18"/>
              </w:rPr>
              <w:t>UAT</w:t>
            </w:r>
          </w:p>
        </w:tc>
        <w:tc>
          <w:tcPr>
            <w:tcW w:w="7160" w:type="dxa"/>
            <w:shd w:val="clear" w:color="auto" w:fill="F4F6F9"/>
            <w:tcMar>
              <w:top w:w="80" w:type="dxa"/>
              <w:left w:w="120" w:type="dxa"/>
              <w:bottom w:w="80" w:type="dxa"/>
              <w:right w:w="120" w:type="dxa"/>
            </w:tcMar>
          </w:tcPr>
          <w:p w14:paraId="790B2BD2" w14:textId="77777777" w:rsidR="00FF34C7" w:rsidRDefault="00FF34C7" w:rsidP="0055187E">
            <w:r>
              <w:rPr>
                <w:sz w:val="18"/>
                <w:szCs w:val="18"/>
              </w:rPr>
              <w:t>User Acceptance Testing, the client-side validation stage for workflows, screens and outputs before production use.</w:t>
            </w:r>
          </w:p>
        </w:tc>
      </w:tr>
    </w:tbl>
    <w:p w14:paraId="6FE0626F" w14:textId="77777777" w:rsidR="00FF34C7" w:rsidRDefault="00FF34C7" w:rsidP="00FF34C7">
      <w:pPr>
        <w:pStyle w:val="Heading1"/>
        <w:pBdr>
          <w:bottom w:val="single" w:sz="4" w:space="4" w:color="2E74B5"/>
        </w:pBdr>
      </w:pPr>
      <w:bookmarkStart w:id="43" w:name="_Toc231224581"/>
      <w:r>
        <w:rPr>
          <w:rFonts w:ascii="Arial" w:eastAsia="Arial" w:hAnsi="Arial" w:cs="Arial"/>
          <w:b/>
          <w:bCs/>
          <w:color w:val="0B2545"/>
          <w:sz w:val="32"/>
          <w:szCs w:val="32"/>
        </w:rPr>
        <w:t>20. Reference Inputs</w:t>
      </w:r>
      <w:bookmarkEnd w:id="43"/>
    </w:p>
    <w:p w14:paraId="0E2D3184" w14:textId="77777777" w:rsidR="00FF34C7" w:rsidRDefault="00FF34C7" w:rsidP="00FF34C7">
      <w:pPr>
        <w:spacing w:before="60" w:after="120" w:line="276" w:lineRule="auto"/>
      </w:pPr>
      <w:r>
        <w:t>This extension is based on:</w:t>
      </w:r>
    </w:p>
    <w:p w14:paraId="76D14BB9" w14:textId="77777777" w:rsidR="00FF34C7" w:rsidRDefault="00FF34C7" w:rsidP="00FF34C7">
      <w:pPr>
        <w:pStyle w:val="ListParagraph"/>
        <w:numPr>
          <w:ilvl w:val="0"/>
          <w:numId w:val="2"/>
        </w:numPr>
        <w:spacing w:before="40" w:after="60"/>
        <w:contextualSpacing w:val="0"/>
      </w:pPr>
      <w:r>
        <w:t>the Operational Blueprinting &amp; Simulation Prototype Proposal</w:t>
      </w:r>
    </w:p>
    <w:p w14:paraId="5652EFF1" w14:textId="77777777" w:rsidR="00FF34C7" w:rsidRDefault="00FF34C7" w:rsidP="00FF34C7">
      <w:pPr>
        <w:pStyle w:val="ListParagraph"/>
        <w:numPr>
          <w:ilvl w:val="0"/>
          <w:numId w:val="2"/>
        </w:numPr>
        <w:spacing w:before="40" w:after="60"/>
        <w:contextualSpacing w:val="0"/>
      </w:pPr>
      <w:r>
        <w:t>the Scheduling Simulation BRD</w:t>
      </w:r>
    </w:p>
    <w:p w14:paraId="46CBD494" w14:textId="77777777" w:rsidR="00FF34C7" w:rsidRDefault="00FF34C7" w:rsidP="00FF34C7">
      <w:pPr>
        <w:pStyle w:val="ListParagraph"/>
        <w:numPr>
          <w:ilvl w:val="0"/>
          <w:numId w:val="2"/>
        </w:numPr>
        <w:spacing w:before="40" w:after="60"/>
        <w:contextualSpacing w:val="0"/>
      </w:pPr>
      <w:r>
        <w:t>ABL and Berau Coal operating context</w:t>
      </w:r>
    </w:p>
    <w:p w14:paraId="14A71E6A" w14:textId="77777777" w:rsidR="00FF34C7" w:rsidRDefault="00FF34C7" w:rsidP="00FF34C7">
      <w:pPr>
        <w:pStyle w:val="ListParagraph"/>
        <w:numPr>
          <w:ilvl w:val="0"/>
          <w:numId w:val="2"/>
        </w:numPr>
        <w:spacing w:before="40" w:after="60"/>
        <w:contextualSpacing w:val="0"/>
      </w:pPr>
      <w:r>
        <w:t>observed transshipment planning and fleet-coordination challenges</w:t>
      </w:r>
    </w:p>
    <w:p w14:paraId="6A468A84" w14:textId="77777777" w:rsidR="00FF34C7" w:rsidRDefault="00FF34C7" w:rsidP="00FF34C7">
      <w:pPr>
        <w:pStyle w:val="ListParagraph"/>
        <w:numPr>
          <w:ilvl w:val="0"/>
          <w:numId w:val="2"/>
        </w:numPr>
        <w:spacing w:before="40" w:after="60"/>
        <w:contextualSpacing w:val="0"/>
      </w:pPr>
      <w:r>
        <w:t>cargo, route, asset, tide, bridge, CTS and OGV scheduling logic</w:t>
      </w:r>
    </w:p>
    <w:p w14:paraId="2F3CEB21" w14:textId="77777777" w:rsidR="00FF34C7" w:rsidRDefault="00FF34C7" w:rsidP="00FF34C7">
      <w:pPr>
        <w:pStyle w:val="ListParagraph"/>
        <w:numPr>
          <w:ilvl w:val="0"/>
          <w:numId w:val="2"/>
        </w:numPr>
        <w:spacing w:before="40" w:after="60"/>
        <w:contextualSpacing w:val="0"/>
      </w:pPr>
      <w:r>
        <w:t>the shared scheduling principle that work must be placed through eligible route steps, available resources and continuous operating windows</w:t>
      </w:r>
    </w:p>
    <w:p w14:paraId="4F153085" w14:textId="77777777" w:rsidR="00FF34C7" w:rsidRDefault="00FF34C7" w:rsidP="00FF34C7">
      <w:pPr>
        <w:pStyle w:val="ListParagraph"/>
        <w:numPr>
          <w:ilvl w:val="0"/>
          <w:numId w:val="2"/>
        </w:numPr>
        <w:spacing w:before="40" w:after="60"/>
        <w:contextualSpacing w:val="0"/>
      </w:pPr>
      <w:r>
        <w:t>the product-development direction for the ABL flow-management platform.</w:t>
      </w:r>
    </w:p>
    <w:p w14:paraId="7AF34EDB" w14:textId="77777777" w:rsidR="00FF34C7" w:rsidRDefault="00FF34C7" w:rsidP="00FF34C7">
      <w:pPr>
        <w:spacing w:before="200" w:after="120"/>
      </w:pPr>
    </w:p>
    <w:p w14:paraId="63252104" w14:textId="196876FB" w:rsidR="00FF34C7" w:rsidRDefault="00FF34C7" w:rsidP="00FF34C7">
      <w:pPr>
        <w:pBdr>
          <w:top w:val="single" w:sz="4" w:space="4" w:color="A97A26"/>
        </w:pBdr>
        <w:spacing w:before="200"/>
        <w:jc w:val="center"/>
      </w:pPr>
      <w:r>
        <w:rPr>
          <w:i/>
          <w:iCs/>
          <w:color w:val="5C6370"/>
          <w:sz w:val="18"/>
          <w:szCs w:val="18"/>
        </w:rPr>
        <w:t xml:space="preserve">End of application build </w:t>
      </w:r>
      <w:r w:rsidR="00F7239B">
        <w:rPr>
          <w:i/>
          <w:iCs/>
          <w:color w:val="5C6370"/>
          <w:sz w:val="18"/>
          <w:szCs w:val="18"/>
        </w:rPr>
        <w:t>proposal</w:t>
      </w:r>
    </w:p>
    <w:p w14:paraId="2270813A" w14:textId="77777777" w:rsidR="00FF34C7" w:rsidRDefault="00FF34C7" w:rsidP="00FF34C7">
      <w:pPr>
        <w:spacing w:before="100" w:after="120"/>
      </w:pPr>
    </w:p>
    <w:p w14:paraId="511A61B1" w14:textId="77777777" w:rsidR="00FF34C7" w:rsidRDefault="00FF34C7" w:rsidP="00FF34C7">
      <w:pPr>
        <w:jc w:val="center"/>
      </w:pPr>
      <w:r>
        <w:rPr>
          <w:b/>
          <w:bCs/>
          <w:color w:val="A97A26"/>
          <w:sz w:val="18"/>
          <w:szCs w:val="18"/>
        </w:rPr>
        <w:t>PT Vector Management Consulting</w:t>
      </w:r>
    </w:p>
    <w:p w14:paraId="31A422DB" w14:textId="77777777" w:rsidR="00684A47" w:rsidRDefault="00684A47"/>
    <w:sectPr w:rsidR="0030204E" w:rsidRPr="000A1B98" w:rsidSect="00E416F0">
      <w:headerReference w:type="default" r:id="rId31"/>
      <w:footerReference w:type="default" r:id="rId3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