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Core Scheduling Philosophy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Proprietary Scheduling And Scenario Scaffolding</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Product Development Layers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Phase Of Development in Sprint Level</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Release 1 - Governed Scheduling Spine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Operational Readiness And Adoption Review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Exception Taxonomy And Operating Governance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Working Flow Details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Application Modules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Assumptions Made To Determine The Flow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Proposed Implementation Architecture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External Data Sources Assumed To Be Available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Implementation Clarification</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Important Build Boundaries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Glossary</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Reference Inputs</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1">
                      <a:extLst>
                        <a:ext uri="{96DAC541-7B7A-43D3-8B79-37D633B846F1}">
                          <asvg:svgBlip xmlns:asvg="http://schemas.microsoft.com/office/drawing/2016/SVG/main" r:embed="rId100"/>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