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sectPr w:rsidR="00914E01" w:rsidSect="00964A9A">
          <w:type w:val="continuous"/>
          <w:pgSz w:w="12240" w:h="15840"/>
          <w:pgMar w:top="1440" w:right="1260" w:bottom="1440" w:left="1260" w:header="708" w:footer="708" w:gutter="0"/>
          <w:cols w:space="720"/>
          <w:docGrid w:linePitch="360"/>
        </w:sectPr>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sectPr w:rsidR="00914E01" w:rsidSect="00914E01">
          <w:type w:val="continuous"/>
          <w:pgSz w:w="12240" w:h="15840"/>
          <w:pgMar w:top="1440" w:right="1260" w:bottom="1440" w:left="1260" w:header="708" w:footer="708" w:gutter="0"/>
          <w:cols w:num="2" w:space="709"/>
          <w:docGrid w:linePitch="360"/>
        </w:sectPr>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pPr>
        <w:pStyle w:val="Heading2"/>
      </w:pPr>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lastRenderedPageBreak/>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pStyle w:val="Heading2"/>
        <w:rPr>
          <w:rFonts w:ascii="Arial" w:eastAsia="Arial" w:hAnsi="Arial" w:cs="Arial"/>
          <w:b/>
          <w:bCs/>
          <w:color w:val="1F4D78"/>
          <w:sz w:val="26"/>
          <w:szCs w:val="26"/>
        </w:rPr>
      </w:pPr>
    </w:p>
    <w:p w14:paraId="2A22A410" w14:textId="43C4180A" w:rsidR="00FF34C7" w:rsidRDefault="00FF34C7" w:rsidP="00FF34C7">
      <w:pPr>
        <w:pStyle w:val="Heading2"/>
      </w:pPr>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Style w:val="Heading1"/>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pStyle w:val="Heading2"/>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pPr>
        <w:pStyle w:val="Heading2"/>
      </w:pPr>
      <w:bookmarkStart w:id="28" w:name="_Toc231224566"/>
      <w:r>
        <w:rPr>
          <w:rFonts w:ascii="Arial" w:eastAsia="Arial" w:hAnsi="Arial" w:cs="Arial"/>
          <w:b/>
          <w:bCs/>
          <w:color w:val="1F4D78"/>
          <w:sz w:val="26"/>
          <w:szCs w:val="26"/>
        </w:rPr>
        <w:lastRenderedPageBreak/>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pStyle w:val="Heading2"/>
        <w:rPr>
          <w:rFonts w:ascii="Arial" w:eastAsia="Arial" w:hAnsi="Arial" w:cs="Arial"/>
          <w:b/>
          <w:bCs/>
          <w:color w:val="1F4D78"/>
          <w:sz w:val="26"/>
          <w:szCs w:val="26"/>
        </w:rPr>
      </w:pPr>
    </w:p>
    <w:p w14:paraId="44E45C96" w14:textId="2386D64D" w:rsidR="00FF34C7" w:rsidRDefault="00FF34C7" w:rsidP="00FF34C7">
      <w:pPr>
        <w:pStyle w:val="Heading2"/>
      </w:pPr>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pStyle w:val="Heading2"/>
        <w:rPr>
          <w:rFonts w:ascii="Arial" w:eastAsia="Arial" w:hAnsi="Arial" w:cs="Arial"/>
          <w:b/>
          <w:bCs/>
          <w:color w:val="1F4D78"/>
          <w:sz w:val="26"/>
          <w:szCs w:val="26"/>
        </w:rPr>
      </w:pPr>
    </w:p>
    <w:p w14:paraId="3A8D7739" w14:textId="0CFEFE2B" w:rsidR="00FF34C7" w:rsidRDefault="00FF34C7" w:rsidP="00FF34C7">
      <w:pPr>
        <w:pStyle w:val="Heading2"/>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pStyle w:val="Heading2"/>
        <w:rPr>
          <w:rFonts w:ascii="Arial" w:eastAsia="Arial" w:hAnsi="Arial" w:cs="Arial"/>
          <w:b/>
          <w:bCs/>
          <w:color w:val="1F4D78"/>
          <w:sz w:val="26"/>
          <w:szCs w:val="26"/>
        </w:rPr>
      </w:pPr>
    </w:p>
    <w:p w14:paraId="187E460D" w14:textId="11E932BE" w:rsidR="00FF34C7" w:rsidRDefault="00FF34C7" w:rsidP="00FF34C7">
      <w:pPr>
        <w:pStyle w:val="Heading2"/>
      </w:pPr>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Style w:val="Heading1"/>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Style w:val="Heading1"/>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lastRenderedPageBreak/>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p w14:paraId="791A62CF" w14:textId="77777777" w:rsidR="00FF34C7" w:rsidRDefault="00FF34C7" w:rsidP="00E31A28">
      <w:pPr>
        <w:pStyle w:val="ListParagraph"/>
        <w:numPr>
          <w:ilvl w:val="0"/>
          <w:numId w:val="5"/>
        </w:numPr>
        <w:spacing w:before="40" w:after="60"/>
        <w:contextualSpacing w:val="0"/>
      </w:pPr>
      <w:r>
        <w:t>Synthetic seed and replay data are valid for blueprint, prototype, UAT and integration-contract proof before production feeds are connected.</w:t>
      </w:r>
    </w:p>
    <w:p w14:paraId="044D9F8E" w14:textId="77777777" w:rsidR="00FF34C7" w:rsidRDefault="00FF34C7" w:rsidP="00FF34C7">
      <w:pPr>
        <w:pStyle w:val="Heading1"/>
        <w:pBdr>
          <w:bottom w:val="single" w:sz="4" w:space="4" w:color="2E74B5"/>
        </w:pBdr>
      </w:pPr>
      <w:bookmarkStart w:id="34" w:name="_Toc231224572"/>
      <w:r>
        <w:rPr>
          <w:rFonts w:ascii="Arial" w:eastAsia="Arial" w:hAnsi="Arial" w:cs="Arial"/>
          <w:b/>
          <w:bCs/>
          <w:color w:val="0B2545"/>
          <w:sz w:val="32"/>
          <w:szCs w:val="32"/>
        </w:rPr>
        <w:t>14. Proposed Implementation Architecture</w:t>
      </w:r>
      <w:bookmarkEnd w:id="34"/>
    </w:p>
    <w:p w14:paraId="30EEC3E8" w14:textId="77777777" w:rsidR="00FF34C7" w:rsidRDefault="00FF34C7" w:rsidP="00FF34C7">
      <w:pPr>
        <w:spacing w:before="60" w:after="120" w:line="276" w:lineRule="auto"/>
      </w:pPr>
      <w: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55187E">
        <w:tc>
          <w:tcPr>
            <w:tcW w:w="2700" w:type="dxa"/>
            <w:shd w:val="clear" w:color="auto" w:fill="0B2545"/>
            <w:tcMar>
              <w:top w:w="80" w:type="dxa"/>
              <w:left w:w="120" w:type="dxa"/>
              <w:bottom w:w="80" w:type="dxa"/>
              <w:right w:w="120" w:type="dxa"/>
            </w:tcMar>
            <w:vAlign w:val="center"/>
          </w:tcPr>
          <w:p w14:paraId="52DE7365" w14:textId="77777777" w:rsidR="00FF34C7" w:rsidRDefault="00FF34C7" w:rsidP="0055187E">
            <w:pPr>
              <w:spacing w:line="252" w:lineRule="auto"/>
            </w:pPr>
            <w:r>
              <w:rPr>
                <w:b/>
                <w:bCs/>
                <w:color w:val="FFFFFF"/>
                <w:sz w:val="18"/>
                <w:szCs w:val="18"/>
              </w:rPr>
              <w:t>Layer</w:t>
            </w:r>
          </w:p>
        </w:tc>
        <w:tc>
          <w:tcPr>
            <w:tcW w:w="3060" w:type="dxa"/>
            <w:shd w:val="clear" w:color="auto" w:fill="0B2545"/>
            <w:tcMar>
              <w:top w:w="80" w:type="dxa"/>
              <w:left w:w="120" w:type="dxa"/>
              <w:bottom w:w="80" w:type="dxa"/>
              <w:right w:w="120" w:type="dxa"/>
            </w:tcMar>
            <w:vAlign w:val="center"/>
          </w:tcPr>
          <w:p w14:paraId="3AFDDAE9" w14:textId="77777777" w:rsidR="00FF34C7" w:rsidRDefault="00FF34C7" w:rsidP="0055187E">
            <w:pPr>
              <w:spacing w:line="252" w:lineRule="auto"/>
            </w:pPr>
            <w:r>
              <w:rPr>
                <w:b/>
                <w:bCs/>
                <w:color w:val="FFFFFF"/>
                <w:sz w:val="18"/>
                <w:szCs w:val="18"/>
              </w:rPr>
              <w:t>Technology</w:t>
            </w:r>
          </w:p>
        </w:tc>
        <w:tc>
          <w:tcPr>
            <w:tcW w:w="3600" w:type="dxa"/>
            <w:shd w:val="clear" w:color="auto" w:fill="0B2545"/>
            <w:tcMar>
              <w:top w:w="80" w:type="dxa"/>
              <w:left w:w="120" w:type="dxa"/>
              <w:bottom w:w="80" w:type="dxa"/>
              <w:right w:w="120" w:type="dxa"/>
            </w:tcMar>
            <w:vAlign w:val="center"/>
          </w:tcPr>
          <w:p w14:paraId="37C3E1BB" w14:textId="77777777" w:rsidR="00FF34C7" w:rsidRDefault="00FF34C7" w:rsidP="0055187E">
            <w:pPr>
              <w:spacing w:line="252" w:lineRule="auto"/>
            </w:pPr>
            <w:r>
              <w:rPr>
                <w:b/>
                <w:bCs/>
                <w:color w:val="FFFFFF"/>
                <w:sz w:val="18"/>
                <w:szCs w:val="18"/>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FF34C7" w:rsidRDefault="00FF34C7" w:rsidP="0055187E">
            <w:pPr>
              <w:spacing w:line="252" w:lineRule="auto"/>
            </w:pPr>
            <w:r>
              <w:rPr>
                <w:sz w:val="18"/>
                <w:szCs w:val="18"/>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FF34C7" w:rsidRDefault="00FF34C7" w:rsidP="0055187E">
            <w:pPr>
              <w:spacing w:line="252" w:lineRule="auto"/>
            </w:pPr>
            <w:r>
              <w:rPr>
                <w:sz w:val="18"/>
                <w:szCs w:val="18"/>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FF34C7" w:rsidRDefault="00FF34C7" w:rsidP="0055187E">
            <w:pPr>
              <w:spacing w:line="252" w:lineRule="auto"/>
            </w:pPr>
            <w:r>
              <w:rPr>
                <w:sz w:val="18"/>
                <w:szCs w:val="18"/>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FF34C7" w:rsidRDefault="00FF34C7" w:rsidP="0055187E">
            <w:pPr>
              <w:spacing w:line="252" w:lineRule="auto"/>
            </w:pPr>
            <w:r>
              <w:rPr>
                <w:sz w:val="18"/>
                <w:szCs w:val="18"/>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FF34C7" w:rsidRDefault="00FF34C7" w:rsidP="0055187E">
            <w:pPr>
              <w:spacing w:line="252" w:lineRule="auto"/>
            </w:pPr>
            <w:r>
              <w:rPr>
                <w:sz w:val="18"/>
                <w:szCs w:val="18"/>
              </w:rPr>
              <w:t>Vitest, Testing Library, jsdom</w:t>
            </w:r>
          </w:p>
        </w:tc>
        <w:tc>
          <w:tcPr>
            <w:tcW w:w="3600" w:type="dxa"/>
            <w:shd w:val="clear" w:color="auto" w:fill="F4F6F9"/>
            <w:tcMar>
              <w:top w:w="80" w:type="dxa"/>
              <w:left w:w="120" w:type="dxa"/>
              <w:bottom w:w="80" w:type="dxa"/>
              <w:right w:w="120" w:type="dxa"/>
            </w:tcMar>
            <w:vAlign w:val="center"/>
          </w:tcPr>
          <w:p w14:paraId="392A9EF7" w14:textId="77777777" w:rsidR="00FF34C7" w:rsidRDefault="00FF34C7" w:rsidP="0055187E">
            <w:pPr>
              <w:spacing w:line="252" w:lineRule="auto"/>
            </w:pPr>
            <w:r>
              <w:rPr>
                <w:sz w:val="18"/>
                <w:szCs w:val="18"/>
              </w:rPr>
              <w:t>UI behavior,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FF34C7" w:rsidRDefault="00FF34C7" w:rsidP="0055187E">
            <w:pPr>
              <w:spacing w:line="252" w:lineRule="auto"/>
            </w:pPr>
            <w:r>
              <w:rPr>
                <w:sz w:val="18"/>
                <w:szCs w:val="18"/>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FF34C7" w:rsidRDefault="00FF34C7" w:rsidP="0055187E">
            <w:pPr>
              <w:spacing w:line="252" w:lineRule="auto"/>
            </w:pPr>
            <w:r>
              <w:rPr>
                <w:sz w:val="18"/>
                <w:szCs w:val="18"/>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FF34C7" w:rsidRDefault="00FF34C7" w:rsidP="0055187E">
            <w:pPr>
              <w:spacing w:line="252" w:lineRule="auto"/>
            </w:pPr>
            <w:r>
              <w:rPr>
                <w:sz w:val="18"/>
                <w:szCs w:val="18"/>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FF34C7" w:rsidRDefault="00FF34C7" w:rsidP="0055187E">
            <w:pPr>
              <w:spacing w:line="252" w:lineRule="auto"/>
            </w:pPr>
            <w:r>
              <w:rPr>
                <w:sz w:val="18"/>
                <w:szCs w:val="18"/>
              </w:rPr>
              <w:t>Background jobs</w:t>
            </w:r>
          </w:p>
        </w:tc>
        <w:tc>
          <w:tcPr>
            <w:tcW w:w="3060" w:type="dxa"/>
            <w:shd w:val="clear" w:color="auto" w:fill="F4F6F9"/>
            <w:tcMar>
              <w:top w:w="80" w:type="dxa"/>
              <w:left w:w="120" w:type="dxa"/>
              <w:bottom w:w="80" w:type="dxa"/>
              <w:right w:w="120" w:type="dxa"/>
            </w:tcMar>
            <w:vAlign w:val="center"/>
          </w:tcPr>
          <w:p w14:paraId="58DD7482" w14:textId="77777777" w:rsidR="00FF34C7" w:rsidRDefault="00FF34C7" w:rsidP="0055187E">
            <w:pPr>
              <w:spacing w:line="252" w:lineRule="auto"/>
            </w:pPr>
            <w:r>
              <w:rPr>
                <w:sz w:val="18"/>
                <w:szCs w:val="18"/>
              </w:rPr>
              <w:t>Celery, Celery Beat</w:t>
            </w:r>
          </w:p>
        </w:tc>
        <w:tc>
          <w:tcPr>
            <w:tcW w:w="3600" w:type="dxa"/>
            <w:shd w:val="clear" w:color="auto" w:fill="F4F6F9"/>
            <w:tcMar>
              <w:top w:w="80" w:type="dxa"/>
              <w:left w:w="120" w:type="dxa"/>
              <w:bottom w:w="80" w:type="dxa"/>
              <w:right w:w="120" w:type="dxa"/>
            </w:tcMar>
            <w:vAlign w:val="center"/>
          </w:tcPr>
          <w:p w14:paraId="42CB90F8" w14:textId="77777777" w:rsidR="00FF34C7" w:rsidRDefault="00FF34C7" w:rsidP="0055187E">
            <w:pPr>
              <w:spacing w:line="252" w:lineRule="auto"/>
            </w:pPr>
            <w:r>
              <w:rPr>
                <w:sz w:val="18"/>
                <w:szCs w:val="18"/>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FF34C7" w:rsidRDefault="00FF34C7" w:rsidP="0055187E">
            <w:pPr>
              <w:spacing w:line="252" w:lineRule="auto"/>
            </w:pPr>
            <w:r>
              <w:rPr>
                <w:sz w:val="18"/>
                <w:szCs w:val="18"/>
              </w:rPr>
              <w:t>Application server</w:t>
            </w:r>
          </w:p>
        </w:tc>
        <w:tc>
          <w:tcPr>
            <w:tcW w:w="3060" w:type="dxa"/>
            <w:shd w:val="clear" w:color="auto" w:fill="FFFFFF"/>
            <w:tcMar>
              <w:top w:w="80" w:type="dxa"/>
              <w:left w:w="120" w:type="dxa"/>
              <w:bottom w:w="80" w:type="dxa"/>
              <w:right w:w="120" w:type="dxa"/>
            </w:tcMar>
            <w:vAlign w:val="center"/>
          </w:tcPr>
          <w:p w14:paraId="4BD6D19D" w14:textId="77777777" w:rsidR="00FF34C7" w:rsidRDefault="00FF34C7" w:rsidP="0055187E">
            <w:pPr>
              <w:spacing w:line="252" w:lineRule="auto"/>
            </w:pPr>
            <w:r>
              <w:rPr>
                <w:sz w:val="18"/>
                <w:szCs w:val="18"/>
              </w:rPr>
              <w:t>Gunicorn</w:t>
            </w:r>
          </w:p>
        </w:tc>
        <w:tc>
          <w:tcPr>
            <w:tcW w:w="3600" w:type="dxa"/>
            <w:shd w:val="clear" w:color="auto" w:fill="FFFFFF"/>
            <w:tcMar>
              <w:top w:w="80" w:type="dxa"/>
              <w:left w:w="120" w:type="dxa"/>
              <w:bottom w:w="80" w:type="dxa"/>
              <w:right w:w="120" w:type="dxa"/>
            </w:tcMar>
            <w:vAlign w:val="center"/>
          </w:tcPr>
          <w:p w14:paraId="0B345B4A" w14:textId="77777777" w:rsidR="00FF34C7" w:rsidRDefault="00FF34C7" w:rsidP="0055187E">
            <w:pPr>
              <w:spacing w:line="252" w:lineRule="auto"/>
            </w:pPr>
            <w:r>
              <w:rPr>
                <w:sz w:val="18"/>
                <w:szCs w:val="18"/>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FF34C7" w:rsidRDefault="00FF34C7" w:rsidP="0055187E">
            <w:pPr>
              <w:spacing w:line="252" w:lineRule="auto"/>
            </w:pPr>
            <w:r>
              <w:rPr>
                <w:sz w:val="18"/>
                <w:szCs w:val="18"/>
              </w:rPr>
              <w:t>Service testing</w:t>
            </w:r>
          </w:p>
        </w:tc>
        <w:tc>
          <w:tcPr>
            <w:tcW w:w="3060" w:type="dxa"/>
            <w:shd w:val="clear" w:color="auto" w:fill="F4F6F9"/>
            <w:tcMar>
              <w:top w:w="80" w:type="dxa"/>
              <w:left w:w="120" w:type="dxa"/>
              <w:bottom w:w="80" w:type="dxa"/>
              <w:right w:w="120" w:type="dxa"/>
            </w:tcMar>
            <w:vAlign w:val="center"/>
          </w:tcPr>
          <w:p w14:paraId="6905D545" w14:textId="77777777" w:rsidR="00FF34C7" w:rsidRDefault="00FF34C7" w:rsidP="0055187E">
            <w:pPr>
              <w:spacing w:line="252" w:lineRule="auto"/>
            </w:pPr>
            <w:r>
              <w:rPr>
                <w:sz w:val="18"/>
                <w:szCs w:val="18"/>
              </w:rPr>
              <w:t>pytest, pytest-django</w:t>
            </w:r>
          </w:p>
        </w:tc>
        <w:tc>
          <w:tcPr>
            <w:tcW w:w="3600" w:type="dxa"/>
            <w:shd w:val="clear" w:color="auto" w:fill="F4F6F9"/>
            <w:tcMar>
              <w:top w:w="80" w:type="dxa"/>
              <w:left w:w="120" w:type="dxa"/>
              <w:bottom w:w="80" w:type="dxa"/>
              <w:right w:w="120" w:type="dxa"/>
            </w:tcMar>
            <w:vAlign w:val="center"/>
          </w:tcPr>
          <w:p w14:paraId="1FD399A0" w14:textId="77777777" w:rsidR="00FF34C7" w:rsidRDefault="00FF34C7" w:rsidP="0055187E">
            <w:pPr>
              <w:spacing w:line="252" w:lineRule="auto"/>
            </w:pPr>
            <w:r>
              <w:rPr>
                <w:sz w:val="18"/>
                <w:szCs w:val="18"/>
              </w:rPr>
              <w:t>Business services, data rules, API behavior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FF34C7" w:rsidRDefault="00FF34C7" w:rsidP="0055187E">
            <w:pPr>
              <w:spacing w:line="252" w:lineRule="auto"/>
            </w:pPr>
            <w:r>
              <w:rPr>
                <w:sz w:val="18"/>
                <w:szCs w:val="18"/>
              </w:rPr>
              <w:t>Database</w:t>
            </w:r>
          </w:p>
        </w:tc>
        <w:tc>
          <w:tcPr>
            <w:tcW w:w="3060" w:type="dxa"/>
            <w:shd w:val="clear" w:color="auto" w:fill="FFFFFF"/>
            <w:tcMar>
              <w:top w:w="80" w:type="dxa"/>
              <w:left w:w="120" w:type="dxa"/>
              <w:bottom w:w="80" w:type="dxa"/>
              <w:right w:w="120" w:type="dxa"/>
            </w:tcMar>
            <w:vAlign w:val="center"/>
          </w:tcPr>
          <w:p w14:paraId="35389A04" w14:textId="77777777" w:rsidR="00FF34C7" w:rsidRDefault="00FF34C7" w:rsidP="0055187E">
            <w:pPr>
              <w:spacing w:line="252" w:lineRule="auto"/>
            </w:pPr>
            <w:r>
              <w:rPr>
                <w:sz w:val="18"/>
                <w:szCs w:val="18"/>
              </w:rPr>
              <w:t>PostgreSQL with PostGIS</w:t>
            </w:r>
          </w:p>
        </w:tc>
        <w:tc>
          <w:tcPr>
            <w:tcW w:w="3600" w:type="dxa"/>
            <w:shd w:val="clear" w:color="auto" w:fill="FFFFFF"/>
            <w:tcMar>
              <w:top w:w="80" w:type="dxa"/>
              <w:left w:w="120" w:type="dxa"/>
              <w:bottom w:w="80" w:type="dxa"/>
              <w:right w:w="120" w:type="dxa"/>
            </w:tcMar>
            <w:vAlign w:val="center"/>
          </w:tcPr>
          <w:p w14:paraId="57796C1C" w14:textId="77777777" w:rsidR="00FF34C7" w:rsidRDefault="00FF34C7" w:rsidP="0055187E">
            <w:pPr>
              <w:spacing w:line="252" w:lineRule="auto"/>
            </w:pPr>
            <w:r>
              <w:rPr>
                <w:sz w:val="18"/>
                <w:szCs w:val="18"/>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FF34C7" w:rsidRDefault="00FF34C7" w:rsidP="0055187E">
            <w:pPr>
              <w:spacing w:line="252" w:lineRule="auto"/>
            </w:pPr>
            <w:r>
              <w:rPr>
                <w:sz w:val="18"/>
                <w:szCs w:val="18"/>
              </w:rPr>
              <w:t>Cache / broker</w:t>
            </w:r>
          </w:p>
        </w:tc>
        <w:tc>
          <w:tcPr>
            <w:tcW w:w="3060" w:type="dxa"/>
            <w:shd w:val="clear" w:color="auto" w:fill="F4F6F9"/>
            <w:tcMar>
              <w:top w:w="80" w:type="dxa"/>
              <w:left w:w="120" w:type="dxa"/>
              <w:bottom w:w="80" w:type="dxa"/>
              <w:right w:w="120" w:type="dxa"/>
            </w:tcMar>
            <w:vAlign w:val="center"/>
          </w:tcPr>
          <w:p w14:paraId="0FA05085" w14:textId="77777777" w:rsidR="00FF34C7" w:rsidRDefault="00FF34C7" w:rsidP="0055187E">
            <w:pPr>
              <w:spacing w:line="252" w:lineRule="auto"/>
            </w:pPr>
            <w:r>
              <w:rPr>
                <w:sz w:val="18"/>
                <w:szCs w:val="18"/>
              </w:rPr>
              <w:t>Redis</w:t>
            </w:r>
          </w:p>
        </w:tc>
        <w:tc>
          <w:tcPr>
            <w:tcW w:w="3600" w:type="dxa"/>
            <w:shd w:val="clear" w:color="auto" w:fill="F4F6F9"/>
            <w:tcMar>
              <w:top w:w="80" w:type="dxa"/>
              <w:left w:w="120" w:type="dxa"/>
              <w:bottom w:w="80" w:type="dxa"/>
              <w:right w:w="120" w:type="dxa"/>
            </w:tcMar>
            <w:vAlign w:val="center"/>
          </w:tcPr>
          <w:p w14:paraId="143DBC83" w14:textId="77777777" w:rsidR="00FF34C7" w:rsidRDefault="00FF34C7" w:rsidP="0055187E">
            <w:pPr>
              <w:spacing w:line="252" w:lineRule="auto"/>
            </w:pPr>
            <w:r>
              <w:rPr>
                <w:sz w:val="18"/>
                <w:szCs w:val="18"/>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FF34C7" w:rsidRDefault="00FF34C7" w:rsidP="0055187E">
            <w:pPr>
              <w:spacing w:line="252" w:lineRule="auto"/>
            </w:pPr>
            <w:r>
              <w:rPr>
                <w:sz w:val="18"/>
                <w:szCs w:val="18"/>
              </w:rPr>
              <w:t>Object storage</w:t>
            </w:r>
          </w:p>
        </w:tc>
        <w:tc>
          <w:tcPr>
            <w:tcW w:w="3060" w:type="dxa"/>
            <w:shd w:val="clear" w:color="auto" w:fill="FFFFFF"/>
            <w:tcMar>
              <w:top w:w="80" w:type="dxa"/>
              <w:left w:w="120" w:type="dxa"/>
              <w:bottom w:w="80" w:type="dxa"/>
              <w:right w:w="120" w:type="dxa"/>
            </w:tcMar>
            <w:vAlign w:val="center"/>
          </w:tcPr>
          <w:p w14:paraId="543A198F" w14:textId="77777777" w:rsidR="00FF34C7" w:rsidRDefault="00FF34C7" w:rsidP="0055187E">
            <w:pPr>
              <w:spacing w:line="252" w:lineRule="auto"/>
            </w:pPr>
            <w:r>
              <w:rPr>
                <w:sz w:val="18"/>
                <w:szCs w:val="18"/>
              </w:rPr>
              <w:t>MinIO / S3-compatible storage</w:t>
            </w:r>
          </w:p>
        </w:tc>
        <w:tc>
          <w:tcPr>
            <w:tcW w:w="3600" w:type="dxa"/>
            <w:shd w:val="clear" w:color="auto" w:fill="FFFFFF"/>
            <w:tcMar>
              <w:top w:w="80" w:type="dxa"/>
              <w:left w:w="120" w:type="dxa"/>
              <w:bottom w:w="80" w:type="dxa"/>
              <w:right w:w="120" w:type="dxa"/>
            </w:tcMar>
            <w:vAlign w:val="center"/>
          </w:tcPr>
          <w:p w14:paraId="53F37045" w14:textId="77777777" w:rsidR="00FF34C7" w:rsidRDefault="00FF34C7" w:rsidP="0055187E">
            <w:pPr>
              <w:spacing w:line="252" w:lineRule="auto"/>
            </w:pPr>
            <w:r>
              <w:rPr>
                <w:sz w:val="18"/>
                <w:szCs w:val="18"/>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FF34C7" w:rsidRDefault="00FF34C7" w:rsidP="0055187E">
            <w:pPr>
              <w:spacing w:line="252" w:lineRule="auto"/>
            </w:pPr>
            <w:r>
              <w:rPr>
                <w:sz w:val="18"/>
                <w:szCs w:val="18"/>
              </w:rPr>
              <w:t>Edge routing</w:t>
            </w:r>
          </w:p>
        </w:tc>
        <w:tc>
          <w:tcPr>
            <w:tcW w:w="3060" w:type="dxa"/>
            <w:shd w:val="clear" w:color="auto" w:fill="F4F6F9"/>
            <w:tcMar>
              <w:top w:w="80" w:type="dxa"/>
              <w:left w:w="120" w:type="dxa"/>
              <w:bottom w:w="80" w:type="dxa"/>
              <w:right w:w="120" w:type="dxa"/>
            </w:tcMar>
            <w:vAlign w:val="center"/>
          </w:tcPr>
          <w:p w14:paraId="666B5043" w14:textId="77777777" w:rsidR="00FF34C7" w:rsidRDefault="00FF34C7" w:rsidP="0055187E">
            <w:pPr>
              <w:spacing w:line="252" w:lineRule="auto"/>
            </w:pPr>
            <w:r>
              <w:rPr>
                <w:sz w:val="18"/>
                <w:szCs w:val="18"/>
              </w:rPr>
              <w:t>Nginx</w:t>
            </w:r>
          </w:p>
        </w:tc>
        <w:tc>
          <w:tcPr>
            <w:tcW w:w="3600" w:type="dxa"/>
            <w:shd w:val="clear" w:color="auto" w:fill="F4F6F9"/>
            <w:tcMar>
              <w:top w:w="80" w:type="dxa"/>
              <w:left w:w="120" w:type="dxa"/>
              <w:bottom w:w="80" w:type="dxa"/>
              <w:right w:w="120" w:type="dxa"/>
            </w:tcMar>
            <w:vAlign w:val="center"/>
          </w:tcPr>
          <w:p w14:paraId="3DF3118D" w14:textId="77777777" w:rsidR="00FF34C7" w:rsidRDefault="00FF34C7" w:rsidP="0055187E">
            <w:pPr>
              <w:spacing w:line="252" w:lineRule="auto"/>
            </w:pPr>
            <w:r>
              <w:rPr>
                <w:sz w:val="18"/>
                <w:szCs w:val="18"/>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FF34C7" w:rsidRDefault="00FF34C7" w:rsidP="0055187E">
            <w:pPr>
              <w:spacing w:line="252" w:lineRule="auto"/>
            </w:pPr>
            <w:r>
              <w:rPr>
                <w:sz w:val="18"/>
                <w:szCs w:val="18"/>
              </w:rPr>
              <w:t>Runtime approach</w:t>
            </w:r>
          </w:p>
        </w:tc>
        <w:tc>
          <w:tcPr>
            <w:tcW w:w="3060" w:type="dxa"/>
            <w:shd w:val="clear" w:color="auto" w:fill="FFFFFF"/>
            <w:tcMar>
              <w:top w:w="80" w:type="dxa"/>
              <w:left w:w="120" w:type="dxa"/>
              <w:bottom w:w="80" w:type="dxa"/>
              <w:right w:w="120" w:type="dxa"/>
            </w:tcMar>
            <w:vAlign w:val="center"/>
          </w:tcPr>
          <w:p w14:paraId="5174BFFB" w14:textId="77777777" w:rsidR="00FF34C7" w:rsidRDefault="00FF34C7" w:rsidP="0055187E">
            <w:pPr>
              <w:spacing w:line="252" w:lineRule="auto"/>
            </w:pPr>
            <w:r>
              <w:rPr>
                <w:sz w:val="18"/>
                <w:szCs w:val="18"/>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FF34C7" w:rsidRDefault="00FF34C7" w:rsidP="0055187E">
            <w:pPr>
              <w:spacing w:line="252" w:lineRule="auto"/>
            </w:pPr>
            <w:r>
              <w:rPr>
                <w:sz w:val="18"/>
                <w:szCs w:val="18"/>
              </w:rPr>
              <w:t>Repeatable deployment units for local, UAT and production environments</w:t>
            </w:r>
          </w:p>
        </w:tc>
      </w:tr>
    </w:tbl>
    <w:p w14:paraId="1A9E7D4A" w14:textId="77777777" w:rsidR="00FF34C7" w:rsidRDefault="00FF34C7" w:rsidP="00FF34C7">
      <w:pPr>
        <w:spacing w:before="60" w:after="120" w:line="276" w:lineRule="auto"/>
      </w:pPr>
      <w:r>
        <w:t>Deferred integration technology includes, where required by confirmed integration scope, MQTT, HTTP callbacks, AIS/NMEA feeds, Kafka/Redpanda, TimescaleDB or ClickHouse, OPC-UA or Modbus, and live UI push updates.</w:t>
      </w:r>
    </w:p>
    <w:p w14:paraId="4D393109" w14:textId="77777777" w:rsidR="00FF34C7" w:rsidRDefault="00FF34C7" w:rsidP="00FF34C7">
      <w:pPr>
        <w:pStyle w:val="Heading1"/>
        <w:pBdr>
          <w:bottom w:val="single" w:sz="4" w:space="4" w:color="2E74B5"/>
        </w:pBdr>
      </w:pPr>
      <w:bookmarkStart w:id="35" w:name="_Toc231224573"/>
      <w:r>
        <w:rPr>
          <w:rFonts w:ascii="Arial" w:eastAsia="Arial" w:hAnsi="Arial" w:cs="Arial"/>
          <w:b/>
          <w:bCs/>
          <w:color w:val="0B2545"/>
          <w:sz w:val="32"/>
          <w:szCs w:val="32"/>
        </w:rPr>
        <w:lastRenderedPageBreak/>
        <w:t>15. External Data Sources Assumed To Be Available</w:t>
      </w:r>
      <w:bookmarkEnd w:id="3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55187E">
        <w:tc>
          <w:tcPr>
            <w:tcW w:w="2000" w:type="dxa"/>
            <w:shd w:val="clear" w:color="auto" w:fill="0B2545"/>
            <w:tcMar>
              <w:top w:w="80" w:type="dxa"/>
              <w:left w:w="120" w:type="dxa"/>
              <w:bottom w:w="80" w:type="dxa"/>
              <w:right w:w="120" w:type="dxa"/>
            </w:tcMar>
            <w:vAlign w:val="center"/>
          </w:tcPr>
          <w:p w14:paraId="261B061B" w14:textId="77777777" w:rsidR="00FF34C7" w:rsidRDefault="00FF34C7" w:rsidP="0055187E">
            <w:pPr>
              <w:spacing w:line="252" w:lineRule="auto"/>
            </w:pPr>
            <w:r>
              <w:rPr>
                <w:b/>
                <w:bCs/>
                <w:color w:val="FFFFFF"/>
                <w:sz w:val="18"/>
                <w:szCs w:val="18"/>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FF34C7" w:rsidRDefault="00FF34C7" w:rsidP="0055187E">
            <w:pPr>
              <w:spacing w:line="252" w:lineRule="auto"/>
            </w:pPr>
            <w:r>
              <w:rPr>
                <w:b/>
                <w:bCs/>
                <w:color w:val="FFFFFF"/>
                <w:sz w:val="18"/>
                <w:szCs w:val="18"/>
              </w:rPr>
              <w:t>Assumed content</w:t>
            </w:r>
          </w:p>
        </w:tc>
        <w:tc>
          <w:tcPr>
            <w:tcW w:w="2280" w:type="dxa"/>
            <w:shd w:val="clear" w:color="auto" w:fill="0B2545"/>
            <w:tcMar>
              <w:top w:w="80" w:type="dxa"/>
              <w:left w:w="120" w:type="dxa"/>
              <w:bottom w:w="80" w:type="dxa"/>
              <w:right w:w="120" w:type="dxa"/>
            </w:tcMar>
            <w:vAlign w:val="center"/>
          </w:tcPr>
          <w:p w14:paraId="4701661C" w14:textId="77777777" w:rsidR="00FF34C7" w:rsidRDefault="00FF34C7" w:rsidP="0055187E">
            <w:pPr>
              <w:spacing w:line="252" w:lineRule="auto"/>
            </w:pPr>
            <w:r>
              <w:rPr>
                <w:b/>
                <w:bCs/>
                <w:color w:val="FFFFFF"/>
                <w:sz w:val="18"/>
                <w:szCs w:val="18"/>
              </w:rPr>
              <w:t>Initial handling</w:t>
            </w:r>
          </w:p>
        </w:tc>
        <w:tc>
          <w:tcPr>
            <w:tcW w:w="2280" w:type="dxa"/>
            <w:shd w:val="clear" w:color="auto" w:fill="0B2545"/>
            <w:tcMar>
              <w:top w:w="80" w:type="dxa"/>
              <w:left w:w="120" w:type="dxa"/>
              <w:bottom w:w="80" w:type="dxa"/>
              <w:right w:w="120" w:type="dxa"/>
            </w:tcMar>
            <w:vAlign w:val="center"/>
          </w:tcPr>
          <w:p w14:paraId="1BB72C72" w14:textId="77777777" w:rsidR="00FF34C7" w:rsidRDefault="00FF34C7" w:rsidP="0055187E">
            <w:pPr>
              <w:spacing w:line="252" w:lineRule="auto"/>
            </w:pPr>
            <w:r>
              <w:rPr>
                <w:b/>
                <w:bCs/>
                <w:color w:val="FFFFFF"/>
                <w:sz w:val="18"/>
                <w:szCs w:val="18"/>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FF34C7" w:rsidRDefault="00FF34C7" w:rsidP="0055187E">
            <w:pPr>
              <w:spacing w:line="252" w:lineRule="auto"/>
            </w:pPr>
            <w:r>
              <w:rPr>
                <w:sz w:val="18"/>
                <w:szCs w:val="18"/>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FF34C7" w:rsidRDefault="00FF34C7" w:rsidP="0055187E">
            <w:pPr>
              <w:spacing w:line="252" w:lineRule="auto"/>
            </w:pPr>
            <w:r>
              <w:rPr>
                <w:sz w:val="18"/>
                <w:szCs w:val="18"/>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FF34C7" w:rsidRDefault="00FF34C7" w:rsidP="0055187E">
            <w:pPr>
              <w:spacing w:line="252" w:lineRule="auto"/>
            </w:pPr>
            <w:r>
              <w:rPr>
                <w:sz w:val="18"/>
                <w:szCs w:val="18"/>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FF34C7" w:rsidRDefault="00FF34C7" w:rsidP="0055187E">
            <w:pPr>
              <w:spacing w:line="252" w:lineRule="auto"/>
            </w:pPr>
            <w:r>
              <w:rPr>
                <w:sz w:val="18"/>
                <w:szCs w:val="18"/>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FF34C7" w:rsidRDefault="00FF34C7" w:rsidP="0055187E">
            <w:pPr>
              <w:spacing w:line="252" w:lineRule="auto"/>
            </w:pPr>
            <w:r>
              <w:rPr>
                <w:sz w:val="18"/>
                <w:szCs w:val="18"/>
              </w:rPr>
              <w:t>OGV schedule</w:t>
            </w:r>
          </w:p>
        </w:tc>
        <w:tc>
          <w:tcPr>
            <w:tcW w:w="2800" w:type="dxa"/>
            <w:shd w:val="clear" w:color="auto" w:fill="F4F6F9"/>
            <w:tcMar>
              <w:top w:w="80" w:type="dxa"/>
              <w:left w:w="120" w:type="dxa"/>
              <w:bottom w:w="80" w:type="dxa"/>
              <w:right w:w="120" w:type="dxa"/>
            </w:tcMar>
            <w:vAlign w:val="center"/>
          </w:tcPr>
          <w:p w14:paraId="2B7488F7" w14:textId="77777777" w:rsidR="00FF34C7" w:rsidRDefault="00FF34C7" w:rsidP="0055187E">
            <w:pPr>
              <w:spacing w:line="252" w:lineRule="auto"/>
            </w:pPr>
            <w:r>
              <w:rPr>
                <w:sz w:val="18"/>
                <w:szCs w:val="18"/>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FF34C7" w:rsidRDefault="00FF34C7" w:rsidP="0055187E">
            <w:pPr>
              <w:spacing w:line="252" w:lineRule="auto"/>
            </w:pPr>
            <w:r>
              <w:rPr>
                <w:sz w:val="18"/>
                <w:szCs w:val="18"/>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FF34C7" w:rsidRDefault="00FF34C7" w:rsidP="0055187E">
            <w:pPr>
              <w:spacing w:line="252" w:lineRule="auto"/>
            </w:pPr>
            <w:r>
              <w:rPr>
                <w:sz w:val="18"/>
                <w:szCs w:val="18"/>
              </w:rPr>
              <w:t>API feed from Berau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FF34C7" w:rsidRDefault="00FF34C7" w:rsidP="0055187E">
            <w:pPr>
              <w:spacing w:line="252" w:lineRule="auto"/>
            </w:pPr>
            <w:r>
              <w:rPr>
                <w:sz w:val="18"/>
                <w:szCs w:val="18"/>
              </w:rPr>
              <w:t>Cargo/source data</w:t>
            </w:r>
          </w:p>
        </w:tc>
        <w:tc>
          <w:tcPr>
            <w:tcW w:w="2800" w:type="dxa"/>
            <w:shd w:val="clear" w:color="auto" w:fill="FFFFFF"/>
            <w:tcMar>
              <w:top w:w="80" w:type="dxa"/>
              <w:left w:w="120" w:type="dxa"/>
              <w:bottom w:w="80" w:type="dxa"/>
              <w:right w:w="120" w:type="dxa"/>
            </w:tcMar>
            <w:vAlign w:val="center"/>
          </w:tcPr>
          <w:p w14:paraId="53154265" w14:textId="77777777" w:rsidR="00FF34C7" w:rsidRDefault="00FF34C7" w:rsidP="0055187E">
            <w:pPr>
              <w:spacing w:line="252" w:lineRule="auto"/>
            </w:pPr>
            <w:r>
              <w:rPr>
                <w:sz w:val="18"/>
                <w:szCs w:val="18"/>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FF34C7" w:rsidRDefault="00FF34C7" w:rsidP="0055187E">
            <w:pPr>
              <w:spacing w:line="252" w:lineRule="auto"/>
            </w:pPr>
            <w:r>
              <w:rPr>
                <w:sz w:val="18"/>
                <w:szCs w:val="18"/>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FF34C7" w:rsidRDefault="00FF34C7" w:rsidP="0055187E">
            <w:pPr>
              <w:spacing w:line="252" w:lineRule="auto"/>
            </w:pPr>
            <w:r>
              <w:rPr>
                <w:sz w:val="18"/>
                <w:szCs w:val="18"/>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FF34C7" w:rsidRDefault="00FF34C7" w:rsidP="0055187E">
            <w:pPr>
              <w:spacing w:line="252" w:lineRule="auto"/>
            </w:pPr>
            <w:r>
              <w:rPr>
                <w:sz w:val="18"/>
                <w:szCs w:val="18"/>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FF34C7" w:rsidRDefault="00FF34C7" w:rsidP="0055187E">
            <w:pPr>
              <w:spacing w:line="252" w:lineRule="auto"/>
            </w:pPr>
            <w:r>
              <w:rPr>
                <w:sz w:val="18"/>
                <w:szCs w:val="18"/>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FF34C7" w:rsidRDefault="00FF34C7" w:rsidP="0055187E">
            <w:pPr>
              <w:spacing w:line="252" w:lineRule="auto"/>
            </w:pPr>
            <w:r>
              <w:rPr>
                <w:sz w:val="18"/>
                <w:szCs w:val="18"/>
              </w:rPr>
              <w:t>Cargo layer model</w:t>
            </w:r>
          </w:p>
        </w:tc>
        <w:tc>
          <w:tcPr>
            <w:tcW w:w="2280" w:type="dxa"/>
            <w:shd w:val="clear" w:color="auto" w:fill="F4F6F9"/>
            <w:tcMar>
              <w:top w:w="80" w:type="dxa"/>
              <w:left w:w="120" w:type="dxa"/>
              <w:bottom w:w="80" w:type="dxa"/>
              <w:right w:w="120" w:type="dxa"/>
            </w:tcMar>
            <w:vAlign w:val="center"/>
          </w:tcPr>
          <w:p w14:paraId="201842C3" w14:textId="77777777" w:rsidR="00FF34C7" w:rsidRDefault="00FF34C7" w:rsidP="0055187E">
            <w:pPr>
              <w:spacing w:line="252" w:lineRule="auto"/>
            </w:pPr>
            <w:r>
              <w:rPr>
                <w:sz w:val="18"/>
                <w:szCs w:val="18"/>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FF34C7" w:rsidRDefault="00FF34C7" w:rsidP="0055187E">
            <w:pPr>
              <w:spacing w:line="252" w:lineRule="auto"/>
            </w:pPr>
            <w:r>
              <w:rPr>
                <w:sz w:val="18"/>
                <w:szCs w:val="18"/>
              </w:rPr>
              <w:t>Jetty/BLC data</w:t>
            </w:r>
          </w:p>
        </w:tc>
        <w:tc>
          <w:tcPr>
            <w:tcW w:w="2800" w:type="dxa"/>
            <w:shd w:val="clear" w:color="auto" w:fill="FFFFFF"/>
            <w:tcMar>
              <w:top w:w="80" w:type="dxa"/>
              <w:left w:w="120" w:type="dxa"/>
              <w:bottom w:w="80" w:type="dxa"/>
              <w:right w:w="120" w:type="dxa"/>
            </w:tcMar>
            <w:vAlign w:val="center"/>
          </w:tcPr>
          <w:p w14:paraId="160455D7" w14:textId="77777777" w:rsidR="00FF34C7" w:rsidRDefault="00FF34C7" w:rsidP="0055187E">
            <w:pPr>
              <w:spacing w:line="252" w:lineRule="auto"/>
            </w:pPr>
            <w:r>
              <w:rPr>
                <w:sz w:val="18"/>
                <w:szCs w:val="18"/>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FF34C7" w:rsidRDefault="00FF34C7" w:rsidP="0055187E">
            <w:pPr>
              <w:spacing w:line="252" w:lineRule="auto"/>
            </w:pPr>
            <w:r>
              <w:rPr>
                <w:sz w:val="18"/>
                <w:szCs w:val="18"/>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FF34C7" w:rsidRDefault="00FF34C7" w:rsidP="0055187E">
            <w:pPr>
              <w:spacing w:line="252" w:lineRule="auto"/>
            </w:pPr>
            <w:r>
              <w:rPr>
                <w:sz w:val="18"/>
                <w:szCs w:val="18"/>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FF34C7" w:rsidRDefault="00FF34C7" w:rsidP="0055187E">
            <w:pPr>
              <w:spacing w:line="252" w:lineRule="auto"/>
            </w:pPr>
            <w:r>
              <w:rPr>
                <w:sz w:val="18"/>
                <w:szCs w:val="18"/>
              </w:rPr>
              <w:t>ABL fleet data</w:t>
            </w:r>
          </w:p>
        </w:tc>
        <w:tc>
          <w:tcPr>
            <w:tcW w:w="2800" w:type="dxa"/>
            <w:shd w:val="clear" w:color="auto" w:fill="F4F6F9"/>
            <w:tcMar>
              <w:top w:w="80" w:type="dxa"/>
              <w:left w:w="120" w:type="dxa"/>
              <w:bottom w:w="80" w:type="dxa"/>
              <w:right w:w="120" w:type="dxa"/>
            </w:tcMar>
            <w:vAlign w:val="center"/>
          </w:tcPr>
          <w:p w14:paraId="2C80A90E" w14:textId="77777777" w:rsidR="00FF34C7" w:rsidRDefault="00FF34C7" w:rsidP="0055187E">
            <w:pPr>
              <w:spacing w:line="252" w:lineRule="auto"/>
            </w:pPr>
            <w:r>
              <w:rPr>
                <w:sz w:val="18"/>
                <w:szCs w:val="18"/>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FF34C7" w:rsidRDefault="00FF34C7" w:rsidP="0055187E">
            <w:pPr>
              <w:spacing w:line="252" w:lineRule="auto"/>
            </w:pPr>
            <w:r>
              <w:rPr>
                <w:sz w:val="18"/>
                <w:szCs w:val="18"/>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FF34C7" w:rsidRDefault="00FF34C7" w:rsidP="0055187E">
            <w:pPr>
              <w:spacing w:line="252" w:lineRule="auto"/>
            </w:pPr>
            <w:r>
              <w:rPr>
                <w:sz w:val="18"/>
                <w:szCs w:val="18"/>
              </w:rPr>
              <w:t>Spinergie,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FF34C7" w:rsidRDefault="00FF34C7" w:rsidP="0055187E">
            <w:pPr>
              <w:spacing w:line="252" w:lineRule="auto"/>
            </w:pPr>
            <w:r>
              <w:rPr>
                <w:sz w:val="18"/>
                <w:szCs w:val="18"/>
              </w:rPr>
              <w:t>Tide data</w:t>
            </w:r>
          </w:p>
        </w:tc>
        <w:tc>
          <w:tcPr>
            <w:tcW w:w="2800" w:type="dxa"/>
            <w:shd w:val="clear" w:color="auto" w:fill="FFFFFF"/>
            <w:tcMar>
              <w:top w:w="80" w:type="dxa"/>
              <w:left w:w="120" w:type="dxa"/>
              <w:bottom w:w="80" w:type="dxa"/>
              <w:right w:w="120" w:type="dxa"/>
            </w:tcMar>
            <w:vAlign w:val="center"/>
          </w:tcPr>
          <w:p w14:paraId="70C1083F" w14:textId="77777777" w:rsidR="00FF34C7" w:rsidRDefault="00FF34C7" w:rsidP="0055187E">
            <w:pPr>
              <w:spacing w:line="252" w:lineRule="auto"/>
            </w:pPr>
            <w:r>
              <w:rPr>
                <w:sz w:val="18"/>
                <w:szCs w:val="18"/>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FF34C7" w:rsidRDefault="00FF34C7" w:rsidP="0055187E">
            <w:pPr>
              <w:spacing w:line="252" w:lineRule="auto"/>
            </w:pPr>
            <w:r>
              <w:rPr>
                <w:sz w:val="18"/>
                <w:szCs w:val="18"/>
              </w:rPr>
              <w:t>Manual tide windows</w:t>
            </w:r>
          </w:p>
        </w:tc>
        <w:tc>
          <w:tcPr>
            <w:tcW w:w="2280" w:type="dxa"/>
            <w:shd w:val="clear" w:color="auto" w:fill="FFFFFF"/>
            <w:tcMar>
              <w:top w:w="80" w:type="dxa"/>
              <w:left w:w="120" w:type="dxa"/>
              <w:bottom w:w="80" w:type="dxa"/>
              <w:right w:w="120" w:type="dxa"/>
            </w:tcMar>
            <w:vAlign w:val="center"/>
          </w:tcPr>
          <w:p w14:paraId="48946331" w14:textId="77777777" w:rsidR="00FF34C7" w:rsidRDefault="00FF34C7" w:rsidP="0055187E">
            <w:pPr>
              <w:spacing w:line="252" w:lineRule="auto"/>
            </w:pPr>
            <w:r>
              <w:rPr>
                <w:sz w:val="18"/>
                <w:szCs w:val="18"/>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FF34C7" w:rsidRDefault="00FF34C7" w:rsidP="0055187E">
            <w:pPr>
              <w:spacing w:line="252" w:lineRule="auto"/>
            </w:pPr>
            <w:r>
              <w:rPr>
                <w:sz w:val="18"/>
                <w:szCs w:val="18"/>
              </w:rPr>
              <w:t>Bridge data</w:t>
            </w:r>
          </w:p>
        </w:tc>
        <w:tc>
          <w:tcPr>
            <w:tcW w:w="2800" w:type="dxa"/>
            <w:shd w:val="clear" w:color="auto" w:fill="F4F6F9"/>
            <w:tcMar>
              <w:top w:w="80" w:type="dxa"/>
              <w:left w:w="120" w:type="dxa"/>
              <w:bottom w:w="80" w:type="dxa"/>
              <w:right w:w="120" w:type="dxa"/>
            </w:tcMar>
            <w:vAlign w:val="center"/>
          </w:tcPr>
          <w:p w14:paraId="2E65FCF9" w14:textId="77777777" w:rsidR="00FF34C7" w:rsidRDefault="00FF34C7" w:rsidP="0055187E">
            <w:pPr>
              <w:spacing w:line="252" w:lineRule="auto"/>
            </w:pPr>
            <w:r>
              <w:rPr>
                <w:sz w:val="18"/>
                <w:szCs w:val="18"/>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FF34C7" w:rsidRDefault="00FF34C7" w:rsidP="0055187E">
            <w:pPr>
              <w:spacing w:line="252" w:lineRule="auto"/>
            </w:pPr>
            <w:r>
              <w:rPr>
                <w:sz w:val="18"/>
                <w:szCs w:val="18"/>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FF34C7" w:rsidRDefault="00FF34C7" w:rsidP="0055187E">
            <w:pPr>
              <w:spacing w:line="252" w:lineRule="auto"/>
            </w:pPr>
            <w:r>
              <w:rPr>
                <w:sz w:val="18"/>
                <w:szCs w:val="18"/>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FF34C7" w:rsidRDefault="00FF34C7" w:rsidP="0055187E">
            <w:pPr>
              <w:spacing w:line="252" w:lineRule="auto"/>
            </w:pPr>
            <w:r>
              <w:rPr>
                <w:sz w:val="18"/>
                <w:szCs w:val="18"/>
              </w:rPr>
              <w:t>Weather/marine data</w:t>
            </w:r>
          </w:p>
        </w:tc>
        <w:tc>
          <w:tcPr>
            <w:tcW w:w="2800" w:type="dxa"/>
            <w:shd w:val="clear" w:color="auto" w:fill="FFFFFF"/>
            <w:tcMar>
              <w:top w:w="80" w:type="dxa"/>
              <w:left w:w="120" w:type="dxa"/>
              <w:bottom w:w="80" w:type="dxa"/>
              <w:right w:w="120" w:type="dxa"/>
            </w:tcMar>
            <w:vAlign w:val="center"/>
          </w:tcPr>
          <w:p w14:paraId="35055888" w14:textId="77777777" w:rsidR="00FF34C7" w:rsidRDefault="00FF34C7" w:rsidP="0055187E">
            <w:pPr>
              <w:spacing w:line="252" w:lineRule="auto"/>
            </w:pPr>
            <w:r>
              <w:rPr>
                <w:sz w:val="18"/>
                <w:szCs w:val="18"/>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FF34C7" w:rsidRDefault="00FF34C7" w:rsidP="0055187E">
            <w:pPr>
              <w:spacing w:line="252" w:lineRule="auto"/>
            </w:pPr>
            <w:r>
              <w:rPr>
                <w:sz w:val="18"/>
                <w:szCs w:val="18"/>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FF34C7" w:rsidRDefault="00FF34C7" w:rsidP="0055187E">
            <w:pPr>
              <w:spacing w:line="252" w:lineRule="auto"/>
            </w:pPr>
            <w:r>
              <w:rPr>
                <w:sz w:val="18"/>
                <w:szCs w:val="18"/>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FF34C7" w:rsidRDefault="00FF34C7" w:rsidP="0055187E">
            <w:pPr>
              <w:spacing w:line="252" w:lineRule="auto"/>
            </w:pPr>
            <w:r>
              <w:rPr>
                <w:sz w:val="18"/>
                <w:szCs w:val="18"/>
              </w:rPr>
              <w:t>GPS/AIS data</w:t>
            </w:r>
          </w:p>
        </w:tc>
        <w:tc>
          <w:tcPr>
            <w:tcW w:w="2800" w:type="dxa"/>
            <w:shd w:val="clear" w:color="auto" w:fill="F4F6F9"/>
            <w:tcMar>
              <w:top w:w="80" w:type="dxa"/>
              <w:left w:w="120" w:type="dxa"/>
              <w:bottom w:w="80" w:type="dxa"/>
              <w:right w:w="120" w:type="dxa"/>
            </w:tcMar>
            <w:vAlign w:val="center"/>
          </w:tcPr>
          <w:p w14:paraId="22515008" w14:textId="77777777" w:rsidR="00FF34C7" w:rsidRDefault="00FF34C7" w:rsidP="0055187E">
            <w:pPr>
              <w:spacing w:line="252" w:lineRule="auto"/>
            </w:pPr>
            <w:r>
              <w:rPr>
                <w:sz w:val="18"/>
                <w:szCs w:val="18"/>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FF34C7" w:rsidRDefault="00FF34C7" w:rsidP="0055187E">
            <w:pPr>
              <w:spacing w:line="252" w:lineRule="auto"/>
            </w:pPr>
            <w:r>
              <w:rPr>
                <w:sz w:val="18"/>
                <w:szCs w:val="18"/>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FF34C7" w:rsidRDefault="00FF34C7" w:rsidP="0055187E">
            <w:pPr>
              <w:spacing w:line="252" w:lineRule="auto"/>
            </w:pPr>
            <w:r>
              <w:rPr>
                <w:sz w:val="18"/>
                <w:szCs w:val="18"/>
              </w:rPr>
              <w:t>Spinergie,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FF34C7" w:rsidRDefault="00FF34C7" w:rsidP="0055187E">
            <w:pPr>
              <w:spacing w:line="252" w:lineRule="auto"/>
            </w:pPr>
            <w:r>
              <w:rPr>
                <w:sz w:val="18"/>
                <w:szCs w:val="18"/>
              </w:rPr>
              <w:t>Operational events</w:t>
            </w:r>
          </w:p>
        </w:tc>
        <w:tc>
          <w:tcPr>
            <w:tcW w:w="2800" w:type="dxa"/>
            <w:shd w:val="clear" w:color="auto" w:fill="FFFFFF"/>
            <w:tcMar>
              <w:top w:w="80" w:type="dxa"/>
              <w:left w:w="120" w:type="dxa"/>
              <w:bottom w:w="80" w:type="dxa"/>
              <w:right w:w="120" w:type="dxa"/>
            </w:tcMar>
            <w:vAlign w:val="center"/>
          </w:tcPr>
          <w:p w14:paraId="1D74A7C3" w14:textId="77777777" w:rsidR="00FF34C7" w:rsidRDefault="00FF34C7" w:rsidP="0055187E">
            <w:pPr>
              <w:spacing w:line="252" w:lineRule="auto"/>
            </w:pPr>
            <w:r>
              <w:rPr>
                <w:sz w:val="18"/>
                <w:szCs w:val="18"/>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FF34C7" w:rsidRDefault="00FF34C7" w:rsidP="0055187E">
            <w:pPr>
              <w:spacing w:line="252" w:lineRule="auto"/>
            </w:pPr>
            <w:r>
              <w:rPr>
                <w:sz w:val="18"/>
                <w:szCs w:val="18"/>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FF34C7" w:rsidRDefault="00FF34C7" w:rsidP="0055187E">
            <w:pPr>
              <w:spacing w:line="252" w:lineRule="auto"/>
            </w:pPr>
            <w:r>
              <w:rPr>
                <w:sz w:val="18"/>
                <w:szCs w:val="18"/>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FF34C7" w:rsidRDefault="00FF34C7" w:rsidP="0055187E">
            <w:pPr>
              <w:spacing w:line="252" w:lineRule="auto"/>
            </w:pPr>
            <w:r>
              <w:rPr>
                <w:sz w:val="18"/>
                <w:szCs w:val="18"/>
              </w:rPr>
              <w:t>Device health</w:t>
            </w:r>
          </w:p>
        </w:tc>
        <w:tc>
          <w:tcPr>
            <w:tcW w:w="2800" w:type="dxa"/>
            <w:shd w:val="clear" w:color="auto" w:fill="F4F6F9"/>
            <w:tcMar>
              <w:top w:w="80" w:type="dxa"/>
              <w:left w:w="120" w:type="dxa"/>
              <w:bottom w:w="80" w:type="dxa"/>
              <w:right w:w="120" w:type="dxa"/>
            </w:tcMar>
            <w:vAlign w:val="center"/>
          </w:tcPr>
          <w:p w14:paraId="5E76F1AF" w14:textId="77777777" w:rsidR="00FF34C7" w:rsidRDefault="00FF34C7" w:rsidP="0055187E">
            <w:pPr>
              <w:spacing w:line="252" w:lineRule="auto"/>
            </w:pPr>
            <w:r>
              <w:rPr>
                <w:sz w:val="18"/>
                <w:szCs w:val="18"/>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FF34C7" w:rsidRDefault="00FF34C7" w:rsidP="0055187E">
            <w:pPr>
              <w:spacing w:line="252" w:lineRule="auto"/>
            </w:pPr>
            <w:r>
              <w:rPr>
                <w:sz w:val="18"/>
                <w:szCs w:val="18"/>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FF34C7" w:rsidRDefault="00FF34C7" w:rsidP="0055187E">
            <w:pPr>
              <w:spacing w:line="252" w:lineRule="auto"/>
            </w:pPr>
            <w:r>
              <w:rPr>
                <w:sz w:val="18"/>
                <w:szCs w:val="18"/>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FF34C7" w:rsidRDefault="00FF34C7" w:rsidP="0055187E">
            <w:pPr>
              <w:spacing w:line="252" w:lineRule="auto"/>
            </w:pPr>
            <w:r>
              <w:rPr>
                <w:sz w:val="18"/>
                <w:szCs w:val="18"/>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FF34C7" w:rsidRDefault="00FF34C7" w:rsidP="0055187E">
            <w:pPr>
              <w:spacing w:line="252" w:lineRule="auto"/>
            </w:pPr>
            <w:r>
              <w:rPr>
                <w:sz w:val="18"/>
                <w:szCs w:val="18"/>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FF34C7" w:rsidRDefault="00FF34C7" w:rsidP="0055187E">
            <w:pPr>
              <w:spacing w:line="252" w:lineRule="auto"/>
            </w:pPr>
            <w:r>
              <w:rPr>
                <w:sz w:val="18"/>
                <w:szCs w:val="18"/>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FF34C7" w:rsidRDefault="00FF34C7" w:rsidP="0055187E">
            <w:pPr>
              <w:spacing w:line="252" w:lineRule="auto"/>
            </w:pPr>
            <w:r>
              <w:rPr>
                <w:sz w:val="18"/>
                <w:szCs w:val="18"/>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FF34C7" w:rsidRDefault="00FF34C7" w:rsidP="0055187E">
            <w:pPr>
              <w:spacing w:line="252" w:lineRule="auto"/>
            </w:pPr>
            <w:r>
              <w:rPr>
                <w:sz w:val="18"/>
                <w:szCs w:val="18"/>
              </w:rPr>
              <w:t>Commercial parameters</w:t>
            </w:r>
          </w:p>
        </w:tc>
        <w:tc>
          <w:tcPr>
            <w:tcW w:w="2800" w:type="dxa"/>
            <w:shd w:val="clear" w:color="auto" w:fill="F4F6F9"/>
            <w:tcMar>
              <w:top w:w="80" w:type="dxa"/>
              <w:left w:w="120" w:type="dxa"/>
              <w:bottom w:w="80" w:type="dxa"/>
              <w:right w:w="120" w:type="dxa"/>
            </w:tcMar>
            <w:vAlign w:val="center"/>
          </w:tcPr>
          <w:p w14:paraId="7A97BA92" w14:textId="77777777" w:rsidR="00FF34C7" w:rsidRDefault="00FF34C7" w:rsidP="0055187E">
            <w:pPr>
              <w:spacing w:line="252" w:lineRule="auto"/>
            </w:pPr>
            <w:r>
              <w:rPr>
                <w:sz w:val="18"/>
                <w:szCs w:val="18"/>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FF34C7" w:rsidRDefault="00FF34C7" w:rsidP="0055187E">
            <w:pPr>
              <w:spacing w:line="252" w:lineRule="auto"/>
            </w:pPr>
            <w:r>
              <w:rPr>
                <w:sz w:val="18"/>
                <w:szCs w:val="18"/>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FF34C7" w:rsidRDefault="00FF34C7" w:rsidP="0055187E">
            <w:pPr>
              <w:spacing w:line="252" w:lineRule="auto"/>
            </w:pPr>
            <w:r>
              <w:rPr>
                <w:sz w:val="18"/>
                <w:szCs w:val="18"/>
              </w:rPr>
              <w:t>Separate commercial sign-off</w:t>
            </w:r>
          </w:p>
        </w:tc>
      </w:tr>
    </w:tbl>
    <w:p w14:paraId="050E4469"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595ED1" w:rsidSect="00964A9A">
          <w:type w:val="continuous"/>
          <w:pgSz w:w="12240" w:h="15840"/>
          <w:pgMar w:top="1440" w:right="1260" w:bottom="1440" w:left="1260" w:header="708" w:footer="708" w:gutter="0"/>
          <w:cols w:space="720"/>
          <w:docGrid w:linePitch="360"/>
        </w:sectPr>
      </w:pPr>
      <w:bookmarkStart w:id="36" w:name="_Toc231224574"/>
    </w:p>
    <w:p w14:paraId="0F632C8A"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595ED1" w:rsidSect="00595ED1">
          <w:type w:val="continuous"/>
          <w:pgSz w:w="15840" w:h="12240" w:orient="landscape"/>
          <w:pgMar w:top="1267" w:right="1440" w:bottom="1267" w:left="1440" w:header="706" w:footer="706" w:gutter="0"/>
          <w:cols w:space="720"/>
          <w:docGrid w:linePitch="360"/>
        </w:sect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691A9CC0">
            <wp:simplePos x="0" y="0"/>
            <wp:positionH relativeFrom="margin">
              <wp:align>center</wp:align>
            </wp:positionH>
            <wp:positionV relativeFrom="paragraph">
              <wp:posOffset>421640</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101">
                      <a:extLst>
                        <a:ext uri="{96DAC541-7B7A-43D3-8B79-37D633B846F1}">
                          <asvg:svgBlip xmlns:asvg="http://schemas.microsoft.com/office/drawing/2016/SVG/main" r:embed="rId100"/>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p>
    <w:p w14:paraId="57287981" w14:textId="569A4800" w:rsidR="00FF34C7" w:rsidRPr="00595ED1" w:rsidRDefault="00FF34C7" w:rsidP="00595ED1">
      <w:pPr>
        <w:spacing w:after="160" w:line="278" w:lineRule="auto"/>
        <w:rPr>
          <w:b/>
          <w:bCs/>
          <w:color w:val="0B2545"/>
          <w:sz w:val="32"/>
          <w:szCs w:val="32"/>
        </w:rPr>
      </w:pPr>
      <w:r>
        <w:rPr>
          <w:b/>
          <w:bCs/>
          <w:color w:val="0B2545"/>
          <w:sz w:val="32"/>
          <w:szCs w:val="32"/>
        </w:rPr>
        <w:lastRenderedPageBreak/>
        <w:t>16. Build Deliverables</w:t>
      </w:r>
      <w:bookmarkEnd w:id="36"/>
    </w:p>
    <w:p w14:paraId="46CA3CA7" w14:textId="77777777" w:rsidR="00FF34C7" w:rsidRDefault="00FF34C7" w:rsidP="00FF34C7">
      <w:pPr>
        <w:pStyle w:val="Heading2"/>
      </w:pPr>
      <w:bookmarkStart w:id="37" w:name="_Toc231224575"/>
      <w:r>
        <w:rPr>
          <w:rFonts w:ascii="Arial" w:eastAsia="Arial" w:hAnsi="Arial" w:cs="Arial"/>
          <w:b/>
          <w:bCs/>
          <w:color w:val="1F4D78"/>
          <w:sz w:val="26"/>
          <w:szCs w:val="26"/>
        </w:rPr>
        <w:t>16.1 Release 1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3FCA36CB" w14:textId="77777777" w:rsidR="00FF34C7" w:rsidRDefault="00FF34C7" w:rsidP="0055187E">
            <w:pPr>
              <w:spacing w:line="252" w:lineRule="auto"/>
            </w:pPr>
            <w:r>
              <w:rPr>
                <w:b/>
                <w:bCs/>
                <w:color w:val="FFFFFF"/>
                <w:sz w:val="18"/>
                <w:szCs w:val="18"/>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FF34C7" w:rsidRDefault="00FF34C7" w:rsidP="0055187E">
            <w:pPr>
              <w:spacing w:line="252" w:lineRule="auto"/>
            </w:pPr>
            <w:r>
              <w:rPr>
                <w:sz w:val="18"/>
                <w:szCs w:val="18"/>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FF34C7" w:rsidRDefault="00FF34C7" w:rsidP="0055187E">
            <w:pPr>
              <w:spacing w:line="252" w:lineRule="auto"/>
            </w:pPr>
            <w:r>
              <w:rPr>
                <w:sz w:val="18"/>
                <w:szCs w:val="18"/>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FF34C7" w:rsidRDefault="00FF34C7" w:rsidP="0055187E">
            <w:pPr>
              <w:spacing w:line="252" w:lineRule="auto"/>
            </w:pPr>
            <w:r>
              <w:rPr>
                <w:sz w:val="18"/>
                <w:szCs w:val="18"/>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FF34C7" w:rsidRDefault="00FF34C7" w:rsidP="0055187E">
            <w:pPr>
              <w:spacing w:line="252" w:lineRule="auto"/>
            </w:pPr>
            <w:r>
              <w:rPr>
                <w:sz w:val="18"/>
                <w:szCs w:val="18"/>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FF34C7" w:rsidRDefault="00FF34C7" w:rsidP="0055187E">
            <w:pPr>
              <w:spacing w:line="252" w:lineRule="auto"/>
            </w:pPr>
            <w:r>
              <w:rPr>
                <w:sz w:val="18"/>
                <w:szCs w:val="18"/>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FF34C7" w:rsidRDefault="00FF34C7" w:rsidP="0055187E">
            <w:pPr>
              <w:spacing w:line="252" w:lineRule="auto"/>
            </w:pPr>
            <w:r>
              <w:rPr>
                <w:sz w:val="18"/>
                <w:szCs w:val="18"/>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FF34C7" w:rsidRDefault="00FF34C7" w:rsidP="0055187E">
            <w:pPr>
              <w:spacing w:line="252" w:lineRule="auto"/>
            </w:pPr>
            <w:r>
              <w:rPr>
                <w:sz w:val="18"/>
                <w:szCs w:val="18"/>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FF34C7" w:rsidRDefault="00FF34C7" w:rsidP="0055187E">
            <w:pPr>
              <w:spacing w:line="252" w:lineRule="auto"/>
            </w:pPr>
            <w:r>
              <w:rPr>
                <w:sz w:val="18"/>
                <w:szCs w:val="18"/>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FF34C7" w:rsidRDefault="00FF34C7" w:rsidP="0055187E">
            <w:pPr>
              <w:spacing w:line="252" w:lineRule="auto"/>
            </w:pPr>
            <w:r>
              <w:rPr>
                <w:sz w:val="18"/>
                <w:szCs w:val="18"/>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FF34C7" w:rsidRDefault="00FF34C7" w:rsidP="0055187E">
            <w:pPr>
              <w:spacing w:line="252" w:lineRule="auto"/>
            </w:pPr>
            <w:r>
              <w:rPr>
                <w:sz w:val="18"/>
                <w:szCs w:val="18"/>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FF34C7" w:rsidRDefault="00FF34C7" w:rsidP="0055187E">
            <w:pPr>
              <w:spacing w:line="252" w:lineRule="auto"/>
            </w:pPr>
            <w:r>
              <w:rPr>
                <w:sz w:val="18"/>
                <w:szCs w:val="18"/>
              </w:rPr>
              <w:t>Operator screens</w:t>
            </w:r>
          </w:p>
        </w:tc>
        <w:tc>
          <w:tcPr>
            <w:tcW w:w="6160" w:type="dxa"/>
            <w:shd w:val="clear" w:color="auto" w:fill="F4F6F9"/>
            <w:tcMar>
              <w:top w:w="80" w:type="dxa"/>
              <w:left w:w="120" w:type="dxa"/>
              <w:bottom w:w="80" w:type="dxa"/>
              <w:right w:w="120" w:type="dxa"/>
            </w:tcMar>
            <w:vAlign w:val="center"/>
          </w:tcPr>
          <w:p w14:paraId="30243374" w14:textId="77777777" w:rsidR="00FF34C7" w:rsidRDefault="00FF34C7" w:rsidP="0055187E">
            <w:pPr>
              <w:spacing w:line="252" w:lineRule="auto"/>
            </w:pPr>
            <w:r>
              <w:rPr>
                <w:sz w:val="18"/>
                <w:szCs w:val="18"/>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FF34C7" w:rsidRDefault="00FF34C7" w:rsidP="0055187E">
            <w:pPr>
              <w:spacing w:line="252" w:lineRule="auto"/>
            </w:pPr>
            <w:r>
              <w:rPr>
                <w:sz w:val="18"/>
                <w:szCs w:val="18"/>
              </w:rPr>
              <w:t>Governance layer</w:t>
            </w:r>
          </w:p>
        </w:tc>
        <w:tc>
          <w:tcPr>
            <w:tcW w:w="6160" w:type="dxa"/>
            <w:shd w:val="clear" w:color="auto" w:fill="FFFFFF"/>
            <w:tcMar>
              <w:top w:w="80" w:type="dxa"/>
              <w:left w:w="120" w:type="dxa"/>
              <w:bottom w:w="80" w:type="dxa"/>
              <w:right w:w="120" w:type="dxa"/>
            </w:tcMar>
            <w:vAlign w:val="center"/>
          </w:tcPr>
          <w:p w14:paraId="3EE65BC7" w14:textId="77777777" w:rsidR="00FF34C7" w:rsidRDefault="00FF34C7" w:rsidP="0055187E">
            <w:pPr>
              <w:spacing w:line="252" w:lineRule="auto"/>
            </w:pPr>
            <w:r>
              <w:rPr>
                <w:sz w:val="18"/>
                <w:szCs w:val="18"/>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FF34C7" w:rsidRDefault="00FF34C7" w:rsidP="0055187E">
            <w:pPr>
              <w:spacing w:line="252" w:lineRule="auto"/>
            </w:pPr>
            <w:r>
              <w:rPr>
                <w:sz w:val="18"/>
                <w:szCs w:val="18"/>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FF34C7" w:rsidRDefault="00FF34C7" w:rsidP="0055187E">
            <w:pPr>
              <w:spacing w:line="252" w:lineRule="auto"/>
            </w:pPr>
            <w:r>
              <w:rPr>
                <w:sz w:val="18"/>
                <w:szCs w:val="18"/>
              </w:rPr>
              <w:t>Service tests, web application tests, proof commands, UAT scripts and runbook</w:t>
            </w:r>
          </w:p>
        </w:tc>
      </w:tr>
    </w:tbl>
    <w:p w14:paraId="675AD574" w14:textId="77777777" w:rsidR="00FF34C7" w:rsidRDefault="00FF34C7" w:rsidP="00FF34C7">
      <w:pPr>
        <w:pStyle w:val="Heading2"/>
      </w:pPr>
      <w:bookmarkStart w:id="38" w:name="_Toc231224576"/>
      <w:r>
        <w:rPr>
          <w:rFonts w:ascii="Arial" w:eastAsia="Arial" w:hAnsi="Arial" w:cs="Arial"/>
          <w:b/>
          <w:bCs/>
          <w:color w:val="1F4D78"/>
          <w:sz w:val="26"/>
          <w:szCs w:val="26"/>
        </w:rPr>
        <w:t>16.2 Later release deliverables</w:t>
      </w:r>
      <w:bookmarkEnd w:id="3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1476445B" w14:textId="77777777" w:rsidR="00FF34C7" w:rsidRDefault="00FF34C7" w:rsidP="0055187E">
            <w:pPr>
              <w:spacing w:line="252" w:lineRule="auto"/>
            </w:pPr>
            <w:r>
              <w:rPr>
                <w:b/>
                <w:bCs/>
                <w:color w:val="FFFFFF"/>
                <w:sz w:val="18"/>
                <w:szCs w:val="18"/>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FF34C7" w:rsidRDefault="00FF34C7" w:rsidP="0055187E">
            <w:pPr>
              <w:spacing w:line="252" w:lineRule="auto"/>
            </w:pPr>
            <w:r>
              <w:rPr>
                <w:sz w:val="18"/>
                <w:szCs w:val="18"/>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FF34C7" w:rsidRDefault="00FF34C7" w:rsidP="0055187E">
            <w:pPr>
              <w:spacing w:line="252" w:lineRule="auto"/>
            </w:pPr>
            <w:r>
              <w:rPr>
                <w:sz w:val="18"/>
                <w:szCs w:val="18"/>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FF34C7" w:rsidRDefault="00FF34C7" w:rsidP="0055187E">
            <w:pPr>
              <w:spacing w:line="252" w:lineRule="auto"/>
            </w:pPr>
            <w:r>
              <w:rPr>
                <w:sz w:val="18"/>
                <w:szCs w:val="18"/>
              </w:rPr>
              <w:t>Recovery support</w:t>
            </w:r>
          </w:p>
        </w:tc>
        <w:tc>
          <w:tcPr>
            <w:tcW w:w="6160" w:type="dxa"/>
            <w:shd w:val="clear" w:color="auto" w:fill="F4F6F9"/>
            <w:tcMar>
              <w:top w:w="80" w:type="dxa"/>
              <w:left w:w="120" w:type="dxa"/>
              <w:bottom w:w="80" w:type="dxa"/>
              <w:right w:w="120" w:type="dxa"/>
            </w:tcMar>
            <w:vAlign w:val="center"/>
          </w:tcPr>
          <w:p w14:paraId="3C337582" w14:textId="77777777" w:rsidR="00FF34C7" w:rsidRDefault="00FF34C7" w:rsidP="0055187E">
            <w:pPr>
              <w:spacing w:line="252" w:lineRule="auto"/>
            </w:pPr>
            <w:r>
              <w:rPr>
                <w:sz w:val="18"/>
                <w:szCs w:val="18"/>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FF34C7" w:rsidRDefault="00FF34C7" w:rsidP="0055187E">
            <w:pPr>
              <w:spacing w:line="252" w:lineRule="auto"/>
            </w:pPr>
            <w:r>
              <w:rPr>
                <w:sz w:val="18"/>
                <w:szCs w:val="18"/>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FF34C7" w:rsidRDefault="00FF34C7" w:rsidP="0055187E">
            <w:pPr>
              <w:spacing w:line="252" w:lineRule="auto"/>
            </w:pPr>
            <w:r>
              <w:rPr>
                <w:sz w:val="18"/>
                <w:szCs w:val="18"/>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FF34C7" w:rsidRDefault="00FF34C7" w:rsidP="0055187E">
            <w:pPr>
              <w:spacing w:line="252" w:lineRule="auto"/>
            </w:pPr>
            <w:r>
              <w:rPr>
                <w:sz w:val="18"/>
                <w:szCs w:val="18"/>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FF34C7" w:rsidRDefault="00FF34C7" w:rsidP="0055187E">
            <w:pPr>
              <w:spacing w:line="252" w:lineRule="auto"/>
            </w:pPr>
            <w:r>
              <w:rPr>
                <w:sz w:val="18"/>
                <w:szCs w:val="18"/>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FF34C7" w:rsidRDefault="00FF34C7" w:rsidP="0055187E">
            <w:pPr>
              <w:spacing w:line="252" w:lineRule="auto"/>
            </w:pPr>
            <w:r>
              <w:rPr>
                <w:sz w:val="18"/>
                <w:szCs w:val="18"/>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FF34C7" w:rsidRDefault="00FF34C7" w:rsidP="0055187E">
            <w:pPr>
              <w:spacing w:line="252" w:lineRule="auto"/>
            </w:pPr>
            <w:r>
              <w:rPr>
                <w:sz w:val="18"/>
                <w:szCs w:val="18"/>
              </w:rPr>
              <w:t>Exception patterns, operating impact, projection-only indicators and maturity reporting</w:t>
            </w:r>
          </w:p>
        </w:tc>
      </w:tr>
    </w:tbl>
    <w:p w14:paraId="4802ED90" w14:textId="77777777" w:rsidR="00FF34C7" w:rsidRDefault="00FF34C7" w:rsidP="00FF34C7">
      <w:pPr>
        <w:pStyle w:val="Heading2"/>
      </w:pPr>
      <w:bookmarkStart w:id="39" w:name="_Toc231224577"/>
      <w:r>
        <w:rPr>
          <w:rFonts w:ascii="Arial" w:eastAsia="Arial" w:hAnsi="Arial" w:cs="Arial"/>
          <w:b/>
          <w:bCs/>
          <w:color w:val="1F4D78"/>
          <w:sz w:val="26"/>
          <w:szCs w:val="26"/>
        </w:rPr>
        <w:t>16.3 Operating impact indicators</w:t>
      </w:r>
      <w:bookmarkEnd w:id="39"/>
    </w:p>
    <w:p w14:paraId="336086EE" w14:textId="77777777" w:rsidR="00FF34C7" w:rsidRDefault="00FF34C7" w:rsidP="00FF34C7">
      <w:pPr>
        <w:spacing w:before="60" w:after="120" w:line="276" w:lineRule="auto"/>
      </w:pPr>
      <w:r>
        <w:t>Where the required data is available, later release layers may expose projection-only operating indicators:</w:t>
      </w:r>
    </w:p>
    <w:p w14:paraId="1925153B" w14:textId="77777777" w:rsidR="00FF34C7" w:rsidRDefault="00FF34C7" w:rsidP="00FF34C7">
      <w:pPr>
        <w:pStyle w:val="ListParagraph"/>
        <w:numPr>
          <w:ilvl w:val="0"/>
          <w:numId w:val="2"/>
        </w:numPr>
        <w:spacing w:before="40" w:after="60"/>
        <w:contextualSpacing w:val="0"/>
      </w:pPr>
      <w:r>
        <w:t>laycan risk</w:t>
      </w:r>
    </w:p>
    <w:p w14:paraId="3EAC37D3" w14:textId="77777777" w:rsidR="00FF34C7" w:rsidRDefault="00FF34C7" w:rsidP="00FF34C7">
      <w:pPr>
        <w:pStyle w:val="ListParagraph"/>
        <w:numPr>
          <w:ilvl w:val="0"/>
          <w:numId w:val="2"/>
        </w:numPr>
        <w:spacing w:before="40" w:after="60"/>
        <w:contextualSpacing w:val="0"/>
      </w:pPr>
      <w:r>
        <w:t>waiting time</w:t>
      </w:r>
    </w:p>
    <w:p w14:paraId="6FE666C0" w14:textId="77777777" w:rsidR="00FF34C7" w:rsidRDefault="00FF34C7" w:rsidP="00FF34C7">
      <w:pPr>
        <w:pStyle w:val="ListParagraph"/>
        <w:numPr>
          <w:ilvl w:val="0"/>
          <w:numId w:val="2"/>
        </w:numPr>
        <w:spacing w:before="40" w:after="60"/>
        <w:contextualSpacing w:val="0"/>
      </w:pPr>
      <w:r>
        <w:t>fleet utilization</w:t>
      </w:r>
    </w:p>
    <w:p w14:paraId="7500D06E" w14:textId="77777777" w:rsidR="00FF34C7" w:rsidRDefault="00FF34C7" w:rsidP="00FF34C7">
      <w:pPr>
        <w:pStyle w:val="ListParagraph"/>
        <w:numPr>
          <w:ilvl w:val="0"/>
          <w:numId w:val="2"/>
        </w:numPr>
        <w:spacing w:before="40" w:after="60"/>
        <w:contextualSpacing w:val="0"/>
      </w:pPr>
      <w:r>
        <w:t>queue impact</w:t>
      </w:r>
    </w:p>
    <w:p w14:paraId="3B48EF64" w14:textId="77777777" w:rsidR="00FF34C7" w:rsidRDefault="00FF34C7" w:rsidP="00FF34C7">
      <w:pPr>
        <w:pStyle w:val="ListParagraph"/>
        <w:numPr>
          <w:ilvl w:val="0"/>
          <w:numId w:val="2"/>
        </w:numPr>
        <w:spacing w:before="40" w:after="60"/>
        <w:contextualSpacing w:val="0"/>
      </w:pPr>
      <w:r>
        <w:t>charter lead-time pressure</w:t>
      </w:r>
    </w:p>
    <w:p w14:paraId="7814AAAA" w14:textId="77777777" w:rsidR="00FF34C7" w:rsidRDefault="00FF34C7" w:rsidP="00FF34C7">
      <w:pPr>
        <w:pStyle w:val="ListParagraph"/>
        <w:numPr>
          <w:ilvl w:val="0"/>
          <w:numId w:val="2"/>
        </w:numPr>
        <w:spacing w:before="40" w:after="60"/>
        <w:contextualSpacing w:val="0"/>
      </w:pPr>
      <w:r>
        <w:t>demurrage exposure proxy.</w:t>
      </w:r>
    </w:p>
    <w:p w14:paraId="4BE425B5" w14:textId="77777777" w:rsidR="00FF34C7" w:rsidRDefault="00FF34C7" w:rsidP="00FF34C7">
      <w:pPr>
        <w:spacing w:before="60" w:after="120" w:line="276" w:lineRule="auto"/>
      </w:pPr>
      <w:r>
        <w:t>These indicators support planning and review. Final demurrage, despatch, invoicing and settlement remain separately scoped.</w:t>
      </w:r>
    </w:p>
    <w:p w14:paraId="0A87649A" w14:textId="77777777" w:rsidR="00FF34C7" w:rsidRDefault="00FF34C7" w:rsidP="00FF34C7">
      <w:pPr>
        <w:pStyle w:val="Heading1"/>
        <w:pBdr>
          <w:bottom w:val="single" w:sz="4" w:space="4" w:color="2E74B5"/>
        </w:pBdr>
      </w:pPr>
      <w:bookmarkStart w:id="40" w:name="_Toc231224578"/>
      <w:r>
        <w:rPr>
          <w:rFonts w:ascii="Arial" w:eastAsia="Arial" w:hAnsi="Arial" w:cs="Arial"/>
          <w:b/>
          <w:bCs/>
          <w:color w:val="0B2545"/>
          <w:sz w:val="32"/>
          <w:szCs w:val="32"/>
        </w:rPr>
        <w:lastRenderedPageBreak/>
        <w:t>17. Implementation Clarification</w:t>
      </w:r>
      <w:bookmarkEnd w:id="40"/>
    </w:p>
    <w:p w14:paraId="072B253E" w14:textId="77777777" w:rsidR="00FF34C7" w:rsidRDefault="00FF34C7" w:rsidP="00FF34C7">
      <w:pPr>
        <w:spacing w:before="60" w:after="120" w:line="276" w:lineRule="auto"/>
      </w:pPr>
      <w:r>
        <w:t>This extension defines the application build direction that follows the blueprinting and prototype scope.</w:t>
      </w:r>
    </w:p>
    <w:p w14:paraId="1D405EF8" w14:textId="77777777" w:rsidR="00FF34C7" w:rsidRDefault="00FF34C7" w:rsidP="00FF34C7">
      <w:pPr>
        <w:spacing w:before="60" w:after="120" w:line="276" w:lineRule="auto"/>
      </w:pPr>
      <w:r>
        <w:t>Final implementation timeline, team size and commercials will be confirmed after:</w:t>
      </w:r>
    </w:p>
    <w:p w14:paraId="49880059" w14:textId="77777777" w:rsidR="00FF34C7" w:rsidRDefault="00FF34C7" w:rsidP="00FF34C7">
      <w:pPr>
        <w:pStyle w:val="ListParagraph"/>
        <w:numPr>
          <w:ilvl w:val="0"/>
          <w:numId w:val="2"/>
        </w:numPr>
        <w:spacing w:before="40" w:after="60"/>
        <w:contextualSpacing w:val="0"/>
      </w:pPr>
      <w:r>
        <w:t>ABL and Berau validate the operational rules</w:t>
      </w:r>
    </w:p>
    <w:p w14:paraId="01822F47" w14:textId="77777777" w:rsidR="00FF34C7" w:rsidRDefault="00FF34C7" w:rsidP="00FF34C7">
      <w:pPr>
        <w:pStyle w:val="ListParagraph"/>
        <w:numPr>
          <w:ilvl w:val="0"/>
          <w:numId w:val="2"/>
        </w:numPr>
        <w:spacing w:before="40" w:after="60"/>
        <w:contextualSpacing w:val="0"/>
      </w:pPr>
      <w:r>
        <w:t>required external data sources are confirmed</w:t>
      </w:r>
    </w:p>
    <w:p w14:paraId="7A5C5B34" w14:textId="77777777" w:rsidR="00FF34C7" w:rsidRDefault="00FF34C7" w:rsidP="00FF34C7">
      <w:pPr>
        <w:pStyle w:val="ListParagraph"/>
        <w:numPr>
          <w:ilvl w:val="0"/>
          <w:numId w:val="2"/>
        </w:numPr>
        <w:spacing w:before="40" w:after="60"/>
        <w:contextualSpacing w:val="0"/>
      </w:pPr>
      <w:r>
        <w:t>integration owners and access methods are known</w:t>
      </w:r>
    </w:p>
    <w:p w14:paraId="4423E4BC" w14:textId="77777777" w:rsidR="00FF34C7" w:rsidRDefault="00FF34C7" w:rsidP="00FF34C7">
      <w:pPr>
        <w:pStyle w:val="ListParagraph"/>
        <w:numPr>
          <w:ilvl w:val="0"/>
          <w:numId w:val="2"/>
        </w:numPr>
        <w:spacing w:before="40" w:after="60"/>
        <w:contextualSpacing w:val="0"/>
      </w:pPr>
      <w:r>
        <w:t>master-data ownership is agreed</w:t>
      </w:r>
    </w:p>
    <w:p w14:paraId="300AD5A4" w14:textId="77777777" w:rsidR="00FF34C7" w:rsidRDefault="00FF34C7" w:rsidP="00FF34C7">
      <w:pPr>
        <w:pStyle w:val="ListParagraph"/>
        <w:numPr>
          <w:ilvl w:val="0"/>
          <w:numId w:val="2"/>
        </w:numPr>
        <w:spacing w:before="40" w:after="60"/>
        <w:contextualSpacing w:val="0"/>
      </w:pPr>
      <w:r>
        <w:t>pilot users and approval authorities are named</w:t>
      </w:r>
    </w:p>
    <w:p w14:paraId="2AB2CA26" w14:textId="77777777" w:rsidR="00FF34C7" w:rsidRDefault="00FF34C7" w:rsidP="00FF34C7">
      <w:pPr>
        <w:pStyle w:val="ListParagraph"/>
        <w:numPr>
          <w:ilvl w:val="0"/>
          <w:numId w:val="2"/>
        </w:numPr>
        <w:spacing w:before="40" w:after="60"/>
        <w:contextualSpacing w:val="0"/>
      </w:pPr>
      <w:r>
        <w:t>UAT scope and deployment environment are confirmed</w:t>
      </w:r>
    </w:p>
    <w:p w14:paraId="2801D7EB" w14:textId="77777777" w:rsidR="00FF34C7" w:rsidRDefault="00FF34C7" w:rsidP="00FF34C7">
      <w:pPr>
        <w:pStyle w:val="ListParagraph"/>
        <w:numPr>
          <w:ilvl w:val="0"/>
          <w:numId w:val="2"/>
        </w:numPr>
        <w:spacing w:before="40" w:after="60"/>
        <w:contextualSpacing w:val="0"/>
      </w:pPr>
      <w:r>
        <w:t>licensing and usage terms for Vector proprietary scheduling and scenario scaffolding are finalized.</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