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E1232D"/>
          <w:sz w:val="36"/>
        </w:rPr>
        <w:t>A360</w:t>
      </w:r>
    </w:p>
    <w:p>
      <w:pPr>
        <w:pStyle w:val="Title"/>
      </w:pPr>
      <w:r>
        <w:t>Contract Health Dashboard</w:t>
      </w:r>
    </w:p>
    <w:p>
      <w:r>
        <w:rPr>
          <w:b/>
          <w:color w:val="5C31E8"/>
          <w:sz w:val="32"/>
        </w:rPr>
        <w:t>Deep Functional Analysis, Data-Flow Guide &amp; Manager Presentation Notes</w:t>
      </w:r>
    </w:p>
    <w:p>
      <w:pPr>
        <w:spacing w:before="240"/>
      </w:pPr>
      <w:r>
        <w:t>Technology context supplied by the developer: Angular 22 • Tailwind CSS 4.3 • ASP.NET Core Web API 10 • SQL Server 2025 • Database-First approach</w:t>
      </w:r>
    </w:p>
    <w:p/>
    <w:tbl>
      <w:tblPr>
        <w:tblStyle w:val="TableGrid"/>
        <w:tblW w:type="auto" w:w="0"/>
        <w:jc w:val="center"/>
        <w:tblLook w:firstColumn="1" w:firstRow="1" w:lastColumn="0" w:lastRow="0" w:noHBand="0" w:noVBand="1" w:val="04A0"/>
      </w:tblPr>
      <w:tblGrid>
        <w:gridCol w:w="3360"/>
        <w:gridCol w:w="3360"/>
        <w:gridCol w:w="3360"/>
      </w:tblGrid>
      <w:tr>
        <w:tc>
          <w:tcPr>
            <w:tcW w:type="dxa" w:w="3600"/>
            <w:vAlign w:val="center"/>
            <w:shd w:fill="3733A5"/>
          </w:tcPr>
          <w:p>
            <w:pPr>
              <w:spacing w:after="20"/>
            </w:pPr>
            <w:r/>
            <w:r>
              <w:rPr>
                <w:rFonts w:ascii="Aptos" w:hAnsi="Aptos"/>
                <w:b/>
                <w:color w:val="FFFFFF"/>
                <w:sz w:val="16"/>
              </w:rPr>
              <w:t>Document purpose</w:t>
            </w:r>
          </w:p>
        </w:tc>
        <w:tc>
          <w:tcPr>
            <w:tcW w:type="dxa" w:w="2448"/>
            <w:vAlign w:val="center"/>
            <w:shd w:fill="3733A5"/>
          </w:tcPr>
          <w:p>
            <w:pPr>
              <w:spacing w:after="20"/>
            </w:pPr>
            <w:r/>
            <w:r>
              <w:rPr>
                <w:rFonts w:ascii="Aptos" w:hAnsi="Aptos"/>
                <w:b/>
                <w:color w:val="FFFFFF"/>
                <w:sz w:val="16"/>
              </w:rPr>
              <w:t>Audience</w:t>
            </w:r>
          </w:p>
        </w:tc>
        <w:tc>
          <w:tcPr>
            <w:tcW w:type="dxa" w:w="4464"/>
            <w:vAlign w:val="center"/>
            <w:shd w:fill="3733A5"/>
          </w:tcPr>
          <w:p>
            <w:pPr>
              <w:spacing w:after="20"/>
            </w:pPr>
            <w:r/>
            <w:r>
              <w:rPr>
                <w:rFonts w:ascii="Aptos" w:hAnsi="Aptos"/>
                <w:b/>
                <w:color w:val="FFFFFF"/>
                <w:sz w:val="16"/>
              </w:rPr>
              <w:t>Source basis</w:t>
            </w:r>
          </w:p>
        </w:tc>
      </w:tr>
      <w:tr>
        <w:tc>
          <w:tcPr>
            <w:tcW w:type="dxa" w:w="3600"/>
            <w:vAlign w:val="center"/>
          </w:tcPr>
          <w:p>
            <w:pPr>
              <w:spacing w:after="20"/>
            </w:pPr>
            <w:r/>
            <w:r>
              <w:rPr>
                <w:rFonts w:ascii="Aptos" w:hAnsi="Aptos"/>
                <w:b w:val="0"/>
                <w:sz w:val="16"/>
              </w:rPr>
              <w:t>Explain the dashboard page by page, clarify visible metrics and controls, trace the intended data journey, and provide a presentation-ready narrative.</w:t>
            </w:r>
          </w:p>
        </w:tc>
        <w:tc>
          <w:tcPr>
            <w:tcW w:type="dxa" w:w="2448"/>
            <w:vAlign w:val="center"/>
          </w:tcPr>
          <w:p>
            <w:pPr>
              <w:spacing w:after="20"/>
            </w:pPr>
            <w:r/>
            <w:r>
              <w:rPr>
                <w:rFonts w:ascii="Aptos" w:hAnsi="Aptos"/>
                <w:b w:val="0"/>
                <w:sz w:val="16"/>
              </w:rPr>
              <w:t>Team leads, engineering leads, QA, product owners and managers.</w:t>
            </w:r>
          </w:p>
        </w:tc>
        <w:tc>
          <w:tcPr>
            <w:tcW w:type="dxa" w:w="4464"/>
            <w:vAlign w:val="center"/>
          </w:tcPr>
          <w:p>
            <w:pPr>
              <w:spacing w:after="20"/>
            </w:pPr>
            <w:r/>
            <w:r>
              <w:rPr>
                <w:rFonts w:ascii="Aptos" w:hAnsi="Aptos"/>
                <w:b w:val="0"/>
                <w:sz w:val="16"/>
              </w:rPr>
              <w:t>Supplied HTML file, supplied UI screenshots, and the previously shared technical/testing guide. Runtime backend/schema were not included for direct verification.</w:t>
            </w:r>
          </w:p>
        </w:tc>
      </w:tr>
    </w:tbl>
    <w:p>
      <w:pPr>
        <w:spacing w:after="20"/>
      </w:pPr>
    </w:p>
    <w:p>
      <w:r>
        <w:t>Important accuracy note: the supplied HTML is a standalone JavaScript prototype. Its source explicitly includes browser localStorage persistence and an optional API integration configuration. Therefore, this document distinguishes what the HTML demonstrably does from the intended production architecture described by the developer. Do not state that the displayed data is definitely being read from SQL Server until the Angular application, API routes and database have been verified.</w:t>
      </w:r>
    </w:p>
    <w:p>
      <w:r>
        <w:br w:type="page"/>
      </w:r>
    </w:p>
    <w:p>
      <w:pPr>
        <w:pStyle w:val="Heading1"/>
      </w:pPr>
      <w:r>
        <w:t>Executive summary</w:t>
      </w:r>
    </w:p>
    <w:p>
      <w:r>
        <w:t>A360 Contract Health Dashboard is a portfolio-monitoring and monthly-review workspace intended to help managers understand contract health, customer sentiment, commercial exposure, renewal readiness, service performance, meeting activity and follow-up actions from one interface.</w:t>
      </w:r>
    </w:p>
    <w:p>
      <w:pPr>
        <w:pStyle w:val="ListBullet"/>
        <w:spacing w:after="40"/>
      </w:pPr>
      <w:r>
        <w:t>The dashboard combines portfolio-level KPIs with contract-level records and operational workflow pages.</w:t>
      </w:r>
    </w:p>
    <w:p>
      <w:pPr>
        <w:pStyle w:val="ListBullet"/>
        <w:spacing w:after="40"/>
      </w:pPr>
      <w:r>
        <w:t>The main navigation exposes Dashboard, Meetings, Actions and Admin. A global contract search and a prominent Meeting action provide quick access.</w:t>
      </w:r>
    </w:p>
    <w:p>
      <w:pPr>
        <w:pStyle w:val="ListBullet"/>
        <w:spacing w:after="40"/>
      </w:pPr>
      <w:r>
        <w:t>The dashboard filters are designed to narrow the contract population by Performance Manager, Customer/Contract, Region, Month, Health and Sentiment.</w:t>
      </w:r>
    </w:p>
    <w:p>
      <w:pPr>
        <w:pStyle w:val="ListBullet"/>
        <w:spacing w:after="40"/>
      </w:pPr>
      <w:r>
        <w:t>The Contract Portfolio table connects a customer record to the meeting wizard. Meetings capture sentiment, outcomes, concerns, KPI assessments, comments and action details.</w:t>
      </w:r>
    </w:p>
    <w:p>
      <w:pPr>
        <w:pStyle w:val="ListBullet"/>
        <w:spacing w:after="40"/>
      </w:pPr>
      <w:r>
        <w:t>The Actions page is the follow-up register; Admin maintains performance managers and customer accounts.</w:t>
      </w:r>
    </w:p>
    <w:p>
      <w:pPr>
        <w:pStyle w:val="ListBullet"/>
        <w:spacing w:after="40"/>
      </w:pPr>
      <w:r>
        <w:t>The UI has a clear enterprise visual hierarchy: light background, white cards, purple primary actions, neutral tables, and color-coded health states.</w:t>
      </w:r>
    </w:p>
    <w:p>
      <w:pPr>
        <w:pStyle w:val="Heading2"/>
      </w:pPr>
      <w:r>
        <w:t>What managers should understand in one minute</w:t>
      </w:r>
    </w:p>
    <w:p>
      <w:r>
        <w:t>The product is designed to turn contract review data into an actionable portfolio view: identify which accounts need attention, understand why they need attention, record the monthly customer conversation, assign follow-up actions, and keep master data consistent across the workspace.</w:t>
      </w:r>
    </w:p>
    <w:p>
      <w:pPr>
        <w:pStyle w:val="Heading2"/>
      </w:pPr>
      <w:r>
        <w:t>Evidence and confidence labels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3733A5"/>
          </w:tcPr>
          <w:p>
            <w:pPr>
              <w:spacing w:after="20"/>
            </w:pPr>
            <w:r/>
            <w:r>
              <w:rPr>
                <w:rFonts w:ascii="Aptos" w:hAnsi="Aptos"/>
                <w:b/>
                <w:color w:val="FFFFFF"/>
                <w:sz w:val="16"/>
              </w:rPr>
              <w:t>Label</w:t>
            </w:r>
          </w:p>
        </w:tc>
        <w:tc>
          <w:tcPr>
            <w:tcW w:type="dxa" w:w="7920"/>
            <w:vAlign w:val="center"/>
            <w:shd w:fill="3733A5"/>
          </w:tcPr>
          <w:p>
            <w:pPr>
              <w:spacing w:after="20"/>
            </w:pPr>
            <w:r/>
            <w:r>
              <w:rPr>
                <w:rFonts w:ascii="Aptos" w:hAnsi="Aptos"/>
                <w:b/>
                <w:color w:val="FFFFFF"/>
                <w:sz w:val="16"/>
              </w:rPr>
              <w:t>Meaning</w:t>
            </w:r>
          </w:p>
        </w:tc>
      </w:tr>
      <w:tr>
        <w:tc>
          <w:tcPr>
            <w:tcW w:type="dxa" w:w="2592"/>
            <w:vAlign w:val="center"/>
          </w:tcPr>
          <w:p>
            <w:pPr>
              <w:spacing w:after="20"/>
            </w:pPr>
            <w:r/>
            <w:r>
              <w:rPr>
                <w:rFonts w:ascii="Aptos" w:hAnsi="Aptos"/>
                <w:b w:val="0"/>
                <w:sz w:val="16"/>
              </w:rPr>
              <w:t>Confirmed from supplied HTML</w:t>
            </w:r>
          </w:p>
        </w:tc>
        <w:tc>
          <w:tcPr>
            <w:tcW w:type="dxa" w:w="7920"/>
            <w:vAlign w:val="center"/>
          </w:tcPr>
          <w:p>
            <w:pPr>
              <w:spacing w:after="20"/>
            </w:pPr>
            <w:r/>
            <w:r>
              <w:rPr>
                <w:rFonts w:ascii="Aptos" w:hAnsi="Aptos"/>
                <w:b w:val="0"/>
                <w:sz w:val="16"/>
              </w:rPr>
              <w:t>The behavior or formula is visible in the source code of the supplied HTML file.</w:t>
            </w:r>
          </w:p>
        </w:tc>
      </w:tr>
      <w:tr>
        <w:tc>
          <w:tcPr>
            <w:tcW w:type="dxa" w:w="2592"/>
            <w:vAlign w:val="center"/>
            <w:shd w:fill="F1F4FC"/>
          </w:tcPr>
          <w:p>
            <w:pPr>
              <w:spacing w:after="20"/>
            </w:pPr>
            <w:r/>
            <w:r>
              <w:rPr>
                <w:rFonts w:ascii="Aptos" w:hAnsi="Aptos"/>
                <w:b w:val="0"/>
                <w:sz w:val="16"/>
              </w:rPr>
              <w:t>Visible in screenshot</w:t>
            </w:r>
          </w:p>
        </w:tc>
        <w:tc>
          <w:tcPr>
            <w:tcW w:type="dxa" w:w="7920"/>
            <w:vAlign w:val="center"/>
            <w:shd w:fill="F1F4FC"/>
          </w:tcPr>
          <w:p>
            <w:pPr>
              <w:spacing w:after="20"/>
            </w:pPr>
            <w:r/>
            <w:r>
              <w:rPr>
                <w:rFonts w:ascii="Aptos" w:hAnsi="Aptos"/>
                <w:b w:val="0"/>
                <w:sz w:val="16"/>
              </w:rPr>
              <w:t>The item is clearly shown in one or more supplied screenshots, but its backend source is not established.</w:t>
            </w:r>
          </w:p>
        </w:tc>
      </w:tr>
      <w:tr>
        <w:tc>
          <w:tcPr>
            <w:tcW w:type="dxa" w:w="2592"/>
            <w:vAlign w:val="center"/>
          </w:tcPr>
          <w:p>
            <w:pPr>
              <w:spacing w:after="20"/>
            </w:pPr>
            <w:r/>
            <w:r>
              <w:rPr>
                <w:rFonts w:ascii="Aptos" w:hAnsi="Aptos"/>
                <w:b w:val="0"/>
                <w:sz w:val="16"/>
              </w:rPr>
              <w:t>Architecture intended / verify</w:t>
            </w:r>
          </w:p>
        </w:tc>
        <w:tc>
          <w:tcPr>
            <w:tcW w:type="dxa" w:w="7920"/>
            <w:vAlign w:val="center"/>
          </w:tcPr>
          <w:p>
            <w:pPr>
              <w:spacing w:after="20"/>
            </w:pPr>
            <w:r/>
            <w:r>
              <w:rPr>
                <w:rFonts w:ascii="Aptos" w:hAnsi="Aptos"/>
                <w:b w:val="0"/>
                <w:sz w:val="16"/>
              </w:rPr>
              <w:t>The developer described a production stack, but the provided HTML does not prove the Angular/API/SQL runtime wiring.</w:t>
            </w:r>
          </w:p>
        </w:tc>
      </w:tr>
      <w:tr>
        <w:tc>
          <w:tcPr>
            <w:tcW w:type="dxa" w:w="2592"/>
            <w:vAlign w:val="center"/>
            <w:shd w:fill="F1F4FC"/>
          </w:tcPr>
          <w:p>
            <w:pPr>
              <w:spacing w:after="20"/>
            </w:pPr>
            <w:r/>
            <w:r>
              <w:rPr>
                <w:rFonts w:ascii="Aptos" w:hAnsi="Aptos"/>
                <w:b w:val="0"/>
                <w:sz w:val="16"/>
              </w:rPr>
              <w:t>Business rule to confirm</w:t>
            </w:r>
          </w:p>
        </w:tc>
        <w:tc>
          <w:tcPr>
            <w:tcW w:type="dxa" w:w="7920"/>
            <w:vAlign w:val="center"/>
            <w:shd w:fill="F1F4FC"/>
          </w:tcPr>
          <w:p>
            <w:pPr>
              <w:spacing w:after="20"/>
            </w:pPr>
            <w:r/>
            <w:r>
              <w:rPr>
                <w:rFonts w:ascii="Aptos" w:hAnsi="Aptos"/>
                <w:b w:val="0"/>
                <w:sz w:val="16"/>
              </w:rPr>
              <w:t>A calculation or interpretation should be agreed with product/business owners before being treated as an official KPI.</w:t>
            </w:r>
          </w:p>
        </w:tc>
      </w:tr>
    </w:tbl>
    <w:p>
      <w:pPr>
        <w:spacing w:after="20"/>
      </w:pPr>
    </w:p>
    <w:p>
      <w:pPr>
        <w:pStyle w:val="Heading1"/>
      </w:pPr>
      <w:r>
        <w:t>1. Product scope and navigation</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3733A5"/>
          </w:tcPr>
          <w:p>
            <w:pPr>
              <w:spacing w:after="20"/>
            </w:pPr>
            <w:r/>
            <w:r>
              <w:rPr>
                <w:rFonts w:ascii="Aptos" w:hAnsi="Aptos"/>
                <w:b/>
                <w:color w:val="FFFFFF"/>
                <w:sz w:val="16"/>
              </w:rPr>
              <w:t>Area</w:t>
            </w:r>
          </w:p>
        </w:tc>
        <w:tc>
          <w:tcPr>
            <w:tcW w:type="dxa" w:w="4320"/>
            <w:vAlign w:val="center"/>
            <w:shd w:fill="3733A5"/>
          </w:tcPr>
          <w:p>
            <w:pPr>
              <w:spacing w:after="20"/>
            </w:pPr>
            <w:r/>
            <w:r>
              <w:rPr>
                <w:rFonts w:ascii="Aptos" w:hAnsi="Aptos"/>
                <w:b/>
                <w:color w:val="FFFFFF"/>
                <w:sz w:val="16"/>
              </w:rPr>
              <w:t>Purpose</w:t>
            </w:r>
          </w:p>
        </w:tc>
        <w:tc>
          <w:tcPr>
            <w:tcW w:type="dxa" w:w="4464"/>
            <w:vAlign w:val="center"/>
            <w:shd w:fill="3733A5"/>
          </w:tcPr>
          <w:p>
            <w:pPr>
              <w:spacing w:after="20"/>
            </w:pPr>
            <w:r/>
            <w:r>
              <w:rPr>
                <w:rFonts w:ascii="Aptos" w:hAnsi="Aptos"/>
                <w:b/>
                <w:color w:val="FFFFFF"/>
                <w:sz w:val="16"/>
              </w:rPr>
              <w:t>Typical user question</w:t>
            </w:r>
          </w:p>
        </w:tc>
      </w:tr>
      <w:tr>
        <w:tc>
          <w:tcPr>
            <w:tcW w:type="dxa" w:w="1800"/>
            <w:vAlign w:val="center"/>
          </w:tcPr>
          <w:p>
            <w:pPr>
              <w:spacing w:after="20"/>
            </w:pPr>
            <w:r/>
            <w:r>
              <w:rPr>
                <w:rFonts w:ascii="Aptos" w:hAnsi="Aptos"/>
                <w:b w:val="0"/>
                <w:sz w:val="16"/>
              </w:rPr>
              <w:t>Dashboard</w:t>
            </w:r>
          </w:p>
        </w:tc>
        <w:tc>
          <w:tcPr>
            <w:tcW w:type="dxa" w:w="4320"/>
            <w:vAlign w:val="center"/>
          </w:tcPr>
          <w:p>
            <w:pPr>
              <w:spacing w:after="20"/>
            </w:pPr>
            <w:r/>
            <w:r>
              <w:rPr>
                <w:rFonts w:ascii="Aptos" w:hAnsi="Aptos"/>
                <w:b w:val="0"/>
                <w:sz w:val="16"/>
              </w:rPr>
              <w:t>Portfolio overview, filters, health KPIs, contract register, performance analytics and health summary.</w:t>
            </w:r>
          </w:p>
        </w:tc>
        <w:tc>
          <w:tcPr>
            <w:tcW w:type="dxa" w:w="4464"/>
            <w:vAlign w:val="center"/>
          </w:tcPr>
          <w:p>
            <w:pPr>
              <w:spacing w:after="20"/>
            </w:pPr>
            <w:r/>
            <w:r>
              <w:rPr>
                <w:rFonts w:ascii="Aptos" w:hAnsi="Aptos"/>
                <w:b w:val="0"/>
                <w:sz w:val="16"/>
              </w:rPr>
              <w:t>Where are the main risks, which contracts need attention, and how is the portfolio performing?</w:t>
            </w:r>
          </w:p>
        </w:tc>
      </w:tr>
      <w:tr>
        <w:tc>
          <w:tcPr>
            <w:tcW w:type="dxa" w:w="1800"/>
            <w:vAlign w:val="center"/>
            <w:shd w:fill="F1F4FC"/>
          </w:tcPr>
          <w:p>
            <w:pPr>
              <w:spacing w:after="20"/>
            </w:pPr>
            <w:r/>
            <w:r>
              <w:rPr>
                <w:rFonts w:ascii="Aptos" w:hAnsi="Aptos"/>
                <w:b w:val="0"/>
                <w:sz w:val="16"/>
              </w:rPr>
              <w:t>Meetings</w:t>
            </w:r>
          </w:p>
        </w:tc>
        <w:tc>
          <w:tcPr>
            <w:tcW w:type="dxa" w:w="4320"/>
            <w:vAlign w:val="center"/>
            <w:shd w:fill="F1F4FC"/>
          </w:tcPr>
          <w:p>
            <w:pPr>
              <w:spacing w:after="20"/>
            </w:pPr>
            <w:r/>
            <w:r>
              <w:rPr>
                <w:rFonts w:ascii="Aptos" w:hAnsi="Aptos"/>
                <w:b w:val="0"/>
                <w:sz w:val="16"/>
              </w:rPr>
              <w:t>Historical monthly review records with customer, PM, sentiment, linked action, status and update date.</w:t>
            </w:r>
          </w:p>
        </w:tc>
        <w:tc>
          <w:tcPr>
            <w:tcW w:type="dxa" w:w="4464"/>
            <w:vAlign w:val="center"/>
            <w:shd w:fill="F1F4FC"/>
          </w:tcPr>
          <w:p>
            <w:pPr>
              <w:spacing w:after="20"/>
            </w:pPr>
            <w:r/>
            <w:r>
              <w:rPr>
                <w:rFonts w:ascii="Aptos" w:hAnsi="Aptos"/>
                <w:b w:val="0"/>
                <w:sz w:val="16"/>
              </w:rPr>
              <w:t>What customer reviews happened, what was the sentiment, and what follow-up was recorded?</w:t>
            </w:r>
          </w:p>
        </w:tc>
      </w:tr>
      <w:tr>
        <w:tc>
          <w:tcPr>
            <w:tcW w:type="dxa" w:w="1800"/>
            <w:vAlign w:val="center"/>
          </w:tcPr>
          <w:p>
            <w:pPr>
              <w:spacing w:after="20"/>
            </w:pPr>
            <w:r/>
            <w:r>
              <w:rPr>
                <w:rFonts w:ascii="Aptos" w:hAnsi="Aptos"/>
                <w:b w:val="0"/>
                <w:sz w:val="16"/>
              </w:rPr>
              <w:t>Actions</w:t>
            </w:r>
          </w:p>
        </w:tc>
        <w:tc>
          <w:tcPr>
            <w:tcW w:type="dxa" w:w="4320"/>
            <w:vAlign w:val="center"/>
          </w:tcPr>
          <w:p>
            <w:pPr>
              <w:spacing w:after="20"/>
            </w:pPr>
            <w:r/>
            <w:r>
              <w:rPr>
                <w:rFonts w:ascii="Aptos" w:hAnsi="Aptos"/>
                <w:b w:val="0"/>
                <w:sz w:val="16"/>
              </w:rPr>
              <w:t>Operational follow-up tracker with action, customer, owner, due date, status, updated date and removal control.</w:t>
            </w:r>
          </w:p>
        </w:tc>
        <w:tc>
          <w:tcPr>
            <w:tcW w:type="dxa" w:w="4464"/>
            <w:vAlign w:val="center"/>
          </w:tcPr>
          <w:p>
            <w:pPr>
              <w:spacing w:after="20"/>
            </w:pPr>
            <w:r/>
            <w:r>
              <w:rPr>
                <w:rFonts w:ascii="Aptos" w:hAnsi="Aptos"/>
                <w:b w:val="0"/>
                <w:sz w:val="16"/>
              </w:rPr>
              <w:t>Who owns the next step, when is it due, and is it open, in progress or completed?</w:t>
            </w:r>
          </w:p>
        </w:tc>
      </w:tr>
      <w:tr>
        <w:tc>
          <w:tcPr>
            <w:tcW w:type="dxa" w:w="1800"/>
            <w:vAlign w:val="center"/>
            <w:shd w:fill="F1F4FC"/>
          </w:tcPr>
          <w:p>
            <w:pPr>
              <w:spacing w:after="20"/>
            </w:pPr>
            <w:r/>
            <w:r>
              <w:rPr>
                <w:rFonts w:ascii="Aptos" w:hAnsi="Aptos"/>
                <w:b w:val="0"/>
                <w:sz w:val="16"/>
              </w:rPr>
              <w:t>Admin</w:t>
            </w:r>
          </w:p>
        </w:tc>
        <w:tc>
          <w:tcPr>
            <w:tcW w:type="dxa" w:w="4320"/>
            <w:vAlign w:val="center"/>
            <w:shd w:fill="F1F4FC"/>
          </w:tcPr>
          <w:p>
            <w:pPr>
              <w:spacing w:after="20"/>
            </w:pPr>
            <w:r/>
            <w:r>
              <w:rPr>
                <w:rFonts w:ascii="Aptos" w:hAnsi="Aptos"/>
                <w:b w:val="0"/>
                <w:sz w:val="16"/>
              </w:rPr>
              <w:t>Master-data management for performance managers and customer accounts.</w:t>
            </w:r>
          </w:p>
        </w:tc>
        <w:tc>
          <w:tcPr>
            <w:tcW w:type="dxa" w:w="4464"/>
            <w:vAlign w:val="center"/>
            <w:shd w:fill="F1F4FC"/>
          </w:tcPr>
          <w:p>
            <w:pPr>
              <w:spacing w:after="20"/>
            </w:pPr>
            <w:r/>
            <w:r>
              <w:rPr>
                <w:rFonts w:ascii="Aptos" w:hAnsi="Aptos"/>
                <w:b w:val="0"/>
                <w:sz w:val="16"/>
              </w:rPr>
              <w:t>Are the people and accounts available in filters and the meeting workflow?</w:t>
            </w:r>
          </w:p>
        </w:tc>
      </w:tr>
      <w:tr>
        <w:tc>
          <w:tcPr>
            <w:tcW w:type="dxa" w:w="1800"/>
            <w:vAlign w:val="center"/>
          </w:tcPr>
          <w:p>
            <w:pPr>
              <w:spacing w:after="20"/>
            </w:pPr>
            <w:r/>
            <w:r>
              <w:rPr>
                <w:rFonts w:ascii="Aptos" w:hAnsi="Aptos"/>
                <w:b w:val="0"/>
                <w:sz w:val="16"/>
              </w:rPr>
              <w:t>Global search</w:t>
            </w:r>
          </w:p>
        </w:tc>
        <w:tc>
          <w:tcPr>
            <w:tcW w:type="dxa" w:w="4320"/>
            <w:vAlign w:val="center"/>
          </w:tcPr>
          <w:p>
            <w:pPr>
              <w:spacing w:after="20"/>
            </w:pPr>
            <w:r/>
            <w:r>
              <w:rPr>
                <w:rFonts w:ascii="Aptos" w:hAnsi="Aptos"/>
                <w:b w:val="0"/>
                <w:sz w:val="16"/>
              </w:rPr>
              <w:t>Quickly narrows the workspace to a matching customer/contract.</w:t>
            </w:r>
          </w:p>
        </w:tc>
        <w:tc>
          <w:tcPr>
            <w:tcW w:type="dxa" w:w="4464"/>
            <w:vAlign w:val="center"/>
          </w:tcPr>
          <w:p>
            <w:pPr>
              <w:spacing w:after="20"/>
            </w:pPr>
            <w:r/>
            <w:r>
              <w:rPr>
                <w:rFonts w:ascii="Aptos" w:hAnsi="Aptos"/>
                <w:b w:val="0"/>
                <w:sz w:val="16"/>
              </w:rPr>
              <w:t>Can I get to a specific account quickly?</w:t>
            </w:r>
          </w:p>
        </w:tc>
      </w:tr>
      <w:tr>
        <w:tc>
          <w:tcPr>
            <w:tcW w:type="dxa" w:w="1800"/>
            <w:vAlign w:val="center"/>
            <w:shd w:fill="F1F4FC"/>
          </w:tcPr>
          <w:p>
            <w:pPr>
              <w:spacing w:after="20"/>
            </w:pPr>
            <w:r/>
            <w:r>
              <w:rPr>
                <w:rFonts w:ascii="Aptos" w:hAnsi="Aptos"/>
                <w:b w:val="0"/>
                <w:sz w:val="16"/>
              </w:rPr>
              <w:t>Meeting button</w:t>
            </w:r>
          </w:p>
        </w:tc>
        <w:tc>
          <w:tcPr>
            <w:tcW w:type="dxa" w:w="4320"/>
            <w:vAlign w:val="center"/>
            <w:shd w:fill="F1F4FC"/>
          </w:tcPr>
          <w:p>
            <w:pPr>
              <w:spacing w:after="20"/>
            </w:pPr>
            <w:r/>
            <w:r>
              <w:rPr>
                <w:rFonts w:ascii="Aptos" w:hAnsi="Aptos"/>
                <w:b w:val="0"/>
                <w:sz w:val="16"/>
              </w:rPr>
              <w:t>Opens the monthly review workflow to start or update an assessment.</w:t>
            </w:r>
          </w:p>
        </w:tc>
        <w:tc>
          <w:tcPr>
            <w:tcW w:type="dxa" w:w="4464"/>
            <w:vAlign w:val="center"/>
            <w:shd w:fill="F1F4FC"/>
          </w:tcPr>
          <w:p>
            <w:pPr>
              <w:spacing w:after="20"/>
            </w:pPr>
            <w:r/>
            <w:r>
              <w:rPr>
                <w:rFonts w:ascii="Aptos" w:hAnsi="Aptos"/>
                <w:b w:val="0"/>
                <w:sz w:val="16"/>
              </w:rPr>
              <w:t>Can I capture the latest customer review and its follow-up?</w:t>
            </w:r>
          </w:p>
        </w:tc>
      </w:tr>
    </w:tbl>
    <w:p>
      <w:pPr>
        <w:spacing w:after="20"/>
      </w:pPr>
    </w:p>
    <w:p>
      <w:pPr>
        <w:pStyle w:val="Heading1"/>
      </w:pPr>
      <w:r>
        <w:t>2. Dashboard walkthrough — visible sections and how to explain them</w:t>
      </w:r>
    </w:p>
    <w:p>
      <w:pPr>
        <w:pStyle w:val="Heading2"/>
      </w:pPr>
      <w:r>
        <w:t>2.1 Page title, controls and global filters</w:t>
      </w:r>
    </w:p>
    <w:p>
      <w:r>
        <w:t>The top of the Dashboard shows the title “A360 Contract Health”, with Reset and Export controls. The filter panel contains six dimensions: Performance Manager, Customer/Contract, Region, Month, Health and Sentiment. Each filter starts at All in the screenshot.</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3733A5"/>
          </w:tcPr>
          <w:p>
            <w:pPr>
              <w:spacing w:after="20"/>
            </w:pPr>
            <w:r/>
            <w:r>
              <w:rPr>
                <w:rFonts w:ascii="Aptos" w:hAnsi="Aptos"/>
                <w:b/>
                <w:color w:val="FFFFFF"/>
                <w:sz w:val="16"/>
              </w:rPr>
              <w:t>Control</w:t>
            </w:r>
          </w:p>
        </w:tc>
        <w:tc>
          <w:tcPr>
            <w:tcW w:type="dxa" w:w="4032"/>
            <w:vAlign w:val="center"/>
            <w:shd w:fill="3733A5"/>
          </w:tcPr>
          <w:p>
            <w:pPr>
              <w:spacing w:after="20"/>
            </w:pPr>
            <w:r/>
            <w:r>
              <w:rPr>
                <w:rFonts w:ascii="Aptos" w:hAnsi="Aptos"/>
                <w:b/>
                <w:color w:val="FFFFFF"/>
                <w:sz w:val="16"/>
              </w:rPr>
              <w:t>What it means</w:t>
            </w:r>
          </w:p>
        </w:tc>
        <w:tc>
          <w:tcPr>
            <w:tcW w:type="dxa" w:w="4392"/>
            <w:vAlign w:val="center"/>
            <w:shd w:fill="3733A5"/>
          </w:tcPr>
          <w:p>
            <w:pPr>
              <w:spacing w:after="20"/>
            </w:pPr>
            <w:r/>
            <w:r>
              <w:rPr>
                <w:rFonts w:ascii="Aptos" w:hAnsi="Aptos"/>
                <w:b/>
                <w:color w:val="FFFFFF"/>
                <w:sz w:val="16"/>
              </w:rPr>
              <w:t>Expected behavior / validation</w:t>
            </w:r>
          </w:p>
        </w:tc>
      </w:tr>
      <w:tr>
        <w:tc>
          <w:tcPr>
            <w:tcW w:type="dxa" w:w="2088"/>
            <w:vAlign w:val="center"/>
          </w:tcPr>
          <w:p>
            <w:pPr>
              <w:spacing w:after="20"/>
            </w:pPr>
            <w:r/>
            <w:r>
              <w:rPr>
                <w:rFonts w:ascii="Aptos" w:hAnsi="Aptos"/>
                <w:b w:val="0"/>
                <w:sz w:val="16"/>
              </w:rPr>
              <w:t>Performance Manager</w:t>
            </w:r>
          </w:p>
        </w:tc>
        <w:tc>
          <w:tcPr>
            <w:tcW w:type="dxa" w:w="4032"/>
            <w:vAlign w:val="center"/>
          </w:tcPr>
          <w:p>
            <w:pPr>
              <w:spacing w:after="20"/>
            </w:pPr>
            <w:r/>
            <w:r>
              <w:rPr>
                <w:rFonts w:ascii="Aptos" w:hAnsi="Aptos"/>
                <w:b w:val="0"/>
                <w:sz w:val="16"/>
              </w:rPr>
              <w:t>Limits the view to contracts owned by the selected PM.</w:t>
            </w:r>
          </w:p>
        </w:tc>
        <w:tc>
          <w:tcPr>
            <w:tcW w:type="dxa" w:w="4392"/>
            <w:vAlign w:val="center"/>
          </w:tcPr>
          <w:p>
            <w:pPr>
              <w:spacing w:after="20"/>
            </w:pPr>
            <w:r/>
            <w:r>
              <w:rPr>
                <w:rFonts w:ascii="Aptos" w:hAnsi="Aptos"/>
                <w:b w:val="0"/>
                <w:sz w:val="16"/>
              </w:rPr>
              <w:t>All applicable cards, tables and metrics should reflect the same PM scope.</w:t>
            </w:r>
          </w:p>
        </w:tc>
      </w:tr>
      <w:tr>
        <w:tc>
          <w:tcPr>
            <w:tcW w:type="dxa" w:w="2088"/>
            <w:vAlign w:val="center"/>
            <w:shd w:fill="F1F4FC"/>
          </w:tcPr>
          <w:p>
            <w:pPr>
              <w:spacing w:after="20"/>
            </w:pPr>
            <w:r/>
            <w:r>
              <w:rPr>
                <w:rFonts w:ascii="Aptos" w:hAnsi="Aptos"/>
                <w:b w:val="0"/>
                <w:sz w:val="16"/>
              </w:rPr>
              <w:t>Customer / Contract</w:t>
            </w:r>
          </w:p>
        </w:tc>
        <w:tc>
          <w:tcPr>
            <w:tcW w:type="dxa" w:w="4032"/>
            <w:vAlign w:val="center"/>
            <w:shd w:fill="F1F4FC"/>
          </w:tcPr>
          <w:p>
            <w:pPr>
              <w:spacing w:after="20"/>
            </w:pPr>
            <w:r/>
            <w:r>
              <w:rPr>
                <w:rFonts w:ascii="Aptos" w:hAnsi="Aptos"/>
                <w:b w:val="0"/>
                <w:sz w:val="16"/>
              </w:rPr>
              <w:t>Limits the view to one selected account/contract.</w:t>
            </w:r>
          </w:p>
        </w:tc>
        <w:tc>
          <w:tcPr>
            <w:tcW w:type="dxa" w:w="4392"/>
            <w:vAlign w:val="center"/>
            <w:shd w:fill="F1F4FC"/>
          </w:tcPr>
          <w:p>
            <w:pPr>
              <w:spacing w:after="20"/>
            </w:pPr>
            <w:r/>
            <w:r>
              <w:rPr>
                <w:rFonts w:ascii="Aptos" w:hAnsi="Aptos"/>
                <w:b w:val="0"/>
                <w:sz w:val="16"/>
              </w:rPr>
              <w:t>Portfolio list and dependent KPI totals should match the selected record.</w:t>
            </w:r>
          </w:p>
        </w:tc>
      </w:tr>
      <w:tr>
        <w:tc>
          <w:tcPr>
            <w:tcW w:type="dxa" w:w="2088"/>
            <w:vAlign w:val="center"/>
          </w:tcPr>
          <w:p>
            <w:pPr>
              <w:spacing w:after="20"/>
            </w:pPr>
            <w:r/>
            <w:r>
              <w:rPr>
                <w:rFonts w:ascii="Aptos" w:hAnsi="Aptos"/>
                <w:b w:val="0"/>
                <w:sz w:val="16"/>
              </w:rPr>
              <w:t>Region</w:t>
            </w:r>
          </w:p>
        </w:tc>
        <w:tc>
          <w:tcPr>
            <w:tcW w:type="dxa" w:w="4032"/>
            <w:vAlign w:val="center"/>
          </w:tcPr>
          <w:p>
            <w:pPr>
              <w:spacing w:after="20"/>
            </w:pPr>
            <w:r/>
            <w:r>
              <w:rPr>
                <w:rFonts w:ascii="Aptos" w:hAnsi="Aptos"/>
                <w:b w:val="0"/>
                <w:sz w:val="16"/>
              </w:rPr>
              <w:t>Shown with EMEA, AMER and APJ options in the supplied HTML.</w:t>
            </w:r>
          </w:p>
        </w:tc>
        <w:tc>
          <w:tcPr>
            <w:tcW w:type="dxa" w:w="4392"/>
            <w:vAlign w:val="center"/>
          </w:tcPr>
          <w:p>
            <w:pPr>
              <w:spacing w:after="20"/>
            </w:pPr>
            <w:r/>
            <w:r>
              <w:rPr>
                <w:rFonts w:ascii="Aptos" w:hAnsi="Aptos"/>
                <w:b w:val="0"/>
                <w:sz w:val="16"/>
              </w:rPr>
              <w:t>Changing region should narrow the contract population and recalculate totals.</w:t>
            </w:r>
          </w:p>
        </w:tc>
      </w:tr>
      <w:tr>
        <w:tc>
          <w:tcPr>
            <w:tcW w:type="dxa" w:w="2088"/>
            <w:vAlign w:val="center"/>
            <w:shd w:fill="F1F4FC"/>
          </w:tcPr>
          <w:p>
            <w:pPr>
              <w:spacing w:after="20"/>
            </w:pPr>
            <w:r/>
            <w:r>
              <w:rPr>
                <w:rFonts w:ascii="Aptos" w:hAnsi="Aptos"/>
                <w:b w:val="0"/>
                <w:sz w:val="16"/>
              </w:rPr>
              <w:t>Month</w:t>
            </w:r>
          </w:p>
        </w:tc>
        <w:tc>
          <w:tcPr>
            <w:tcW w:type="dxa" w:w="4032"/>
            <w:vAlign w:val="center"/>
            <w:shd w:fill="F1F4FC"/>
          </w:tcPr>
          <w:p>
            <w:pPr>
              <w:spacing w:after="20"/>
            </w:pPr>
            <w:r/>
            <w:r>
              <w:rPr>
                <w:rFonts w:ascii="Aptos" w:hAnsi="Aptos"/>
                <w:b w:val="0"/>
                <w:sz w:val="16"/>
              </w:rPr>
              <w:t>Uses the contract's last/meeting date field in the supplied HTML filter logic.</w:t>
            </w:r>
          </w:p>
        </w:tc>
        <w:tc>
          <w:tcPr>
            <w:tcW w:type="dxa" w:w="4392"/>
            <w:vAlign w:val="center"/>
            <w:shd w:fill="F1F4FC"/>
          </w:tcPr>
          <w:p>
            <w:pPr>
              <w:spacing w:after="20"/>
            </w:pPr>
            <w:r/>
            <w:r>
              <w:rPr>
                <w:rFonts w:ascii="Aptos" w:hAnsi="Aptos"/>
                <w:b w:val="0"/>
                <w:sz w:val="16"/>
              </w:rPr>
              <w:t>Verify which date is authoritative and how a month is represented in the actual app.</w:t>
            </w:r>
          </w:p>
        </w:tc>
      </w:tr>
      <w:tr>
        <w:tc>
          <w:tcPr>
            <w:tcW w:type="dxa" w:w="2088"/>
            <w:vAlign w:val="center"/>
          </w:tcPr>
          <w:p>
            <w:pPr>
              <w:spacing w:after="20"/>
            </w:pPr>
            <w:r/>
            <w:r>
              <w:rPr>
                <w:rFonts w:ascii="Aptos" w:hAnsi="Aptos"/>
                <w:b w:val="0"/>
                <w:sz w:val="16"/>
              </w:rPr>
              <w:t>Health</w:t>
            </w:r>
          </w:p>
        </w:tc>
        <w:tc>
          <w:tcPr>
            <w:tcW w:type="dxa" w:w="4032"/>
            <w:vAlign w:val="center"/>
          </w:tcPr>
          <w:p>
            <w:pPr>
              <w:spacing w:after="20"/>
            </w:pPr>
            <w:r/>
            <w:r>
              <w:rPr>
                <w:rFonts w:ascii="Aptos" w:hAnsi="Aptos"/>
                <w:b w:val="0"/>
                <w:sz w:val="16"/>
              </w:rPr>
              <w:t>Filters by computed overall health status: Green, Yellow, Orange, Red or blank/unassessed.</w:t>
            </w:r>
          </w:p>
        </w:tc>
        <w:tc>
          <w:tcPr>
            <w:tcW w:type="dxa" w:w="4392"/>
            <w:vAlign w:val="center"/>
          </w:tcPr>
          <w:p>
            <w:pPr>
              <w:spacing w:after="20"/>
            </w:pPr>
            <w:r/>
            <w:r>
              <w:rPr>
                <w:rFonts w:ascii="Aptos" w:hAnsi="Aptos"/>
                <w:b w:val="0"/>
                <w:sz w:val="16"/>
              </w:rPr>
              <w:t>The prototype uses a worst-status rule for category assignment; see calculation section.</w:t>
            </w:r>
          </w:p>
        </w:tc>
      </w:tr>
      <w:tr>
        <w:tc>
          <w:tcPr>
            <w:tcW w:type="dxa" w:w="2088"/>
            <w:vAlign w:val="center"/>
            <w:shd w:fill="F1F4FC"/>
          </w:tcPr>
          <w:p>
            <w:pPr>
              <w:spacing w:after="20"/>
            </w:pPr>
            <w:r/>
            <w:r>
              <w:rPr>
                <w:rFonts w:ascii="Aptos" w:hAnsi="Aptos"/>
                <w:b w:val="0"/>
                <w:sz w:val="16"/>
              </w:rPr>
              <w:t>Sentiment</w:t>
            </w:r>
          </w:p>
        </w:tc>
        <w:tc>
          <w:tcPr>
            <w:tcW w:type="dxa" w:w="4032"/>
            <w:vAlign w:val="center"/>
            <w:shd w:fill="F1F4FC"/>
          </w:tcPr>
          <w:p>
            <w:pPr>
              <w:spacing w:after="20"/>
            </w:pPr>
            <w:r/>
            <w:r>
              <w:rPr>
                <w:rFonts w:ascii="Aptos" w:hAnsi="Aptos"/>
                <w:b w:val="0"/>
                <w:sz w:val="16"/>
              </w:rPr>
              <w:t>Filters Positive, Neutral or Negative customer sentiment.</w:t>
            </w:r>
          </w:p>
        </w:tc>
        <w:tc>
          <w:tcPr>
            <w:tcW w:type="dxa" w:w="4392"/>
            <w:vAlign w:val="center"/>
            <w:shd w:fill="F1F4FC"/>
          </w:tcPr>
          <w:p>
            <w:pPr>
              <w:spacing w:after="20"/>
            </w:pPr>
            <w:r/>
            <w:r>
              <w:rPr>
                <w:rFonts w:ascii="Aptos" w:hAnsi="Aptos"/>
                <w:b w:val="0"/>
                <w:sz w:val="16"/>
              </w:rPr>
              <w:t>Sentiment should be sourced from the latest applicable meeting or defined account state.</w:t>
            </w:r>
          </w:p>
        </w:tc>
      </w:tr>
      <w:tr>
        <w:tc>
          <w:tcPr>
            <w:tcW w:type="dxa" w:w="2088"/>
            <w:vAlign w:val="center"/>
          </w:tcPr>
          <w:p>
            <w:pPr>
              <w:spacing w:after="20"/>
            </w:pPr>
            <w:r/>
            <w:r>
              <w:rPr>
                <w:rFonts w:ascii="Aptos" w:hAnsi="Aptos"/>
                <w:b w:val="0"/>
                <w:sz w:val="16"/>
              </w:rPr>
              <w:t>Reset</w:t>
            </w:r>
          </w:p>
        </w:tc>
        <w:tc>
          <w:tcPr>
            <w:tcW w:type="dxa" w:w="4032"/>
            <w:vAlign w:val="center"/>
          </w:tcPr>
          <w:p>
            <w:pPr>
              <w:spacing w:after="20"/>
            </w:pPr>
            <w:r/>
            <w:r>
              <w:rPr>
                <w:rFonts w:ascii="Aptos" w:hAnsi="Aptos"/>
                <w:b w:val="0"/>
                <w:sz w:val="16"/>
              </w:rPr>
              <w:t>Restores the filters to All.</w:t>
            </w:r>
          </w:p>
        </w:tc>
        <w:tc>
          <w:tcPr>
            <w:tcW w:type="dxa" w:w="4392"/>
            <w:vAlign w:val="center"/>
          </w:tcPr>
          <w:p>
            <w:pPr>
              <w:spacing w:after="20"/>
            </w:pPr>
            <w:r/>
            <w:r>
              <w:rPr>
                <w:rFonts w:ascii="Aptos" w:hAnsi="Aptos"/>
                <w:b w:val="0"/>
                <w:sz w:val="16"/>
              </w:rPr>
              <w:t>Confirm reset updates all dashboard sections, not just the dropdowns.</w:t>
            </w:r>
          </w:p>
        </w:tc>
      </w:tr>
      <w:tr>
        <w:tc>
          <w:tcPr>
            <w:tcW w:type="dxa" w:w="2088"/>
            <w:vAlign w:val="center"/>
            <w:shd w:fill="F1F4FC"/>
          </w:tcPr>
          <w:p>
            <w:pPr>
              <w:spacing w:after="20"/>
            </w:pPr>
            <w:r/>
            <w:r>
              <w:rPr>
                <w:rFonts w:ascii="Aptos" w:hAnsi="Aptos"/>
                <w:b w:val="0"/>
                <w:sz w:val="16"/>
              </w:rPr>
              <w:t>Export</w:t>
            </w:r>
          </w:p>
        </w:tc>
        <w:tc>
          <w:tcPr>
            <w:tcW w:type="dxa" w:w="4032"/>
            <w:vAlign w:val="center"/>
            <w:shd w:fill="F1F4FC"/>
          </w:tcPr>
          <w:p>
            <w:pPr>
              <w:spacing w:after="20"/>
            </w:pPr>
            <w:r/>
            <w:r>
              <w:rPr>
                <w:rFonts w:ascii="Aptos" w:hAnsi="Aptos"/>
                <w:b w:val="0"/>
                <w:sz w:val="16"/>
              </w:rPr>
              <w:t>Downloads a CSV register from the filtered contract set in the HTML prototype.</w:t>
            </w:r>
          </w:p>
        </w:tc>
        <w:tc>
          <w:tcPr>
            <w:tcW w:type="dxa" w:w="4392"/>
            <w:vAlign w:val="center"/>
            <w:shd w:fill="F1F4FC"/>
          </w:tcPr>
          <w:p>
            <w:pPr>
              <w:spacing w:after="20"/>
            </w:pPr>
            <w:r/>
            <w:r>
              <w:rPr>
                <w:rFonts w:ascii="Aptos" w:hAnsi="Aptos"/>
                <w:b w:val="0"/>
                <w:sz w:val="16"/>
              </w:rPr>
              <w:t>Check exported row count, active filters, field names and safe CSV escaping.</w:t>
            </w:r>
          </w:p>
        </w:tc>
      </w:tr>
    </w:tbl>
    <w:p>
      <w:pPr>
        <w:spacing w:after="20"/>
      </w:pPr>
    </w:p>
    <w:p>
      <w:r>
        <w:t>Presenter wording: “These filters define the population we are reviewing. The important control is consistency: the cards, table, analytics and export should all represent the same selection, unless a section is explicitly designed to use a different scope.”</w:t>
      </w:r>
    </w:p>
    <w:p>
      <w:pPr>
        <w:pStyle w:val="Heading2"/>
      </w:pPr>
      <w:r>
        <w:t>2.2 KPI cards across the top</w:t>
      </w:r>
    </w:p>
    <w:p>
      <w:r>
        <w:t>The screenshot shows the following portfolio summary cards. The values are an example snapshot from the supplied UI and should not be described as live production numbers without checking the environment and data refresh time.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3733A5"/>
          </w:tcPr>
          <w:p>
            <w:pPr>
              <w:spacing w:after="20"/>
            </w:pPr>
            <w:r/>
            <w:r>
              <w:rPr>
                <w:rFonts w:ascii="Aptos" w:hAnsi="Aptos"/>
                <w:b/>
                <w:color w:val="FFFFFF"/>
                <w:sz w:val="16"/>
              </w:rPr>
              <w:t>Visible card</w:t>
            </w:r>
          </w:p>
        </w:tc>
        <w:tc>
          <w:tcPr>
            <w:tcW w:type="dxa" w:w="1800"/>
            <w:vAlign w:val="center"/>
            <w:shd w:fill="3733A5"/>
          </w:tcPr>
          <w:p>
            <w:pPr>
              <w:spacing w:after="20"/>
            </w:pPr>
            <w:r/>
            <w:r>
              <w:rPr>
                <w:rFonts w:ascii="Aptos" w:hAnsi="Aptos"/>
                <w:b/>
                <w:color w:val="FFFFFF"/>
                <w:sz w:val="16"/>
              </w:rPr>
              <w:t>Screenshot value</w:t>
            </w:r>
          </w:p>
        </w:tc>
        <w:tc>
          <w:tcPr>
            <w:tcW w:type="dxa" w:w="3384"/>
            <w:vAlign w:val="center"/>
            <w:shd w:fill="3733A5"/>
          </w:tcPr>
          <w:p>
            <w:pPr>
              <w:spacing w:after="20"/>
            </w:pPr>
            <w:r/>
            <w:r>
              <w:rPr>
                <w:rFonts w:ascii="Aptos" w:hAnsi="Aptos"/>
                <w:b/>
                <w:color w:val="FFFFFF"/>
                <w:sz w:val="16"/>
              </w:rPr>
              <w:t>Manager interpretation</w:t>
            </w:r>
          </w:p>
        </w:tc>
        <w:tc>
          <w:tcPr>
            <w:tcW w:type="dxa" w:w="3600"/>
            <w:vAlign w:val="center"/>
            <w:shd w:fill="3733A5"/>
          </w:tcPr>
          <w:p>
            <w:pPr>
              <w:spacing w:after="20"/>
            </w:pPr>
            <w:r/>
            <w:r>
              <w:rPr>
                <w:rFonts w:ascii="Aptos" w:hAnsi="Aptos"/>
                <w:b/>
                <w:color w:val="FFFFFF"/>
                <w:sz w:val="16"/>
              </w:rPr>
              <w:t>Validation question</w:t>
            </w:r>
          </w:p>
        </w:tc>
      </w:tr>
      <w:tr>
        <w:tc>
          <w:tcPr>
            <w:tcW w:type="dxa" w:w="1800"/>
            <w:vAlign w:val="center"/>
          </w:tcPr>
          <w:p>
            <w:pPr>
              <w:spacing w:after="20"/>
            </w:pPr>
            <w:r/>
            <w:r>
              <w:rPr>
                <w:rFonts w:ascii="Aptos" w:hAnsi="Aptos"/>
                <w:b w:val="0"/>
                <w:sz w:val="16"/>
              </w:rPr>
              <w:t>Overall Health</w:t>
            </w:r>
          </w:p>
        </w:tc>
        <w:tc>
          <w:tcPr>
            <w:tcW w:type="dxa" w:w="1800"/>
            <w:vAlign w:val="center"/>
          </w:tcPr>
          <w:p>
            <w:pPr>
              <w:spacing w:after="20"/>
            </w:pPr>
            <w:r/>
            <w:r>
              <w:rPr>
                <w:rFonts w:ascii="Aptos" w:hAnsi="Aptos"/>
                <w:b w:val="0"/>
                <w:sz w:val="16"/>
              </w:rPr>
              <w:t>89/100; Healthy</w:t>
            </w:r>
          </w:p>
        </w:tc>
        <w:tc>
          <w:tcPr>
            <w:tcW w:type="dxa" w:w="3384"/>
            <w:vAlign w:val="center"/>
          </w:tcPr>
          <w:p>
            <w:pPr>
              <w:spacing w:after="20"/>
            </w:pPr>
            <w:r/>
            <w:r>
              <w:rPr>
                <w:rFonts w:ascii="Aptos" w:hAnsi="Aptos"/>
                <w:b w:val="0"/>
                <w:sz w:val="16"/>
              </w:rPr>
              <w:t>A headline score intended to summarize portfolio health.</w:t>
            </w:r>
          </w:p>
        </w:tc>
        <w:tc>
          <w:tcPr>
            <w:tcW w:type="dxa" w:w="3600"/>
            <w:vAlign w:val="center"/>
          </w:tcPr>
          <w:p>
            <w:pPr>
              <w:spacing w:after="20"/>
            </w:pPr>
            <w:r/>
            <w:r>
              <w:rPr>
                <w:rFonts w:ascii="Aptos" w:hAnsi="Aptos"/>
                <w:b w:val="0"/>
                <w:sz w:val="16"/>
              </w:rPr>
              <w:t>What is the approved score formula, weighting and treatment of missing assessments?</w:t>
            </w:r>
          </w:p>
        </w:tc>
      </w:tr>
      <w:tr>
        <w:tc>
          <w:tcPr>
            <w:tcW w:type="dxa" w:w="1800"/>
            <w:vAlign w:val="center"/>
            <w:shd w:fill="F1F4FC"/>
          </w:tcPr>
          <w:p>
            <w:pPr>
              <w:spacing w:after="20"/>
            </w:pPr>
            <w:r/>
            <w:r>
              <w:rPr>
                <w:rFonts w:ascii="Aptos" w:hAnsi="Aptos"/>
                <w:b w:val="0"/>
                <w:sz w:val="16"/>
              </w:rPr>
              <w:t>Contracts</w:t>
            </w:r>
          </w:p>
        </w:tc>
        <w:tc>
          <w:tcPr>
            <w:tcW w:type="dxa" w:w="1800"/>
            <w:vAlign w:val="center"/>
            <w:shd w:fill="F1F4FC"/>
          </w:tcPr>
          <w:p>
            <w:pPr>
              <w:spacing w:after="20"/>
            </w:pPr>
            <w:r/>
            <w:r>
              <w:rPr>
                <w:rFonts w:ascii="Aptos" w:hAnsi="Aptos"/>
                <w:b w:val="0"/>
                <w:sz w:val="16"/>
              </w:rPr>
              <w:t>198</w:t>
            </w:r>
          </w:p>
        </w:tc>
        <w:tc>
          <w:tcPr>
            <w:tcW w:type="dxa" w:w="3384"/>
            <w:vAlign w:val="center"/>
            <w:shd w:fill="F1F4FC"/>
          </w:tcPr>
          <w:p>
            <w:pPr>
              <w:spacing w:after="20"/>
            </w:pPr>
            <w:r/>
            <w:r>
              <w:rPr>
                <w:rFonts w:ascii="Aptos" w:hAnsi="Aptos"/>
                <w:b w:val="0"/>
                <w:sz w:val="16"/>
              </w:rPr>
              <w:t>Number of contracts in the current view.</w:t>
            </w:r>
          </w:p>
        </w:tc>
        <w:tc>
          <w:tcPr>
            <w:tcW w:type="dxa" w:w="3600"/>
            <w:vAlign w:val="center"/>
            <w:shd w:fill="F1F4FC"/>
          </w:tcPr>
          <w:p>
            <w:pPr>
              <w:spacing w:after="20"/>
            </w:pPr>
            <w:r/>
            <w:r>
              <w:rPr>
                <w:rFonts w:ascii="Aptos" w:hAnsi="Aptos"/>
                <w:b w:val="0"/>
                <w:sz w:val="16"/>
              </w:rPr>
              <w:t>Does this count active only, or include archived/inactive contracts?</w:t>
            </w:r>
          </w:p>
        </w:tc>
      </w:tr>
      <w:tr>
        <w:tc>
          <w:tcPr>
            <w:tcW w:type="dxa" w:w="1800"/>
            <w:vAlign w:val="center"/>
          </w:tcPr>
          <w:p>
            <w:pPr>
              <w:spacing w:after="20"/>
            </w:pPr>
            <w:r/>
            <w:r>
              <w:rPr>
                <w:rFonts w:ascii="Aptos" w:hAnsi="Aptos"/>
                <w:b w:val="0"/>
                <w:sz w:val="16"/>
              </w:rPr>
              <w:t>Green</w:t>
            </w:r>
          </w:p>
        </w:tc>
        <w:tc>
          <w:tcPr>
            <w:tcW w:type="dxa" w:w="1800"/>
            <w:vAlign w:val="center"/>
          </w:tcPr>
          <w:p>
            <w:pPr>
              <w:spacing w:after="20"/>
            </w:pPr>
            <w:r/>
            <w:r>
              <w:rPr>
                <w:rFonts w:ascii="Aptos" w:hAnsi="Aptos"/>
                <w:b w:val="0"/>
                <w:sz w:val="16"/>
              </w:rPr>
              <w:t>6</w:t>
            </w:r>
          </w:p>
        </w:tc>
        <w:tc>
          <w:tcPr>
            <w:tcW w:type="dxa" w:w="3384"/>
            <w:vAlign w:val="center"/>
          </w:tcPr>
          <w:p>
            <w:pPr>
              <w:spacing w:after="20"/>
            </w:pPr>
            <w:r/>
            <w:r>
              <w:rPr>
                <w:rFonts w:ascii="Aptos" w:hAnsi="Aptos"/>
                <w:b w:val="0"/>
                <w:sz w:val="16"/>
              </w:rPr>
              <w:t>Contracts in the healthy category.</w:t>
            </w:r>
          </w:p>
        </w:tc>
        <w:tc>
          <w:tcPr>
            <w:tcW w:type="dxa" w:w="3600"/>
            <w:vAlign w:val="center"/>
          </w:tcPr>
          <w:p>
            <w:pPr>
              <w:spacing w:after="20"/>
            </w:pPr>
            <w:r/>
            <w:r>
              <w:rPr>
                <w:rFonts w:ascii="Aptos" w:hAnsi="Aptos"/>
                <w:b w:val="0"/>
                <w:sz w:val="16"/>
              </w:rPr>
              <w:t>Do category totals reconcile to the contract count?</w:t>
            </w:r>
          </w:p>
        </w:tc>
      </w:tr>
      <w:tr>
        <w:tc>
          <w:tcPr>
            <w:tcW w:type="dxa" w:w="1800"/>
            <w:vAlign w:val="center"/>
            <w:shd w:fill="F1F4FC"/>
          </w:tcPr>
          <w:p>
            <w:pPr>
              <w:spacing w:after="20"/>
            </w:pPr>
            <w:r/>
            <w:r>
              <w:rPr>
                <w:rFonts w:ascii="Aptos" w:hAnsi="Aptos"/>
                <w:b w:val="0"/>
                <w:sz w:val="16"/>
              </w:rPr>
              <w:t>Yellow</w:t>
            </w:r>
          </w:p>
        </w:tc>
        <w:tc>
          <w:tcPr>
            <w:tcW w:type="dxa" w:w="1800"/>
            <w:vAlign w:val="center"/>
            <w:shd w:fill="F1F4FC"/>
          </w:tcPr>
          <w:p>
            <w:pPr>
              <w:spacing w:after="20"/>
            </w:pPr>
            <w:r/>
            <w:r>
              <w:rPr>
                <w:rFonts w:ascii="Aptos" w:hAnsi="Aptos"/>
                <w:b w:val="0"/>
                <w:sz w:val="16"/>
              </w:rPr>
              <w:t>121</w:t>
            </w:r>
          </w:p>
        </w:tc>
        <w:tc>
          <w:tcPr>
            <w:tcW w:type="dxa" w:w="3384"/>
            <w:vAlign w:val="center"/>
            <w:shd w:fill="F1F4FC"/>
          </w:tcPr>
          <w:p>
            <w:pPr>
              <w:spacing w:after="20"/>
            </w:pPr>
            <w:r/>
            <w:r>
              <w:rPr>
                <w:rFonts w:ascii="Aptos" w:hAnsi="Aptos"/>
                <w:b w:val="0"/>
                <w:sz w:val="16"/>
              </w:rPr>
              <w:t>Contracts in watch status.</w:t>
            </w:r>
          </w:p>
        </w:tc>
        <w:tc>
          <w:tcPr>
            <w:tcW w:type="dxa" w:w="3600"/>
            <w:vAlign w:val="center"/>
            <w:shd w:fill="F1F4FC"/>
          </w:tcPr>
          <w:p>
            <w:pPr>
              <w:spacing w:after="20"/>
            </w:pPr>
            <w:r/>
            <w:r>
              <w:rPr>
                <w:rFonts w:ascii="Aptos" w:hAnsi="Aptos"/>
                <w:b w:val="0"/>
                <w:sz w:val="16"/>
              </w:rPr>
              <w:t>What threshold and action are associated with Yellow?</w:t>
            </w:r>
          </w:p>
        </w:tc>
      </w:tr>
      <w:tr>
        <w:tc>
          <w:tcPr>
            <w:tcW w:type="dxa" w:w="1800"/>
            <w:vAlign w:val="center"/>
          </w:tcPr>
          <w:p>
            <w:pPr>
              <w:spacing w:after="20"/>
            </w:pPr>
            <w:r/>
            <w:r>
              <w:rPr>
                <w:rFonts w:ascii="Aptos" w:hAnsi="Aptos"/>
                <w:b w:val="0"/>
                <w:sz w:val="16"/>
              </w:rPr>
              <w:t>Orange</w:t>
            </w:r>
          </w:p>
        </w:tc>
        <w:tc>
          <w:tcPr>
            <w:tcW w:type="dxa" w:w="1800"/>
            <w:vAlign w:val="center"/>
          </w:tcPr>
          <w:p>
            <w:pPr>
              <w:spacing w:after="20"/>
            </w:pPr>
            <w:r/>
            <w:r>
              <w:rPr>
                <w:rFonts w:ascii="Aptos" w:hAnsi="Aptos"/>
                <w:b w:val="0"/>
                <w:sz w:val="16"/>
              </w:rPr>
              <w:t>53</w:t>
            </w:r>
          </w:p>
        </w:tc>
        <w:tc>
          <w:tcPr>
            <w:tcW w:type="dxa" w:w="3384"/>
            <w:vAlign w:val="center"/>
          </w:tcPr>
          <w:p>
            <w:pPr>
              <w:spacing w:after="20"/>
            </w:pPr>
            <w:r/>
            <w:r>
              <w:rPr>
                <w:rFonts w:ascii="Aptos" w:hAnsi="Aptos"/>
                <w:b w:val="0"/>
                <w:sz w:val="16"/>
              </w:rPr>
              <w:t>Contracts requiring attention.</w:t>
            </w:r>
          </w:p>
        </w:tc>
        <w:tc>
          <w:tcPr>
            <w:tcW w:type="dxa" w:w="3600"/>
            <w:vAlign w:val="center"/>
          </w:tcPr>
          <w:p>
            <w:pPr>
              <w:spacing w:after="20"/>
            </w:pPr>
            <w:r/>
            <w:r>
              <w:rPr>
                <w:rFonts w:ascii="Aptos" w:hAnsi="Aptos"/>
                <w:b w:val="0"/>
                <w:sz w:val="16"/>
              </w:rPr>
              <w:t>What are the expected escalation or review steps?</w:t>
            </w:r>
          </w:p>
        </w:tc>
      </w:tr>
      <w:tr>
        <w:tc>
          <w:tcPr>
            <w:tcW w:type="dxa" w:w="1800"/>
            <w:vAlign w:val="center"/>
            <w:shd w:fill="F1F4FC"/>
          </w:tcPr>
          <w:p>
            <w:pPr>
              <w:spacing w:after="20"/>
            </w:pPr>
            <w:r/>
            <w:r>
              <w:rPr>
                <w:rFonts w:ascii="Aptos" w:hAnsi="Aptos"/>
                <w:b w:val="0"/>
                <w:sz w:val="16"/>
              </w:rPr>
              <w:t>Red</w:t>
            </w:r>
          </w:p>
        </w:tc>
        <w:tc>
          <w:tcPr>
            <w:tcW w:type="dxa" w:w="1800"/>
            <w:vAlign w:val="center"/>
            <w:shd w:fill="F1F4FC"/>
          </w:tcPr>
          <w:p>
            <w:pPr>
              <w:spacing w:after="20"/>
            </w:pPr>
            <w:r/>
            <w:r>
              <w:rPr>
                <w:rFonts w:ascii="Aptos" w:hAnsi="Aptos"/>
                <w:b w:val="0"/>
                <w:sz w:val="16"/>
              </w:rPr>
              <w:t>17</w:t>
            </w:r>
          </w:p>
        </w:tc>
        <w:tc>
          <w:tcPr>
            <w:tcW w:type="dxa" w:w="3384"/>
            <w:vAlign w:val="center"/>
            <w:shd w:fill="F1F4FC"/>
          </w:tcPr>
          <w:p>
            <w:pPr>
              <w:spacing w:after="20"/>
            </w:pPr>
            <w:r/>
            <w:r>
              <w:rPr>
                <w:rFonts w:ascii="Aptos" w:hAnsi="Aptos"/>
                <w:b w:val="0"/>
                <w:sz w:val="16"/>
              </w:rPr>
              <w:t>Critical contracts.</w:t>
            </w:r>
          </w:p>
        </w:tc>
        <w:tc>
          <w:tcPr>
            <w:tcW w:type="dxa" w:w="3600"/>
            <w:vAlign w:val="center"/>
            <w:shd w:fill="F1F4FC"/>
          </w:tcPr>
          <w:p>
            <w:pPr>
              <w:spacing w:after="20"/>
            </w:pPr>
            <w:r/>
            <w:r>
              <w:rPr>
                <w:rFonts w:ascii="Aptos" w:hAnsi="Aptos"/>
                <w:b w:val="0"/>
                <w:sz w:val="16"/>
              </w:rPr>
              <w:t>What escalation, owner and response time apply?</w:t>
            </w:r>
          </w:p>
        </w:tc>
      </w:tr>
      <w:tr>
        <w:tc>
          <w:tcPr>
            <w:tcW w:type="dxa" w:w="1800"/>
            <w:vAlign w:val="center"/>
          </w:tcPr>
          <w:p>
            <w:pPr>
              <w:spacing w:after="20"/>
            </w:pPr>
            <w:r/>
            <w:r>
              <w:rPr>
                <w:rFonts w:ascii="Aptos" w:hAnsi="Aptos"/>
                <w:b w:val="0"/>
                <w:sz w:val="16"/>
              </w:rPr>
              <w:t>Contract Value</w:t>
            </w:r>
          </w:p>
        </w:tc>
        <w:tc>
          <w:tcPr>
            <w:tcW w:type="dxa" w:w="1800"/>
            <w:vAlign w:val="center"/>
          </w:tcPr>
          <w:p>
            <w:pPr>
              <w:spacing w:after="20"/>
            </w:pPr>
            <w:r/>
            <w:r>
              <w:rPr>
                <w:rFonts w:ascii="Aptos" w:hAnsi="Aptos"/>
                <w:b w:val="0"/>
                <w:sz w:val="16"/>
              </w:rPr>
              <w:t>$4675.2M</w:t>
            </w:r>
          </w:p>
        </w:tc>
        <w:tc>
          <w:tcPr>
            <w:tcW w:type="dxa" w:w="3384"/>
            <w:vAlign w:val="center"/>
          </w:tcPr>
          <w:p>
            <w:pPr>
              <w:spacing w:after="20"/>
            </w:pPr>
            <w:r/>
            <w:r>
              <w:rPr>
                <w:rFonts w:ascii="Aptos" w:hAnsi="Aptos"/>
                <w:b w:val="0"/>
                <w:sz w:val="16"/>
              </w:rPr>
              <w:t>Aggregate value represented by the current view.</w:t>
            </w:r>
          </w:p>
        </w:tc>
        <w:tc>
          <w:tcPr>
            <w:tcW w:type="dxa" w:w="3600"/>
            <w:vAlign w:val="center"/>
          </w:tcPr>
          <w:p>
            <w:pPr>
              <w:spacing w:after="20"/>
            </w:pPr>
            <w:r/>
            <w:r>
              <w:rPr>
                <w:rFonts w:ascii="Aptos" w:hAnsi="Aptos"/>
                <w:b w:val="0"/>
                <w:sz w:val="16"/>
              </w:rPr>
              <w:t>Are values all in the same currency and unit, and are nulls excluded or treated as zero?</w:t>
            </w:r>
          </w:p>
        </w:tc>
      </w:tr>
      <w:tr>
        <w:tc>
          <w:tcPr>
            <w:tcW w:type="dxa" w:w="1800"/>
            <w:vAlign w:val="center"/>
            <w:shd w:fill="F1F4FC"/>
          </w:tcPr>
          <w:p>
            <w:pPr>
              <w:spacing w:after="20"/>
            </w:pPr>
            <w:r/>
            <w:r>
              <w:rPr>
                <w:rFonts w:ascii="Aptos" w:hAnsi="Aptos"/>
                <w:b w:val="0"/>
                <w:sz w:val="16"/>
              </w:rPr>
              <w:t>Value at Risk</w:t>
            </w:r>
          </w:p>
        </w:tc>
        <w:tc>
          <w:tcPr>
            <w:tcW w:type="dxa" w:w="1800"/>
            <w:vAlign w:val="center"/>
            <w:shd w:fill="F1F4FC"/>
          </w:tcPr>
          <w:p>
            <w:pPr>
              <w:spacing w:after="20"/>
            </w:pPr>
            <w:r/>
            <w:r>
              <w:rPr>
                <w:rFonts w:ascii="Aptos" w:hAnsi="Aptos"/>
                <w:b w:val="0"/>
                <w:sz w:val="16"/>
              </w:rPr>
              <w:t>$204.6M</w:t>
            </w:r>
          </w:p>
        </w:tc>
        <w:tc>
          <w:tcPr>
            <w:tcW w:type="dxa" w:w="3384"/>
            <w:vAlign w:val="center"/>
            <w:shd w:fill="F1F4FC"/>
          </w:tcPr>
          <w:p>
            <w:pPr>
              <w:spacing w:after="20"/>
            </w:pPr>
            <w:r/>
            <w:r>
              <w:rPr>
                <w:rFonts w:ascii="Aptos" w:hAnsi="Aptos"/>
                <w:b w:val="0"/>
                <w:sz w:val="16"/>
              </w:rPr>
              <w:t>Estimated value exposed to risk.</w:t>
            </w:r>
          </w:p>
        </w:tc>
        <w:tc>
          <w:tcPr>
            <w:tcW w:type="dxa" w:w="3600"/>
            <w:vAlign w:val="center"/>
            <w:shd w:fill="F1F4FC"/>
          </w:tcPr>
          <w:p>
            <w:pPr>
              <w:spacing w:after="20"/>
            </w:pPr>
            <w:r/>
            <w:r>
              <w:rPr>
                <w:rFonts w:ascii="Aptos" w:hAnsi="Aptos"/>
                <w:b w:val="0"/>
                <w:sz w:val="16"/>
              </w:rPr>
              <w:t>Which source field/formula defines risk value? It should not be assumed to equal total contract value.</w:t>
            </w:r>
          </w:p>
        </w:tc>
      </w:tr>
    </w:tbl>
    <w:p>
      <w:pPr>
        <w:spacing w:after="20"/>
      </w:pPr>
    </w:p>
    <w:p>
      <w:r>
        <w:t>The four category counts shown in the screenshot total 197 (6 + 121 + 53 + 17), while Contracts shows 198. This may mean one contract is unassessed/blank, or that the cards use slightly different inclusion rules. It is a valuable reconciliation point to explain and validate, not automatically a defect.</w:t>
      </w:r>
    </w:p>
    <w:p>
      <w:pPr>
        <w:pStyle w:val="Heading2"/>
      </w:pPr>
      <w:r>
        <w:t>2.3 Customer Voice — Customer &amp; Outcomes</w:t>
      </w:r>
    </w:p>
    <w:p>
      <w:r>
        <w:t>This card combines an overall customer/outcome score, customer sentiment and concerns. The screenshot shows 89/100, 31% Positive, 65 Concerns, and an Outcome KPI of 89/100. The accompanying note calls out accounts with negative sentiment that are also Orange/Red.</w:t>
      </w:r>
    </w:p>
    <w:p>
      <w:pPr>
        <w:pStyle w:val="ListBullet"/>
        <w:spacing w:after="40"/>
      </w:pPr>
      <w:r>
        <w:t>Business value: prevents the team from relying only on operational health; customer sentiment and unresolved concerns can signal renewal or relationship risk.</w:t>
      </w:r>
    </w:p>
    <w:p>
      <w:pPr>
        <w:pStyle w:val="ListBullet"/>
        <w:spacing w:after="40"/>
      </w:pPr>
      <w:r>
        <w:t>HTML behavior: the score is derived from customer outcome performance or an outcome KPI fallback; Positive percentage is calculated as positive-sentiment contracts divided by the displayed data count; Concerns counts contracts with non-empty concern text.</w:t>
      </w:r>
    </w:p>
    <w:p>
      <w:pPr>
        <w:pStyle w:val="ListBullet"/>
        <w:spacing w:after="40"/>
      </w:pPr>
      <w:r>
        <w:t>Manager discussion: review negative sentiment and high-risk health together, assign an owner, and record the next action in the meeting workflow.</w:t>
      </w:r>
    </w:p>
    <w:p>
      <w:pPr>
        <w:pStyle w:val="ListBullet"/>
        <w:spacing w:after="40"/>
      </w:pPr>
      <w:r>
        <w:t>Validation: clarify whether ‘concern’ is a simple presence/absence count or a severity-weighted measure, and whether percentage denominator excludes unassessed records.</w:t>
      </w:r>
    </w:p>
    <w:p>
      <w:pPr>
        <w:pStyle w:val="Heading2"/>
      </w:pPr>
      <w:r>
        <w:t>2.4 Commercial — Financial Context</w:t>
      </w:r>
    </w:p>
    <w:p>
      <w:r>
        <w:t>The screenshot shows Portfolio Value $4675.2M, At Risk $204.6M, Exposure 4.4%, Gross margin 47%, Pipeline $1870.1M, Past-due 274 and Booked 48%.</w:t>
      </w:r>
    </w:p>
    <w:p>
      <w:pPr>
        <w:pStyle w:val="ListBullet"/>
        <w:spacing w:after="40"/>
      </w:pPr>
      <w:r>
        <w:t>Portfolio Value and At Risk are aggregated over the current contract set in the prototype.</w:t>
      </w:r>
    </w:p>
    <w:p>
      <w:pPr>
        <w:pStyle w:val="ListBullet"/>
        <w:spacing w:after="40"/>
      </w:pPr>
      <w:r>
        <w:t>Exposure is calculated as risk value divided by portfolio value × 100 when portfolio value is non-zero.</w:t>
      </w:r>
    </w:p>
    <w:p>
      <w:pPr>
        <w:pStyle w:val="ListBullet"/>
        <w:spacing w:after="40"/>
      </w:pPr>
      <w:r>
        <w:t>Gross margin, pipeline, past-due and booked metrics are drawn from the performance/financial fields associated with the contract records and summarized for the view.</w:t>
      </w:r>
    </w:p>
    <w:p>
      <w:pPr>
        <w:pStyle w:val="ListBullet"/>
        <w:spacing w:after="40"/>
      </w:pPr>
      <w:r>
        <w:t>Manager discussion: use the panel to connect delivery/customer risks to commercial exposure, renewal and revenue outcomes.</w:t>
      </w:r>
    </w:p>
    <w:p>
      <w:pPr>
        <w:pStyle w:val="ListBullet"/>
        <w:spacing w:after="40"/>
      </w:pPr>
      <w:r>
        <w:t>Validation: define units, denominator, time window and aggregation method for each commercial metric. In particular, confirm whether Gross margin and Booked are averages, weighted averages, or values derived from a distinct financial dataset.</w:t>
      </w:r>
    </w:p>
    <w:p>
      <w:pPr>
        <w:pStyle w:val="Heading2"/>
      </w:pPr>
      <w:r>
        <w:t>2.5 Forward — Renewal &amp; Growth</w:t>
      </w:r>
    </w:p>
    <w:p>
      <w:r>
        <w:t>The screenshot shows Renewal Readiness 88/100, Watch 67, Red 7 and Tracker ready 54%. This card is intended to show how prepared the portfolio is for upcoming renewals and where renewal risk needs follow-up.</w:t>
      </w:r>
    </w:p>
    <w:p>
      <w:pPr>
        <w:pStyle w:val="ListBullet"/>
        <w:spacing w:after="40"/>
      </w:pPr>
      <w:r>
        <w:t>Use it to identify accounts needing a renewal plan, escalation, or readiness evidence.</w:t>
      </w:r>
    </w:p>
    <w:p>
      <w:pPr>
        <w:pStyle w:val="ListBullet"/>
        <w:spacing w:after="40"/>
      </w:pPr>
      <w:r>
        <w:t>The HTML derives this area from performance data and health statuses; exact renewal thresholds and tracker-readiness business rules should be confirmed.</w:t>
      </w:r>
    </w:p>
    <w:p>
      <w:pPr>
        <w:pStyle w:val="ListBullet"/>
        <w:spacing w:after="40"/>
      </w:pPr>
      <w:r>
        <w:t>Clarify the meaning of Watch and Red counts: whether they refer to renewal statuses, overall health, or a dedicated renewal field.</w:t>
      </w:r>
    </w:p>
    <w:p>
      <w:pPr>
        <w:pStyle w:val="Heading2"/>
      </w:pPr>
      <w:r>
        <w:t>2.6 Portfolio Pulse — Health Summary</w:t>
      </w:r>
    </w:p>
    <w:p>
      <w:r>
        <w:t>The screenshot shows a circular overall portfolio health gauge (89), alongside contract count and risk value, and a meeting principle that customer feedback and operational health should be considered together.</w:t>
      </w:r>
    </w:p>
    <w:p>
      <w:pPr>
        <w:pStyle w:val="ListBullet"/>
        <w:spacing w:after="40"/>
      </w:pPr>
      <w:r>
        <w:t>This is a communication/summary layer: it helps managers read the portfolio at a glance.</w:t>
      </w:r>
    </w:p>
    <w:p>
      <w:pPr>
        <w:pStyle w:val="ListBullet"/>
        <w:spacing w:after="40"/>
      </w:pPr>
      <w:r>
        <w:t>The prototype's overall health score is calculated from available status values, mapped to numeric scores Green=100, Yellow=80, Orange=60 and Red=20, averaged and rounded.</w:t>
      </w:r>
    </w:p>
    <w:p>
      <w:pPr>
        <w:pStyle w:val="ListBullet"/>
        <w:spacing w:after="40"/>
      </w:pPr>
      <w:r>
        <w:t>The prototype's overall health category for an individual contract is the worst status among the populated KPI and additional dimension statuses. These two rules are different: one produces a numeric score; the other produces a categorical status.</w:t>
      </w:r>
    </w:p>
    <w:p>
      <w:pPr>
        <w:pStyle w:val="Heading2"/>
      </w:pPr>
      <w:r>
        <w:t>2.7 Rhythm — Meeting Activity</w:t>
      </w:r>
    </w:p>
    <w:p>
      <w:r>
        <w:t>The screenshot shows 78 meeting records and a latest example “Southern Gas 127 · 2026-10-17”, with Open 25, In Prog 23, Done 14 and Due 15, plus a Closure rate of 23%.</w:t>
      </w:r>
    </w:p>
    <w:p>
      <w:pPr>
        <w:pStyle w:val="ListBullet"/>
        <w:spacing w:after="40"/>
      </w:pPr>
      <w:r>
        <w:t>Business purpose: indicates whether review cadence and follow-up execution are keeping pace with the portfolio.</w:t>
      </w:r>
    </w:p>
    <w:p>
      <w:pPr>
        <w:pStyle w:val="ListBullet"/>
        <w:spacing w:after="40"/>
      </w:pPr>
      <w:r>
        <w:t>The prototype uses meeting records for the meeting history and action fields/statuses for action tracking; the screenshot's counts should be reconciled against the underlying dataset.</w:t>
      </w:r>
    </w:p>
    <w:p>
      <w:pPr>
        <w:pStyle w:val="ListBullet"/>
        <w:spacing w:after="40"/>
      </w:pPr>
      <w:r>
        <w:t>The ‘Open Action Tracker’ link directs the user to the Actions page.</w:t>
      </w:r>
    </w:p>
    <w:p>
      <w:pPr>
        <w:pStyle w:val="ListBullet"/>
        <w:spacing w:after="40"/>
      </w:pPr>
      <w:r>
        <w:t>Validation: define whether ‘Due’ means overdue, due today, or due in a configured window; define whether closure rate is completed divided by all actions or by eligible actions.</w:t>
      </w:r>
    </w:p>
    <w:p>
      <w:pPr>
        <w:pStyle w:val="Heading2"/>
      </w:pPr>
      <w:r>
        <w:t>2.8 Contract Portfolio table</w:t>
      </w:r>
    </w:p>
    <w:p>
      <w:r>
        <w:t>The table shows Customer, PM, Region, Value, Sentiment and a Meeting button. The screenshot shows 198 records and pagination of 10 rows per page (20 pages). The visible example records include Advanced Chemicals 53, Advanced Chemicals 58, Advanced Energy 187 and others.</w:t>
      </w:r>
    </w:p>
    <w:p>
      <w:pPr>
        <w:pStyle w:val="ListBullet"/>
        <w:spacing w:after="40"/>
      </w:pPr>
      <w:r>
        <w:t>The table is the account-level working list behind the summary dashboard.</w:t>
      </w:r>
    </w:p>
    <w:p>
      <w:pPr>
        <w:pStyle w:val="ListBullet"/>
        <w:spacing w:after="40"/>
      </w:pPr>
      <w:r>
        <w:t>Clicking Meeting is intended to open the meeting wizard for that contract.</w:t>
      </w:r>
    </w:p>
    <w:p>
      <w:pPr>
        <w:pStyle w:val="ListBullet"/>
        <w:spacing w:after="40"/>
      </w:pPr>
      <w:r>
        <w:t>In the supplied HTML, the table is sorted alphabetically by customer and uses the filtered contract set.</w:t>
      </w:r>
    </w:p>
    <w:p>
      <w:pPr>
        <w:pStyle w:val="ListBullet"/>
        <w:spacing w:after="40"/>
      </w:pPr>
      <w:r>
        <w:t>Pagination, sorting and page size should be confirmed in the actual Angular application; the screenshot demonstrates the visible behavior but does not prove implementation details.</w:t>
      </w:r>
    </w:p>
    <w:p>
      <w:pPr>
        <w:pStyle w:val="Heading2"/>
      </w:pPr>
      <w:r>
        <w:t>2.9 Performance Analytics</w:t>
      </w:r>
    </w:p>
    <w:p>
      <w:r>
        <w:t>The screenshots show a three-column analytics area: Enable Services, Performance Details and Financial Performance.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3733A5"/>
          </w:tcPr>
          <w:p>
            <w:pPr>
              <w:spacing w:after="20"/>
            </w:pPr>
            <w:r/>
            <w:r>
              <w:rPr>
                <w:rFonts w:ascii="Aptos" w:hAnsi="Aptos"/>
                <w:b/>
                <w:color w:val="FFFFFF"/>
                <w:sz w:val="16"/>
              </w:rPr>
              <w:t>Panel</w:t>
            </w:r>
          </w:p>
        </w:tc>
        <w:tc>
          <w:tcPr>
            <w:tcW w:type="dxa" w:w="3240"/>
            <w:vAlign w:val="center"/>
            <w:shd w:fill="3733A5"/>
          </w:tcPr>
          <w:p>
            <w:pPr>
              <w:spacing w:after="20"/>
            </w:pPr>
            <w:r/>
            <w:r>
              <w:rPr>
                <w:rFonts w:ascii="Aptos" w:hAnsi="Aptos"/>
                <w:b/>
                <w:color w:val="FFFFFF"/>
                <w:sz w:val="16"/>
              </w:rPr>
              <w:t>Visible indicators</w:t>
            </w:r>
          </w:p>
        </w:tc>
        <w:tc>
          <w:tcPr>
            <w:tcW w:type="dxa" w:w="2880"/>
            <w:vAlign w:val="center"/>
            <w:shd w:fill="3733A5"/>
          </w:tcPr>
          <w:p>
            <w:pPr>
              <w:spacing w:after="20"/>
            </w:pPr>
            <w:r/>
            <w:r>
              <w:rPr>
                <w:rFonts w:ascii="Aptos" w:hAnsi="Aptos"/>
                <w:b/>
                <w:color w:val="FFFFFF"/>
                <w:sz w:val="16"/>
              </w:rPr>
              <w:t>How to explain it</w:t>
            </w:r>
          </w:p>
        </w:tc>
        <w:tc>
          <w:tcPr>
            <w:tcW w:type="dxa" w:w="3024"/>
            <w:vAlign w:val="center"/>
            <w:shd w:fill="3733A5"/>
          </w:tcPr>
          <w:p>
            <w:pPr>
              <w:spacing w:after="20"/>
            </w:pPr>
            <w:r/>
            <w:r>
              <w:rPr>
                <w:rFonts w:ascii="Aptos" w:hAnsi="Aptos"/>
                <w:b/>
                <w:color w:val="FFFFFF"/>
                <w:sz w:val="16"/>
              </w:rPr>
              <w:t>Checks before presenting</w:t>
            </w:r>
          </w:p>
        </w:tc>
      </w:tr>
      <w:tr>
        <w:tc>
          <w:tcPr>
            <w:tcW w:type="dxa" w:w="1944"/>
            <w:vAlign w:val="center"/>
          </w:tcPr>
          <w:p>
            <w:pPr>
              <w:spacing w:after="20"/>
            </w:pPr>
            <w:r/>
            <w:r>
              <w:rPr>
                <w:rFonts w:ascii="Aptos" w:hAnsi="Aptos"/>
                <w:b w:val="0"/>
                <w:sz w:val="16"/>
              </w:rPr>
              <w:t>Enable Services</w:t>
            </w:r>
          </w:p>
        </w:tc>
        <w:tc>
          <w:tcPr>
            <w:tcW w:type="dxa" w:w="3240"/>
            <w:vAlign w:val="center"/>
          </w:tcPr>
          <w:p>
            <w:pPr>
              <w:spacing w:after="20"/>
            </w:pPr>
            <w:r/>
            <w:r>
              <w:rPr>
                <w:rFonts w:ascii="Aptos" w:hAnsi="Aptos"/>
                <w:b w:val="0"/>
                <w:sz w:val="16"/>
              </w:rPr>
              <w:t>Service score 93/100, Coverage 84, Health 82</w:t>
            </w:r>
          </w:p>
        </w:tc>
        <w:tc>
          <w:tcPr>
            <w:tcW w:type="dxa" w:w="2880"/>
            <w:vAlign w:val="center"/>
          </w:tcPr>
          <w:p>
            <w:pPr>
              <w:spacing w:after="20"/>
            </w:pPr>
            <w:r/>
            <w:r>
              <w:rPr>
                <w:rFonts w:ascii="Aptos" w:hAnsi="Aptos"/>
                <w:b w:val="0"/>
                <w:sz w:val="16"/>
              </w:rPr>
              <w:t>Summarizes service performance/utilization and coverage.</w:t>
            </w:r>
          </w:p>
        </w:tc>
        <w:tc>
          <w:tcPr>
            <w:tcW w:type="dxa" w:w="3024"/>
            <w:vAlign w:val="center"/>
          </w:tcPr>
          <w:p>
            <w:pPr>
              <w:spacing w:after="20"/>
            </w:pPr>
            <w:r/>
            <w:r>
              <w:rPr>
                <w:rFonts w:ascii="Aptos" w:hAnsi="Aptos"/>
                <w:b w:val="0"/>
                <w:sz w:val="16"/>
              </w:rPr>
              <w:t>Confirm whether scores are averages, weighted values or latest account values.</w:t>
            </w:r>
          </w:p>
        </w:tc>
      </w:tr>
      <w:tr>
        <w:tc>
          <w:tcPr>
            <w:tcW w:type="dxa" w:w="1944"/>
            <w:vAlign w:val="center"/>
            <w:shd w:fill="F1F4FC"/>
          </w:tcPr>
          <w:p>
            <w:pPr>
              <w:spacing w:after="20"/>
            </w:pPr>
            <w:r/>
            <w:r>
              <w:rPr>
                <w:rFonts w:ascii="Aptos" w:hAnsi="Aptos"/>
                <w:b w:val="0"/>
                <w:sz w:val="16"/>
              </w:rPr>
              <w:t>Performance Details</w:t>
            </w:r>
          </w:p>
        </w:tc>
        <w:tc>
          <w:tcPr>
            <w:tcW w:type="dxa" w:w="3240"/>
            <w:vAlign w:val="center"/>
            <w:shd w:fill="F1F4FC"/>
          </w:tcPr>
          <w:p>
            <w:pPr>
              <w:spacing w:after="20"/>
            </w:pPr>
            <w:r/>
            <w:r>
              <w:rPr>
                <w:rFonts w:ascii="Aptos" w:hAnsi="Aptos"/>
                <w:b w:val="0"/>
                <w:sz w:val="16"/>
              </w:rPr>
              <w:t>Average KPI YTD 89%, KPI Missing 28, Open Proposals 1, Days Overdue 8, CSAT 70/100, NPS 13</w:t>
            </w:r>
          </w:p>
        </w:tc>
        <w:tc>
          <w:tcPr>
            <w:tcW w:type="dxa" w:w="2880"/>
            <w:vAlign w:val="center"/>
            <w:shd w:fill="F1F4FC"/>
          </w:tcPr>
          <w:p>
            <w:pPr>
              <w:spacing w:after="20"/>
            </w:pPr>
            <w:r/>
            <w:r>
              <w:rPr>
                <w:rFonts w:ascii="Aptos" w:hAnsi="Aptos"/>
                <w:b w:val="0"/>
                <w:sz w:val="16"/>
              </w:rPr>
              <w:t>Shows performance execution, missing data, proposals, overdue status and customer experience indicators.</w:t>
            </w:r>
          </w:p>
        </w:tc>
        <w:tc>
          <w:tcPr>
            <w:tcW w:type="dxa" w:w="3024"/>
            <w:vAlign w:val="center"/>
            <w:shd w:fill="F1F4FC"/>
          </w:tcPr>
          <w:p>
            <w:pPr>
              <w:spacing w:after="20"/>
            </w:pPr>
            <w:r/>
            <w:r>
              <w:rPr>
                <w:rFonts w:ascii="Aptos" w:hAnsi="Aptos"/>
                <w:b w:val="0"/>
                <w:sz w:val="16"/>
              </w:rPr>
              <w:t>Confirm date scope (YTD/month), missing KPI definition, overdue aggregation and CSAT/NPS scales.</w:t>
            </w:r>
          </w:p>
        </w:tc>
      </w:tr>
      <w:tr>
        <w:tc>
          <w:tcPr>
            <w:tcW w:type="dxa" w:w="1944"/>
            <w:vAlign w:val="center"/>
          </w:tcPr>
          <w:p>
            <w:pPr>
              <w:spacing w:after="20"/>
            </w:pPr>
            <w:r/>
            <w:r>
              <w:rPr>
                <w:rFonts w:ascii="Aptos" w:hAnsi="Aptos"/>
                <w:b w:val="0"/>
                <w:sz w:val="16"/>
              </w:rPr>
              <w:t>Financial Performance</w:t>
            </w:r>
          </w:p>
        </w:tc>
        <w:tc>
          <w:tcPr>
            <w:tcW w:type="dxa" w:w="3240"/>
            <w:vAlign w:val="center"/>
          </w:tcPr>
          <w:p>
            <w:pPr>
              <w:spacing w:after="20"/>
            </w:pPr>
            <w:r/>
            <w:r>
              <w:rPr>
                <w:rFonts w:ascii="Aptos" w:hAnsi="Aptos"/>
                <w:b w:val="0"/>
                <w:sz w:val="16"/>
              </w:rPr>
              <w:t>Assurance 0, Requested —, Preventive 100, Cyber -40, Training 12, BGP/Plus 8; Pipeline $1870.1M, Booked 48%, Gross 54%</w:t>
            </w:r>
          </w:p>
        </w:tc>
        <w:tc>
          <w:tcPr>
            <w:tcW w:type="dxa" w:w="2880"/>
            <w:vAlign w:val="center"/>
          </w:tcPr>
          <w:p>
            <w:pPr>
              <w:spacing w:after="20"/>
            </w:pPr>
            <w:r/>
            <w:r>
              <w:rPr>
                <w:rFonts w:ascii="Aptos" w:hAnsi="Aptos"/>
                <w:b w:val="0"/>
                <w:sz w:val="16"/>
              </w:rPr>
              <w:t>Adds service/commercial context at a more detailed level.</w:t>
            </w:r>
          </w:p>
        </w:tc>
        <w:tc>
          <w:tcPr>
            <w:tcW w:type="dxa" w:w="3024"/>
            <w:vAlign w:val="center"/>
          </w:tcPr>
          <w:p>
            <w:pPr>
              <w:spacing w:after="20"/>
            </w:pPr>
            <w:r/>
            <w:r>
              <w:rPr>
                <w:rFonts w:ascii="Aptos" w:hAnsi="Aptos"/>
                <w:b w:val="0"/>
                <w:sz w:val="16"/>
              </w:rPr>
              <w:t>Confirm each metric's units, whether negative values are valid, and whether blank is different from zero.</w:t>
            </w:r>
          </w:p>
        </w:tc>
      </w:tr>
    </w:tbl>
    <w:p>
      <w:pPr>
        <w:spacing w:after="20"/>
      </w:pPr>
    </w:p>
    <w:p>
      <w:r>
        <w:t>The HTML function renderHomePerformanceAnalytics aggregates fields from each contract's performance object. For example, several displayed values are averages, KPI missing is a count of records with a missing-month marker, and overdue is the maximum overdue-days value across the selected records. That makes the metric definition important: not every tile is a simple sum or average.</w:t>
      </w:r>
    </w:p>
    <w:p>
      <w:pPr>
        <w:pStyle w:val="Heading2"/>
      </w:pPr>
      <w:r>
        <w:t>2.10 A360 Contract Health dimension strip</w:t>
      </w:r>
    </w:p>
    <w:p>
      <w:r>
        <w:t>The lower dashboard strip summarizes Overall Health and dimensions such as Customer, Outcomes, Delivery, Financial, Risk and Trend. The screenshot shows overall 89/100 Healthy; Customer Attention 64/100; Outcomes Good 89/100; Delivery Good 89/100; Financial Good 87/100; Risk Good 87/100; and Trend Stable.</w:t>
      </w:r>
    </w:p>
    <w:p>
      <w:pPr>
        <w:pStyle w:val="ListBullet"/>
        <w:spacing w:after="40"/>
      </w:pPr>
      <w:r>
        <w:t>Use the strip to explain that the overall score is a roll-up while each dimension can reveal a different issue.</w:t>
      </w:r>
    </w:p>
    <w:p>
      <w:pPr>
        <w:pStyle w:val="ListBullet"/>
        <w:spacing w:after="40"/>
      </w:pPr>
      <w:r>
        <w:t>Customer is shown as Attention even while overall health is Healthy, demonstrating why a single overall number should not replace dimension-level review.</w:t>
      </w:r>
    </w:p>
    <w:p>
      <w:pPr>
        <w:pStyle w:val="ListBullet"/>
        <w:spacing w:after="40"/>
      </w:pPr>
      <w:r>
        <w:t>The trend graphic is qualitative in the screenshot. Confirm whether it is based on historical snapshots, current ratings, or a visual indicator before describing it as a true time series.</w:t>
      </w:r>
    </w:p>
    <w:p>
      <w:pPr>
        <w:pStyle w:val="Heading1"/>
      </w:pPr>
      <w:r>
        <w:t>3. Meetings page and monthly review workflow</w:t>
      </w:r>
    </w:p>
    <w:p>
      <w:r>
        <w:t>The Meetings screenshot is a historical register with columns Date, Customer, PM, Sentiment, Action, Status and Updated. It shows 78 records and 10 rows per page. Example rows include Southern Gas 127 (Positive, Completed), Western Dynamics 11 (Neutral, Address billing issue, Open), Eastern Chemicals 196 (Negative, Schedule maintenance, Open) and Advanced Solutions 192 (Negative, Conduct safety audit, InProgress).</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3733A5"/>
          </w:tcPr>
          <w:p>
            <w:pPr>
              <w:spacing w:after="20"/>
            </w:pPr>
            <w:r/>
            <w:r>
              <w:rPr>
                <w:rFonts w:ascii="Aptos" w:hAnsi="Aptos"/>
                <w:b/>
                <w:color w:val="FFFFFF"/>
                <w:sz w:val="16"/>
              </w:rPr>
              <w:t>Field</w:t>
            </w:r>
          </w:p>
        </w:tc>
        <w:tc>
          <w:tcPr>
            <w:tcW w:type="dxa" w:w="3744"/>
            <w:vAlign w:val="center"/>
            <w:shd w:fill="3733A5"/>
          </w:tcPr>
          <w:p>
            <w:pPr>
              <w:spacing w:after="20"/>
            </w:pPr>
            <w:r/>
            <w:r>
              <w:rPr>
                <w:rFonts w:ascii="Aptos" w:hAnsi="Aptos"/>
                <w:b/>
                <w:color w:val="FFFFFF"/>
                <w:sz w:val="16"/>
              </w:rPr>
              <w:t>Meaning</w:t>
            </w:r>
          </w:p>
        </w:tc>
        <w:tc>
          <w:tcPr>
            <w:tcW w:type="dxa" w:w="5472"/>
            <w:vAlign w:val="center"/>
            <w:shd w:fill="3733A5"/>
          </w:tcPr>
          <w:p>
            <w:pPr>
              <w:spacing w:after="20"/>
            </w:pPr>
            <w:r/>
            <w:r>
              <w:rPr>
                <w:rFonts w:ascii="Aptos" w:hAnsi="Aptos"/>
                <w:b/>
                <w:color w:val="FFFFFF"/>
                <w:sz w:val="16"/>
              </w:rPr>
              <w:t>Manager / QA check</w:t>
            </w:r>
          </w:p>
        </w:tc>
      </w:tr>
      <w:tr>
        <w:tc>
          <w:tcPr>
            <w:tcW w:type="dxa" w:w="1584"/>
            <w:vAlign w:val="center"/>
          </w:tcPr>
          <w:p>
            <w:pPr>
              <w:spacing w:after="20"/>
            </w:pPr>
            <w:r/>
            <w:r>
              <w:rPr>
                <w:rFonts w:ascii="Aptos" w:hAnsi="Aptos"/>
                <w:b w:val="0"/>
                <w:sz w:val="16"/>
              </w:rPr>
              <w:t>Date</w:t>
            </w:r>
          </w:p>
        </w:tc>
        <w:tc>
          <w:tcPr>
            <w:tcW w:type="dxa" w:w="3744"/>
            <w:vAlign w:val="center"/>
          </w:tcPr>
          <w:p>
            <w:pPr>
              <w:spacing w:after="20"/>
            </w:pPr>
            <w:r/>
            <w:r>
              <w:rPr>
                <w:rFonts w:ascii="Aptos" w:hAnsi="Aptos"/>
                <w:b w:val="0"/>
                <w:sz w:val="16"/>
              </w:rPr>
              <w:t>Date of the meeting/review.</w:t>
            </w:r>
          </w:p>
        </w:tc>
        <w:tc>
          <w:tcPr>
            <w:tcW w:type="dxa" w:w="5472"/>
            <w:vAlign w:val="center"/>
          </w:tcPr>
          <w:p>
            <w:pPr>
              <w:spacing w:after="20"/>
            </w:pPr>
            <w:r/>
            <w:r>
              <w:rPr>
                <w:rFonts w:ascii="Aptos" w:hAnsi="Aptos"/>
                <w:b w:val="0"/>
                <w:sz w:val="16"/>
              </w:rPr>
              <w:t>Confirm whether it is meeting date or date of record creation.</w:t>
            </w:r>
          </w:p>
        </w:tc>
      </w:tr>
      <w:tr>
        <w:tc>
          <w:tcPr>
            <w:tcW w:type="dxa" w:w="1584"/>
            <w:vAlign w:val="center"/>
            <w:shd w:fill="F1F4FC"/>
          </w:tcPr>
          <w:p>
            <w:pPr>
              <w:spacing w:after="20"/>
            </w:pPr>
            <w:r/>
            <w:r>
              <w:rPr>
                <w:rFonts w:ascii="Aptos" w:hAnsi="Aptos"/>
                <w:b w:val="0"/>
                <w:sz w:val="16"/>
              </w:rPr>
              <w:t>Customer</w:t>
            </w:r>
          </w:p>
        </w:tc>
        <w:tc>
          <w:tcPr>
            <w:tcW w:type="dxa" w:w="3744"/>
            <w:vAlign w:val="center"/>
            <w:shd w:fill="F1F4FC"/>
          </w:tcPr>
          <w:p>
            <w:pPr>
              <w:spacing w:after="20"/>
            </w:pPr>
            <w:r/>
            <w:r>
              <w:rPr>
                <w:rFonts w:ascii="Aptos" w:hAnsi="Aptos"/>
                <w:b w:val="0"/>
                <w:sz w:val="16"/>
              </w:rPr>
              <w:t>Account/contract reviewed.</w:t>
            </w:r>
          </w:p>
        </w:tc>
        <w:tc>
          <w:tcPr>
            <w:tcW w:type="dxa" w:w="5472"/>
            <w:vAlign w:val="center"/>
            <w:shd w:fill="F1F4FC"/>
          </w:tcPr>
          <w:p>
            <w:pPr>
              <w:spacing w:after="20"/>
            </w:pPr>
            <w:r/>
            <w:r>
              <w:rPr>
                <w:rFonts w:ascii="Aptos" w:hAnsi="Aptos"/>
                <w:b w:val="0"/>
                <w:sz w:val="16"/>
              </w:rPr>
              <w:t>Must map to a valid contract/customer key.</w:t>
            </w:r>
          </w:p>
        </w:tc>
      </w:tr>
      <w:tr>
        <w:tc>
          <w:tcPr>
            <w:tcW w:type="dxa" w:w="1584"/>
            <w:vAlign w:val="center"/>
          </w:tcPr>
          <w:p>
            <w:pPr>
              <w:spacing w:after="20"/>
            </w:pPr>
            <w:r/>
            <w:r>
              <w:rPr>
                <w:rFonts w:ascii="Aptos" w:hAnsi="Aptos"/>
                <w:b w:val="0"/>
                <w:sz w:val="16"/>
              </w:rPr>
              <w:t>PM</w:t>
            </w:r>
          </w:p>
        </w:tc>
        <w:tc>
          <w:tcPr>
            <w:tcW w:type="dxa" w:w="3744"/>
            <w:vAlign w:val="center"/>
          </w:tcPr>
          <w:p>
            <w:pPr>
              <w:spacing w:after="20"/>
            </w:pPr>
            <w:r/>
            <w:r>
              <w:rPr>
                <w:rFonts w:ascii="Aptos" w:hAnsi="Aptos"/>
                <w:b w:val="0"/>
                <w:sz w:val="16"/>
              </w:rPr>
              <w:t>Responsible performance manager.</w:t>
            </w:r>
          </w:p>
        </w:tc>
        <w:tc>
          <w:tcPr>
            <w:tcW w:type="dxa" w:w="5472"/>
            <w:vAlign w:val="center"/>
          </w:tcPr>
          <w:p>
            <w:pPr>
              <w:spacing w:after="20"/>
            </w:pPr>
            <w:r/>
            <w:r>
              <w:rPr>
                <w:rFonts w:ascii="Aptos" w:hAnsi="Aptos"/>
                <w:b w:val="0"/>
                <w:sz w:val="16"/>
              </w:rPr>
              <w:t>Should align with the selected account and current ownership rules.</w:t>
            </w:r>
          </w:p>
        </w:tc>
      </w:tr>
      <w:tr>
        <w:tc>
          <w:tcPr>
            <w:tcW w:type="dxa" w:w="1584"/>
            <w:vAlign w:val="center"/>
            <w:shd w:fill="F1F4FC"/>
          </w:tcPr>
          <w:p>
            <w:pPr>
              <w:spacing w:after="20"/>
            </w:pPr>
            <w:r/>
            <w:r>
              <w:rPr>
                <w:rFonts w:ascii="Aptos" w:hAnsi="Aptos"/>
                <w:b w:val="0"/>
                <w:sz w:val="16"/>
              </w:rPr>
              <w:t>Sentiment</w:t>
            </w:r>
          </w:p>
        </w:tc>
        <w:tc>
          <w:tcPr>
            <w:tcW w:type="dxa" w:w="3744"/>
            <w:vAlign w:val="center"/>
            <w:shd w:fill="F1F4FC"/>
          </w:tcPr>
          <w:p>
            <w:pPr>
              <w:spacing w:after="20"/>
            </w:pPr>
            <w:r/>
            <w:r>
              <w:rPr>
                <w:rFonts w:ascii="Aptos" w:hAnsi="Aptos"/>
                <w:b w:val="0"/>
                <w:sz w:val="16"/>
              </w:rPr>
              <w:t>Positive, Neutral or Negative customer sentiment.</w:t>
            </w:r>
          </w:p>
        </w:tc>
        <w:tc>
          <w:tcPr>
            <w:tcW w:type="dxa" w:w="5472"/>
            <w:vAlign w:val="center"/>
            <w:shd w:fill="F1F4FC"/>
          </w:tcPr>
          <w:p>
            <w:pPr>
              <w:spacing w:after="20"/>
            </w:pPr>
            <w:r/>
            <w:r>
              <w:rPr>
                <w:rFonts w:ascii="Aptos" w:hAnsi="Aptos"/>
                <w:b w:val="0"/>
                <w:sz w:val="16"/>
              </w:rPr>
              <w:t>Define whether it is the meeting's sentiment or the latest account sentiment.</w:t>
            </w:r>
          </w:p>
        </w:tc>
      </w:tr>
      <w:tr>
        <w:tc>
          <w:tcPr>
            <w:tcW w:type="dxa" w:w="1584"/>
            <w:vAlign w:val="center"/>
          </w:tcPr>
          <w:p>
            <w:pPr>
              <w:spacing w:after="20"/>
            </w:pPr>
            <w:r/>
            <w:r>
              <w:rPr>
                <w:rFonts w:ascii="Aptos" w:hAnsi="Aptos"/>
                <w:b w:val="0"/>
                <w:sz w:val="16"/>
              </w:rPr>
              <w:t>Action</w:t>
            </w:r>
          </w:p>
        </w:tc>
        <w:tc>
          <w:tcPr>
            <w:tcW w:type="dxa" w:w="3744"/>
            <w:vAlign w:val="center"/>
          </w:tcPr>
          <w:p>
            <w:pPr>
              <w:spacing w:after="20"/>
            </w:pPr>
            <w:r/>
            <w:r>
              <w:rPr>
                <w:rFonts w:ascii="Aptos" w:hAnsi="Aptos"/>
                <w:b w:val="0"/>
                <w:sz w:val="16"/>
              </w:rPr>
              <w:t>Follow-up task recorded from the review; blank/dash if none.</w:t>
            </w:r>
          </w:p>
        </w:tc>
        <w:tc>
          <w:tcPr>
            <w:tcW w:type="dxa" w:w="5472"/>
            <w:vAlign w:val="center"/>
          </w:tcPr>
          <w:p>
            <w:pPr>
              <w:spacing w:after="20"/>
            </w:pPr>
            <w:r/>
            <w:r>
              <w:rPr>
                <w:rFonts w:ascii="Aptos" w:hAnsi="Aptos"/>
                <w:b w:val="0"/>
                <w:sz w:val="16"/>
              </w:rPr>
              <w:t>Action text should link to the action tracker where applicable.</w:t>
            </w:r>
          </w:p>
        </w:tc>
      </w:tr>
      <w:tr>
        <w:tc>
          <w:tcPr>
            <w:tcW w:type="dxa" w:w="1584"/>
            <w:vAlign w:val="center"/>
            <w:shd w:fill="F1F4FC"/>
          </w:tcPr>
          <w:p>
            <w:pPr>
              <w:spacing w:after="20"/>
            </w:pPr>
            <w:r/>
            <w:r>
              <w:rPr>
                <w:rFonts w:ascii="Aptos" w:hAnsi="Aptos"/>
                <w:b w:val="0"/>
                <w:sz w:val="16"/>
              </w:rPr>
              <w:t>Status</w:t>
            </w:r>
          </w:p>
        </w:tc>
        <w:tc>
          <w:tcPr>
            <w:tcW w:type="dxa" w:w="3744"/>
            <w:vAlign w:val="center"/>
            <w:shd w:fill="F1F4FC"/>
          </w:tcPr>
          <w:p>
            <w:pPr>
              <w:spacing w:after="20"/>
            </w:pPr>
            <w:r/>
            <w:r>
              <w:rPr>
                <w:rFonts w:ascii="Aptos" w:hAnsi="Aptos"/>
                <w:b w:val="0"/>
                <w:sz w:val="16"/>
              </w:rPr>
              <w:t>Workflow status such as Open, InProgress or Completed.</w:t>
            </w:r>
          </w:p>
        </w:tc>
        <w:tc>
          <w:tcPr>
            <w:tcW w:type="dxa" w:w="5472"/>
            <w:vAlign w:val="center"/>
            <w:shd w:fill="F1F4FC"/>
          </w:tcPr>
          <w:p>
            <w:pPr>
              <w:spacing w:after="20"/>
            </w:pPr>
            <w:r/>
            <w:r>
              <w:rPr>
                <w:rFonts w:ascii="Aptos" w:hAnsi="Aptos"/>
                <w:b w:val="0"/>
                <w:sz w:val="16"/>
              </w:rPr>
              <w:t>Use consistent enum values and transitions across pages.</w:t>
            </w:r>
          </w:p>
        </w:tc>
      </w:tr>
      <w:tr>
        <w:tc>
          <w:tcPr>
            <w:tcW w:type="dxa" w:w="1584"/>
            <w:vAlign w:val="center"/>
          </w:tcPr>
          <w:p>
            <w:pPr>
              <w:spacing w:after="20"/>
            </w:pPr>
            <w:r/>
            <w:r>
              <w:rPr>
                <w:rFonts w:ascii="Aptos" w:hAnsi="Aptos"/>
                <w:b w:val="0"/>
                <w:sz w:val="16"/>
              </w:rPr>
              <w:t>Updated</w:t>
            </w:r>
          </w:p>
        </w:tc>
        <w:tc>
          <w:tcPr>
            <w:tcW w:type="dxa" w:w="3744"/>
            <w:vAlign w:val="center"/>
          </w:tcPr>
          <w:p>
            <w:pPr>
              <w:spacing w:after="20"/>
            </w:pPr>
            <w:r/>
            <w:r>
              <w:rPr>
                <w:rFonts w:ascii="Aptos" w:hAnsi="Aptos"/>
                <w:b w:val="0"/>
                <w:sz w:val="16"/>
              </w:rPr>
              <w:t>Last update date shown in the register.</w:t>
            </w:r>
          </w:p>
        </w:tc>
        <w:tc>
          <w:tcPr>
            <w:tcW w:type="dxa" w:w="5472"/>
            <w:vAlign w:val="center"/>
          </w:tcPr>
          <w:p>
            <w:pPr>
              <w:spacing w:after="20"/>
            </w:pPr>
            <w:r/>
            <w:r>
              <w:rPr>
                <w:rFonts w:ascii="Aptos" w:hAnsi="Aptos"/>
                <w:b w:val="0"/>
                <w:sz w:val="16"/>
              </w:rPr>
              <w:t>Confirm timezone and whether updates from linked action changes affect this field.</w:t>
            </w:r>
          </w:p>
        </w:tc>
      </w:tr>
    </w:tbl>
    <w:p>
      <w:pPr>
        <w:spacing w:after="20"/>
      </w:pPr>
    </w:p>
    <w:p>
      <w:pPr>
        <w:pStyle w:val="Heading2"/>
      </w:pPr>
      <w:r>
        <w:t>3.1 Meeting wizard — purpose and data captured</w:t>
      </w:r>
    </w:p>
    <w:p>
      <w:r>
        <w:t>The HTML contains a multi-step meeting modal and a ‘Start / Update Meeting’ entry point. Its save logic updates the selected contract's PM, sentiment, last meeting date, delivered value, concerns, customer action, performance-manager action, management support, KPI statuses, 90-day risk and grouped comments. It also creates a meeting record containing a snapshot of health, meeting type/date, owner, due date, action description and action status.</w:t>
      </w:r>
    </w:p>
    <w:p>
      <w:pPr>
        <w:pStyle w:val="ListBullet"/>
        <w:spacing w:after="40"/>
      </w:pPr>
      <w:r>
        <w:t>Step 1 — select the correct customer/contract and confirm the PM/date/type.</w:t>
      </w:r>
    </w:p>
    <w:p>
      <w:pPr>
        <w:pStyle w:val="ListBullet"/>
        <w:spacing w:after="40"/>
      </w:pPr>
      <w:r>
        <w:t>Step 2 — capture customer sentiment and business outcomes, including value delivered and concerns.</w:t>
      </w:r>
    </w:p>
    <w:p>
      <w:pPr>
        <w:pStyle w:val="ListBullet"/>
        <w:spacing w:after="40"/>
      </w:pPr>
      <w:r>
        <w:t>Step 3 — assess the applicable KPI/health dimensions and add comments or risk notes.</w:t>
      </w:r>
    </w:p>
    <w:p>
      <w:pPr>
        <w:pStyle w:val="ListBullet"/>
        <w:spacing w:after="40"/>
      </w:pPr>
      <w:r>
        <w:t>Step 4 — record follow-up action, owner and due date, then save/update.</w:t>
      </w:r>
    </w:p>
    <w:p>
      <w:r>
        <w:t>The four-step labels and order should be confirmed against the actual deployed Angular wizard. The data fields above are confirmed from the supplied HTML's saveMeeting() logic.</w:t>
      </w:r>
    </w:p>
    <w:p>
      <w:pPr>
        <w:pStyle w:val="Heading2"/>
      </w:pPr>
      <w:r>
        <w:t>3.2 What should happen after Save</w:t>
      </w:r>
    </w:p>
    <w:p>
      <w:pPr>
        <w:pStyle w:val="ListNumber"/>
        <w:spacing w:after="40"/>
      </w:pPr>
      <w:r>
        <w:t>Client-side validation should catch missing selections and malformed required fields.</w:t>
      </w:r>
    </w:p>
    <w:p>
      <w:pPr>
        <w:pStyle w:val="ListNumber"/>
        <w:spacing w:after="40"/>
      </w:pPr>
      <w:r>
        <w:t>The application should submit a typed request to the ASP.NET Core API.</w:t>
      </w:r>
    </w:p>
    <w:p>
      <w:pPr>
        <w:pStyle w:val="ListNumber"/>
        <w:spacing w:after="40"/>
      </w:pPr>
      <w:r>
        <w:t>The API should validate contract identifiers, enum values, dates, permissions and business rules.</w:t>
      </w:r>
    </w:p>
    <w:p>
      <w:pPr>
        <w:pStyle w:val="ListNumber"/>
        <w:spacing w:after="40"/>
      </w:pPr>
      <w:r>
        <w:t>The database should persist the meeting and any related action/health update consistently.</w:t>
      </w:r>
    </w:p>
    <w:p>
      <w:pPr>
        <w:pStyle w:val="ListNumber"/>
        <w:spacing w:after="40"/>
      </w:pPr>
      <w:r>
        <w:t>The API should return a clear success/error response.</w:t>
      </w:r>
    </w:p>
    <w:p>
      <w:pPr>
        <w:pStyle w:val="ListNumber"/>
        <w:spacing w:after="40"/>
      </w:pPr>
      <w:r>
        <w:t>The UI should refresh the portfolio, meeting history, actions and dependent KPIs.</w:t>
      </w:r>
    </w:p>
    <w:p>
      <w:pPr>
        <w:pStyle w:val="ListNumber"/>
        <w:spacing w:after="40"/>
      </w:pPr>
      <w:r>
        <w:t>Reload the page and confirm the saved values are retrieved from the backend rather than existing only in browser memory.</w:t>
      </w:r>
    </w:p>
    <w:p>
      <w:r>
        <w:t>Important: the supplied HTML stores meetings and contract state locally by default. Its optional API helper sends configured POST-style requests to selected routes, but this file alone does not prove that the production Angular app uses those same routes or that the server persists all fields.</w:t>
      </w:r>
    </w:p>
    <w:p>
      <w:pPr>
        <w:pStyle w:val="Heading1"/>
      </w:pPr>
      <w:r>
        <w:t>4. Actions page — follow-up ownership</w:t>
      </w:r>
    </w:p>
    <w:p>
      <w:r>
        <w:t>The Actions screenshot shows a register with Action, Customer, Owner, Due, Status, Updated and Remove. Example actions include Address billing issue, Schedule maintenance, Conduct safety audit and Review quarterly report. Status controls show Open, InProgress and Completed. Due dates shown include dates in October and November 2026.</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3733A5"/>
          </w:tcPr>
          <w:p>
            <w:pPr>
              <w:spacing w:after="20"/>
            </w:pPr>
            <w:r/>
            <w:r>
              <w:rPr>
                <w:rFonts w:ascii="Aptos" w:hAnsi="Aptos"/>
                <w:b/>
                <w:color w:val="FFFFFF"/>
                <w:sz w:val="16"/>
              </w:rPr>
              <w:t>Column/control</w:t>
            </w:r>
          </w:p>
        </w:tc>
        <w:tc>
          <w:tcPr>
            <w:tcW w:type="dxa" w:w="3744"/>
            <w:vAlign w:val="center"/>
            <w:shd w:fill="3733A5"/>
          </w:tcPr>
          <w:p>
            <w:pPr>
              <w:spacing w:after="20"/>
            </w:pPr>
            <w:r/>
            <w:r>
              <w:rPr>
                <w:rFonts w:ascii="Aptos" w:hAnsi="Aptos"/>
                <w:b/>
                <w:color w:val="FFFFFF"/>
                <w:sz w:val="16"/>
              </w:rPr>
              <w:t>Meaning</w:t>
            </w:r>
          </w:p>
        </w:tc>
        <w:tc>
          <w:tcPr>
            <w:tcW w:type="dxa" w:w="5184"/>
            <w:vAlign w:val="center"/>
            <w:shd w:fill="3733A5"/>
          </w:tcPr>
          <w:p>
            <w:pPr>
              <w:spacing w:after="20"/>
            </w:pPr>
            <w:r/>
            <w:r>
              <w:rPr>
                <w:rFonts w:ascii="Aptos" w:hAnsi="Aptos"/>
                <w:b/>
                <w:color w:val="FFFFFF"/>
                <w:sz w:val="16"/>
              </w:rPr>
              <w:t>Recommended behavior</w:t>
            </w:r>
          </w:p>
        </w:tc>
      </w:tr>
      <w:tr>
        <w:tc>
          <w:tcPr>
            <w:tcW w:type="dxa" w:w="1872"/>
            <w:vAlign w:val="center"/>
          </w:tcPr>
          <w:p>
            <w:pPr>
              <w:spacing w:after="20"/>
            </w:pPr>
            <w:r/>
            <w:r>
              <w:rPr>
                <w:rFonts w:ascii="Aptos" w:hAnsi="Aptos"/>
                <w:b w:val="0"/>
                <w:sz w:val="16"/>
              </w:rPr>
              <w:t>Action</w:t>
            </w:r>
          </w:p>
        </w:tc>
        <w:tc>
          <w:tcPr>
            <w:tcW w:type="dxa" w:w="3744"/>
            <w:vAlign w:val="center"/>
          </w:tcPr>
          <w:p>
            <w:pPr>
              <w:spacing w:after="20"/>
            </w:pPr>
            <w:r/>
            <w:r>
              <w:rPr>
                <w:rFonts w:ascii="Aptos" w:hAnsi="Aptos"/>
                <w:b w:val="0"/>
                <w:sz w:val="16"/>
              </w:rPr>
              <w:t>Concise follow-up task originating from a meeting or another workflow.</w:t>
            </w:r>
          </w:p>
        </w:tc>
        <w:tc>
          <w:tcPr>
            <w:tcW w:type="dxa" w:w="5184"/>
            <w:vAlign w:val="center"/>
          </w:tcPr>
          <w:p>
            <w:pPr>
              <w:spacing w:after="20"/>
            </w:pPr>
            <w:r/>
            <w:r>
              <w:rPr>
                <w:rFonts w:ascii="Aptos" w:hAnsi="Aptos"/>
                <w:b w:val="0"/>
                <w:sz w:val="16"/>
              </w:rPr>
              <w:t>Use an action statement that can be completed and verified.</w:t>
            </w:r>
          </w:p>
        </w:tc>
      </w:tr>
      <w:tr>
        <w:tc>
          <w:tcPr>
            <w:tcW w:type="dxa" w:w="1872"/>
            <w:vAlign w:val="center"/>
            <w:shd w:fill="F1F4FC"/>
          </w:tcPr>
          <w:p>
            <w:pPr>
              <w:spacing w:after="20"/>
            </w:pPr>
            <w:r/>
            <w:r>
              <w:rPr>
                <w:rFonts w:ascii="Aptos" w:hAnsi="Aptos"/>
                <w:b w:val="0"/>
                <w:sz w:val="16"/>
              </w:rPr>
              <w:t>Customer</w:t>
            </w:r>
          </w:p>
        </w:tc>
        <w:tc>
          <w:tcPr>
            <w:tcW w:type="dxa" w:w="3744"/>
            <w:vAlign w:val="center"/>
            <w:shd w:fill="F1F4FC"/>
          </w:tcPr>
          <w:p>
            <w:pPr>
              <w:spacing w:after="20"/>
            </w:pPr>
            <w:r/>
            <w:r>
              <w:rPr>
                <w:rFonts w:ascii="Aptos" w:hAnsi="Aptos"/>
                <w:b w:val="0"/>
                <w:sz w:val="16"/>
              </w:rPr>
              <w:t>Account the action belongs to.</w:t>
            </w:r>
          </w:p>
        </w:tc>
        <w:tc>
          <w:tcPr>
            <w:tcW w:type="dxa" w:w="5184"/>
            <w:vAlign w:val="center"/>
            <w:shd w:fill="F1F4FC"/>
          </w:tcPr>
          <w:p>
            <w:pPr>
              <w:spacing w:after="20"/>
            </w:pPr>
            <w:r/>
            <w:r>
              <w:rPr>
                <w:rFonts w:ascii="Aptos" w:hAnsi="Aptos"/>
                <w:b w:val="0"/>
                <w:sz w:val="16"/>
              </w:rPr>
              <w:t>Preserve a valid relationship to the customer/contract.</w:t>
            </w:r>
          </w:p>
        </w:tc>
      </w:tr>
      <w:tr>
        <w:tc>
          <w:tcPr>
            <w:tcW w:type="dxa" w:w="1872"/>
            <w:vAlign w:val="center"/>
          </w:tcPr>
          <w:p>
            <w:pPr>
              <w:spacing w:after="20"/>
            </w:pPr>
            <w:r/>
            <w:r>
              <w:rPr>
                <w:rFonts w:ascii="Aptos" w:hAnsi="Aptos"/>
                <w:b w:val="0"/>
                <w:sz w:val="16"/>
              </w:rPr>
              <w:t>Owner</w:t>
            </w:r>
          </w:p>
        </w:tc>
        <w:tc>
          <w:tcPr>
            <w:tcW w:type="dxa" w:w="3744"/>
            <w:vAlign w:val="center"/>
          </w:tcPr>
          <w:p>
            <w:pPr>
              <w:spacing w:after="20"/>
            </w:pPr>
            <w:r/>
            <w:r>
              <w:rPr>
                <w:rFonts w:ascii="Aptos" w:hAnsi="Aptos"/>
                <w:b w:val="0"/>
                <w:sz w:val="16"/>
              </w:rPr>
              <w:t>Person accountable for completion.</w:t>
            </w:r>
          </w:p>
        </w:tc>
        <w:tc>
          <w:tcPr>
            <w:tcW w:type="dxa" w:w="5184"/>
            <w:vAlign w:val="center"/>
          </w:tcPr>
          <w:p>
            <w:pPr>
              <w:spacing w:after="20"/>
            </w:pPr>
            <w:r/>
            <w:r>
              <w:rPr>
                <w:rFonts w:ascii="Aptos" w:hAnsi="Aptos"/>
                <w:b w:val="0"/>
                <w:sz w:val="16"/>
              </w:rPr>
              <w:t>Ensure ownership is explicit and valid.</w:t>
            </w:r>
          </w:p>
        </w:tc>
      </w:tr>
      <w:tr>
        <w:tc>
          <w:tcPr>
            <w:tcW w:type="dxa" w:w="1872"/>
            <w:vAlign w:val="center"/>
            <w:shd w:fill="F1F4FC"/>
          </w:tcPr>
          <w:p>
            <w:pPr>
              <w:spacing w:after="20"/>
            </w:pPr>
            <w:r/>
            <w:r>
              <w:rPr>
                <w:rFonts w:ascii="Aptos" w:hAnsi="Aptos"/>
                <w:b w:val="0"/>
                <w:sz w:val="16"/>
              </w:rPr>
              <w:t>Due</w:t>
            </w:r>
          </w:p>
        </w:tc>
        <w:tc>
          <w:tcPr>
            <w:tcW w:type="dxa" w:w="3744"/>
            <w:vAlign w:val="center"/>
            <w:shd w:fill="F1F4FC"/>
          </w:tcPr>
          <w:p>
            <w:pPr>
              <w:spacing w:after="20"/>
            </w:pPr>
            <w:r/>
            <w:r>
              <w:rPr>
                <w:rFonts w:ascii="Aptos" w:hAnsi="Aptos"/>
                <w:b w:val="0"/>
                <w:sz w:val="16"/>
              </w:rPr>
              <w:t>Target completion date.</w:t>
            </w:r>
          </w:p>
        </w:tc>
        <w:tc>
          <w:tcPr>
            <w:tcW w:type="dxa" w:w="5184"/>
            <w:vAlign w:val="center"/>
            <w:shd w:fill="F1F4FC"/>
          </w:tcPr>
          <w:p>
            <w:pPr>
              <w:spacing w:after="20"/>
            </w:pPr>
            <w:r/>
            <w:r>
              <w:rPr>
                <w:rFonts w:ascii="Aptos" w:hAnsi="Aptos"/>
                <w:b w:val="0"/>
                <w:sz w:val="16"/>
              </w:rPr>
              <w:t>Define overdue behavior and date/time-zone rules.</w:t>
            </w:r>
          </w:p>
        </w:tc>
      </w:tr>
      <w:tr>
        <w:tc>
          <w:tcPr>
            <w:tcW w:type="dxa" w:w="1872"/>
            <w:vAlign w:val="center"/>
          </w:tcPr>
          <w:p>
            <w:pPr>
              <w:spacing w:after="20"/>
            </w:pPr>
            <w:r/>
            <w:r>
              <w:rPr>
                <w:rFonts w:ascii="Aptos" w:hAnsi="Aptos"/>
                <w:b w:val="0"/>
                <w:sz w:val="16"/>
              </w:rPr>
              <w:t>Status</w:t>
            </w:r>
          </w:p>
        </w:tc>
        <w:tc>
          <w:tcPr>
            <w:tcW w:type="dxa" w:w="3744"/>
            <w:vAlign w:val="center"/>
          </w:tcPr>
          <w:p>
            <w:pPr>
              <w:spacing w:after="20"/>
            </w:pPr>
            <w:r/>
            <w:r>
              <w:rPr>
                <w:rFonts w:ascii="Aptos" w:hAnsi="Aptos"/>
                <w:b w:val="0"/>
                <w:sz w:val="16"/>
              </w:rPr>
              <w:t>Open, InProgress or Completed in the screenshot.</w:t>
            </w:r>
          </w:p>
        </w:tc>
        <w:tc>
          <w:tcPr>
            <w:tcW w:type="dxa" w:w="5184"/>
            <w:vAlign w:val="center"/>
          </w:tcPr>
          <w:p>
            <w:pPr>
              <w:spacing w:after="20"/>
            </w:pPr>
            <w:r/>
            <w:r>
              <w:rPr>
                <w:rFonts w:ascii="Aptos" w:hAnsi="Aptos"/>
                <w:b w:val="0"/>
                <w:sz w:val="16"/>
              </w:rPr>
              <w:t>Persist status changes and refresh meeting/dashboard counts.</w:t>
            </w:r>
          </w:p>
        </w:tc>
      </w:tr>
      <w:tr>
        <w:tc>
          <w:tcPr>
            <w:tcW w:type="dxa" w:w="1872"/>
            <w:vAlign w:val="center"/>
            <w:shd w:fill="F1F4FC"/>
          </w:tcPr>
          <w:p>
            <w:pPr>
              <w:spacing w:after="20"/>
            </w:pPr>
            <w:r/>
            <w:r>
              <w:rPr>
                <w:rFonts w:ascii="Aptos" w:hAnsi="Aptos"/>
                <w:b w:val="0"/>
                <w:sz w:val="16"/>
              </w:rPr>
              <w:t>Updated</w:t>
            </w:r>
          </w:p>
        </w:tc>
        <w:tc>
          <w:tcPr>
            <w:tcW w:type="dxa" w:w="3744"/>
            <w:vAlign w:val="center"/>
            <w:shd w:fill="F1F4FC"/>
          </w:tcPr>
          <w:p>
            <w:pPr>
              <w:spacing w:after="20"/>
            </w:pPr>
            <w:r/>
            <w:r>
              <w:rPr>
                <w:rFonts w:ascii="Aptos" w:hAnsi="Aptos"/>
                <w:b w:val="0"/>
                <w:sz w:val="16"/>
              </w:rPr>
              <w:t>Date of last change.</w:t>
            </w:r>
          </w:p>
        </w:tc>
        <w:tc>
          <w:tcPr>
            <w:tcW w:type="dxa" w:w="5184"/>
            <w:vAlign w:val="center"/>
            <w:shd w:fill="F1F4FC"/>
          </w:tcPr>
          <w:p>
            <w:pPr>
              <w:spacing w:after="20"/>
            </w:pPr>
            <w:r/>
            <w:r>
              <w:rPr>
                <w:rFonts w:ascii="Aptos" w:hAnsi="Aptos"/>
                <w:b w:val="0"/>
                <w:sz w:val="16"/>
              </w:rPr>
              <w:t>Update after status/owner/due-date changes.</w:t>
            </w:r>
          </w:p>
        </w:tc>
      </w:tr>
      <w:tr>
        <w:tc>
          <w:tcPr>
            <w:tcW w:type="dxa" w:w="1872"/>
            <w:vAlign w:val="center"/>
          </w:tcPr>
          <w:p>
            <w:pPr>
              <w:spacing w:after="20"/>
            </w:pPr>
            <w:r/>
            <w:r>
              <w:rPr>
                <w:rFonts w:ascii="Aptos" w:hAnsi="Aptos"/>
                <w:b w:val="0"/>
                <w:sz w:val="16"/>
              </w:rPr>
              <w:t>Remove</w:t>
            </w:r>
          </w:p>
        </w:tc>
        <w:tc>
          <w:tcPr>
            <w:tcW w:type="dxa" w:w="3744"/>
            <w:vAlign w:val="center"/>
          </w:tcPr>
          <w:p>
            <w:pPr>
              <w:spacing w:after="20"/>
            </w:pPr>
            <w:r/>
            <w:r>
              <w:rPr>
                <w:rFonts w:ascii="Aptos" w:hAnsi="Aptos"/>
                <w:b w:val="0"/>
                <w:sz w:val="16"/>
              </w:rPr>
              <w:t>Remove action from the visible tracker.</w:t>
            </w:r>
          </w:p>
        </w:tc>
        <w:tc>
          <w:tcPr>
            <w:tcW w:type="dxa" w:w="5184"/>
            <w:vAlign w:val="center"/>
          </w:tcPr>
          <w:p>
            <w:pPr>
              <w:spacing w:after="20"/>
            </w:pPr>
            <w:r/>
            <w:r>
              <w:rPr>
                <w:rFonts w:ascii="Aptos" w:hAnsi="Aptos"/>
                <w:b w:val="0"/>
                <w:sz w:val="16"/>
              </w:rPr>
              <w:t>Confirm whether this is a soft delete, hard delete, or completion/archival operation; protect audit history.</w:t>
            </w:r>
          </w:p>
        </w:tc>
      </w:tr>
    </w:tbl>
    <w:p>
      <w:pPr>
        <w:spacing w:after="20"/>
      </w:pPr>
    </w:p>
    <w:p>
      <w:r>
        <w:t>Manager message: “The meeting creates accountability; the Actions page makes that accountability visible. Every material concern should have a named owner, a due date and a status that is kept current.”</w:t>
      </w:r>
    </w:p>
    <w:p>
      <w:r>
        <w:t>QA checks: changing status should persist after reload; completed actions should not be counted as open; deleting/removing an action should follow the approved audit and retention policy; due-date rules should be consistent across dashboard and tracker.</w:t>
      </w:r>
    </w:p>
    <w:p>
      <w:pPr>
        <w:pStyle w:val="Heading1"/>
      </w:pPr>
      <w:r>
        <w:t>5. Admin — master data</w:t>
      </w:r>
    </w:p>
    <w:p>
      <w:r>
        <w:t>The Admin screenshot is headed “Admin · Master Data” and contains Performance Managers and Customer Accounts panels. The screenshot shows 9 Performance Managers and 198 Customer Accounts. Each panel has an entry form and a list/table.</w:t>
      </w:r>
    </w:p>
    <w:p>
      <w:pPr>
        <w:pStyle w:val="Heading2"/>
      </w:pPr>
      <w:r>
        <w:t>5.1 Performance Managers</w:t>
      </w:r>
    </w:p>
    <w:p>
      <w:pPr>
        <w:pStyle w:val="ListBullet"/>
        <w:spacing w:after="40"/>
      </w:pPr>
      <w:r>
        <w:t>Fields visible: Full Name, Region and optional Email.</w:t>
      </w:r>
    </w:p>
    <w:p>
      <w:pPr>
        <w:pStyle w:val="ListBullet"/>
        <w:spacing w:after="40"/>
      </w:pPr>
      <w:r>
        <w:t>The list shows Performance Manager, Region, Accounts and a remove control.</w:t>
      </w:r>
    </w:p>
    <w:p>
      <w:pPr>
        <w:pStyle w:val="ListBullet"/>
        <w:spacing w:after="40"/>
      </w:pPr>
      <w:r>
        <w:t>The source HTML explains that managers become available in the PM filter and the meeting wizard.</w:t>
      </w:r>
    </w:p>
    <w:p>
      <w:pPr>
        <w:pStyle w:val="ListBullet"/>
        <w:spacing w:after="40"/>
      </w:pPr>
      <w:r>
        <w:t>Account count per manager should be recalculated when customer assignments change.</w:t>
      </w:r>
    </w:p>
    <w:p>
      <w:pPr>
        <w:pStyle w:val="Heading2"/>
      </w:pPr>
      <w:r>
        <w:t>5.2 Customer Accounts</w:t>
      </w:r>
    </w:p>
    <w:p>
      <w:pPr>
        <w:pStyle w:val="ListBullet"/>
        <w:spacing w:after="40"/>
      </w:pPr>
      <w:r>
        <w:t>Fields visible: Account Name, Performance Manager, Region and Value ($M).</w:t>
      </w:r>
    </w:p>
    <w:p>
      <w:pPr>
        <w:pStyle w:val="ListBullet"/>
        <w:spacing w:after="40"/>
      </w:pPr>
      <w:r>
        <w:t>The list shows Account, PM, Value and Health.</w:t>
      </w:r>
    </w:p>
    <w:p>
      <w:pPr>
        <w:pStyle w:val="ListBullet"/>
        <w:spacing w:after="40"/>
      </w:pPr>
      <w:r>
        <w:t>The source HTML explains that accounts appear in filters and the meeting wizard.</w:t>
      </w:r>
    </w:p>
    <w:p>
      <w:pPr>
        <w:pStyle w:val="ListBullet"/>
        <w:spacing w:after="40"/>
      </w:pPr>
      <w:r>
        <w:t>Validation should prevent duplicate account names where the business rule requires uniqueness and should ensure PM references are valid.</w:t>
      </w:r>
    </w:p>
    <w:p>
      <w:pPr>
        <w:pStyle w:val="Heading2"/>
      </w:pPr>
      <w:r>
        <w:t>5.3 Why master data matters</w:t>
      </w:r>
    </w:p>
    <w:p>
      <w:r>
        <w:t>Master data is a dependency for the rest of the experience. If a PM or account is missing or duplicated, filters, portfolio ownership, meeting selection, account counts and analytics can become inconsistent. Add/remove operations should be checked for referential integrity and the intended deletion policy.</w:t>
      </w:r>
    </w:p>
    <w:p>
      <w:pPr>
        <w:pStyle w:val="Heading1"/>
      </w:pPr>
      <w:r>
        <w:t>6. Data sources and end-to-end update paths</w:t>
      </w:r>
    </w:p>
    <w:p>
      <w:pPr>
        <w:pStyle w:val="Heading2"/>
      </w:pPr>
      <w:r>
        <w:t>6.1 Production architecture described by the developer</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3733A5"/>
          </w:tcPr>
          <w:p>
            <w:pPr>
              <w:spacing w:after="20"/>
            </w:pPr>
            <w:r/>
            <w:r>
              <w:rPr>
                <w:rFonts w:ascii="Aptos" w:hAnsi="Aptos"/>
                <w:b/>
                <w:color w:val="FFFFFF"/>
                <w:sz w:val="16"/>
              </w:rPr>
              <w:t>Layer</w:t>
            </w:r>
          </w:p>
        </w:tc>
        <w:tc>
          <w:tcPr>
            <w:tcW w:type="dxa" w:w="3744"/>
            <w:vAlign w:val="center"/>
            <w:shd w:fill="3733A5"/>
          </w:tcPr>
          <w:p>
            <w:pPr>
              <w:spacing w:after="20"/>
            </w:pPr>
            <w:r/>
            <w:r>
              <w:rPr>
                <w:rFonts w:ascii="Aptos" w:hAnsi="Aptos"/>
                <w:b/>
                <w:color w:val="FFFFFF"/>
                <w:sz w:val="16"/>
              </w:rPr>
              <w:t>Responsibility</w:t>
            </w:r>
          </w:p>
        </w:tc>
        <w:tc>
          <w:tcPr>
            <w:tcW w:type="dxa" w:w="5472"/>
            <w:vAlign w:val="center"/>
            <w:shd w:fill="3733A5"/>
          </w:tcPr>
          <w:p>
            <w:pPr>
              <w:spacing w:after="20"/>
            </w:pPr>
            <w:r/>
            <w:r>
              <w:rPr>
                <w:rFonts w:ascii="Aptos" w:hAnsi="Aptos"/>
                <w:b/>
                <w:color w:val="FFFFFF"/>
                <w:sz w:val="16"/>
              </w:rPr>
              <w:t>Evidence / confirmation required</w:t>
            </w:r>
          </w:p>
        </w:tc>
      </w:tr>
      <w:tr>
        <w:tc>
          <w:tcPr>
            <w:tcW w:type="dxa" w:w="2088"/>
            <w:vAlign w:val="center"/>
          </w:tcPr>
          <w:p>
            <w:pPr>
              <w:spacing w:after="20"/>
            </w:pPr>
            <w:r/>
            <w:r>
              <w:rPr>
                <w:rFonts w:ascii="Aptos" w:hAnsi="Aptos"/>
                <w:b w:val="0"/>
                <w:sz w:val="16"/>
              </w:rPr>
              <w:t>Angular 22</w:t>
            </w:r>
          </w:p>
        </w:tc>
        <w:tc>
          <w:tcPr>
            <w:tcW w:type="dxa" w:w="3744"/>
            <w:vAlign w:val="center"/>
          </w:tcPr>
          <w:p>
            <w:pPr>
              <w:spacing w:after="20"/>
            </w:pPr>
            <w:r/>
            <w:r>
              <w:rPr>
                <w:rFonts w:ascii="Aptos" w:hAnsi="Aptos"/>
                <w:b w:val="0"/>
                <w:sz w:val="16"/>
              </w:rPr>
              <w:t>Pages, forms, filters, components, navigation, client-side state and calls to backend services.</w:t>
            </w:r>
          </w:p>
        </w:tc>
        <w:tc>
          <w:tcPr>
            <w:tcW w:type="dxa" w:w="5472"/>
            <w:vAlign w:val="center"/>
          </w:tcPr>
          <w:p>
            <w:pPr>
              <w:spacing w:after="20"/>
            </w:pPr>
            <w:r/>
            <w:r>
              <w:rPr>
                <w:rFonts w:ascii="Aptos" w:hAnsi="Aptos"/>
                <w:b w:val="0"/>
                <w:sz w:val="16"/>
              </w:rPr>
              <w:t>Inspect actual Angular source, routes, services, interceptors and environment files.</w:t>
            </w:r>
          </w:p>
        </w:tc>
      </w:tr>
      <w:tr>
        <w:tc>
          <w:tcPr>
            <w:tcW w:type="dxa" w:w="2088"/>
            <w:vAlign w:val="center"/>
            <w:shd w:fill="F1F4FC"/>
          </w:tcPr>
          <w:p>
            <w:pPr>
              <w:spacing w:after="20"/>
            </w:pPr>
            <w:r/>
            <w:r>
              <w:rPr>
                <w:rFonts w:ascii="Aptos" w:hAnsi="Aptos"/>
                <w:b w:val="0"/>
                <w:sz w:val="16"/>
              </w:rPr>
              <w:t>Tailwind CSS 4.3</w:t>
            </w:r>
          </w:p>
        </w:tc>
        <w:tc>
          <w:tcPr>
            <w:tcW w:type="dxa" w:w="3744"/>
            <w:vAlign w:val="center"/>
            <w:shd w:fill="F1F4FC"/>
          </w:tcPr>
          <w:p>
            <w:pPr>
              <w:spacing w:after="20"/>
            </w:pPr>
            <w:r/>
            <w:r>
              <w:rPr>
                <w:rFonts w:ascii="Aptos" w:hAnsi="Aptos"/>
                <w:b w:val="0"/>
                <w:sz w:val="16"/>
              </w:rPr>
              <w:t>Utility styling, responsive layout and consistent spacing/visual system.</w:t>
            </w:r>
          </w:p>
        </w:tc>
        <w:tc>
          <w:tcPr>
            <w:tcW w:type="dxa" w:w="5472"/>
            <w:vAlign w:val="center"/>
            <w:shd w:fill="F1F4FC"/>
          </w:tcPr>
          <w:p>
            <w:pPr>
              <w:spacing w:after="20"/>
            </w:pPr>
            <w:r/>
            <w:r>
              <w:rPr>
                <w:rFonts w:ascii="Aptos" w:hAnsi="Aptos"/>
                <w:b w:val="0"/>
                <w:sz w:val="16"/>
              </w:rPr>
              <w:t>Verify installed version and build configuration in package files.</w:t>
            </w:r>
          </w:p>
        </w:tc>
      </w:tr>
      <w:tr>
        <w:tc>
          <w:tcPr>
            <w:tcW w:type="dxa" w:w="2088"/>
            <w:vAlign w:val="center"/>
          </w:tcPr>
          <w:p>
            <w:pPr>
              <w:spacing w:after="20"/>
            </w:pPr>
            <w:r/>
            <w:r>
              <w:rPr>
                <w:rFonts w:ascii="Aptos" w:hAnsi="Aptos"/>
                <w:b w:val="0"/>
                <w:sz w:val="16"/>
              </w:rPr>
              <w:t>ASP.NET Core Web API 10</w:t>
            </w:r>
          </w:p>
        </w:tc>
        <w:tc>
          <w:tcPr>
            <w:tcW w:type="dxa" w:w="3744"/>
            <w:vAlign w:val="center"/>
          </w:tcPr>
          <w:p>
            <w:pPr>
              <w:spacing w:after="20"/>
            </w:pPr>
            <w:r/>
            <w:r>
              <w:rPr>
                <w:rFonts w:ascii="Aptos" w:hAnsi="Aptos"/>
                <w:b w:val="0"/>
                <w:sz w:val="16"/>
              </w:rPr>
              <w:t>HTTP endpoints, request validation, authorization, business rules, aggregation and response DTOs.</w:t>
            </w:r>
          </w:p>
        </w:tc>
        <w:tc>
          <w:tcPr>
            <w:tcW w:type="dxa" w:w="5472"/>
            <w:vAlign w:val="center"/>
          </w:tcPr>
          <w:p>
            <w:pPr>
              <w:spacing w:after="20"/>
            </w:pPr>
            <w:r/>
            <w:r>
              <w:rPr>
                <w:rFonts w:ascii="Aptos" w:hAnsi="Aptos"/>
                <w:b w:val="0"/>
                <w:sz w:val="16"/>
              </w:rPr>
              <w:t>Inspect controllers/minimal API routes, DTOs, services, middleware and OpenAPI/Swagger.</w:t>
            </w:r>
          </w:p>
        </w:tc>
      </w:tr>
      <w:tr>
        <w:tc>
          <w:tcPr>
            <w:tcW w:type="dxa" w:w="2088"/>
            <w:vAlign w:val="center"/>
            <w:shd w:fill="F1F4FC"/>
          </w:tcPr>
          <w:p>
            <w:pPr>
              <w:spacing w:after="20"/>
            </w:pPr>
            <w:r/>
            <w:r>
              <w:rPr>
                <w:rFonts w:ascii="Aptos" w:hAnsi="Aptos"/>
                <w:b w:val="0"/>
                <w:sz w:val="16"/>
              </w:rPr>
              <w:t>SQL Server 2025</w:t>
            </w:r>
          </w:p>
        </w:tc>
        <w:tc>
          <w:tcPr>
            <w:tcW w:type="dxa" w:w="3744"/>
            <w:vAlign w:val="center"/>
            <w:shd w:fill="F1F4FC"/>
          </w:tcPr>
          <w:p>
            <w:pPr>
              <w:spacing w:after="20"/>
            </w:pPr>
            <w:r/>
            <w:r>
              <w:rPr>
                <w:rFonts w:ascii="Aptos" w:hAnsi="Aptos"/>
                <w:b w:val="0"/>
                <w:sz w:val="16"/>
              </w:rPr>
              <w:t>Persistent master data, contracts, meetings, KPI/health snapshots, actions and related records.</w:t>
            </w:r>
          </w:p>
        </w:tc>
        <w:tc>
          <w:tcPr>
            <w:tcW w:type="dxa" w:w="5472"/>
            <w:vAlign w:val="center"/>
            <w:shd w:fill="F1F4FC"/>
          </w:tcPr>
          <w:p>
            <w:pPr>
              <w:spacing w:after="20"/>
            </w:pPr>
            <w:r/>
            <w:r>
              <w:rPr>
                <w:rFonts w:ascii="Aptos" w:hAnsi="Aptos"/>
                <w:b w:val="0"/>
                <w:sz w:val="16"/>
              </w:rPr>
              <w:t>Inspect database schema, keys, constraints, views, stored procedures and data lineage.</w:t>
            </w:r>
          </w:p>
        </w:tc>
      </w:tr>
      <w:tr>
        <w:tc>
          <w:tcPr>
            <w:tcW w:type="dxa" w:w="2088"/>
            <w:vAlign w:val="center"/>
          </w:tcPr>
          <w:p>
            <w:pPr>
              <w:spacing w:after="20"/>
            </w:pPr>
            <w:r/>
            <w:r>
              <w:rPr>
                <w:rFonts w:ascii="Aptos" w:hAnsi="Aptos"/>
                <w:b w:val="0"/>
                <w:sz w:val="16"/>
              </w:rPr>
              <w:t>Database-First approach</w:t>
            </w:r>
          </w:p>
        </w:tc>
        <w:tc>
          <w:tcPr>
            <w:tcW w:type="dxa" w:w="3744"/>
            <w:vAlign w:val="center"/>
          </w:tcPr>
          <w:p>
            <w:pPr>
              <w:spacing w:after="20"/>
            </w:pPr>
            <w:r/>
            <w:r>
              <w:rPr>
                <w:rFonts w:ascii="Aptos" w:hAnsi="Aptos"/>
                <w:b w:val="0"/>
                <w:sz w:val="16"/>
              </w:rPr>
              <w:t>Application data models are generated or mapped from an existing database schema rather than designing schema solely from code-first migrations.</w:t>
            </w:r>
          </w:p>
        </w:tc>
        <w:tc>
          <w:tcPr>
            <w:tcW w:type="dxa" w:w="5472"/>
            <w:vAlign w:val="center"/>
          </w:tcPr>
          <w:p>
            <w:pPr>
              <w:spacing w:after="20"/>
            </w:pPr>
            <w:r/>
            <w:r>
              <w:rPr>
                <w:rFonts w:ascii="Aptos" w:hAnsi="Aptos"/>
                <w:b w:val="0"/>
                <w:sz w:val="16"/>
              </w:rPr>
              <w:t>Confirm scaffold/configuration strategy and how schema changes are versioned and deployed.</w:t>
            </w:r>
          </w:p>
        </w:tc>
      </w:tr>
    </w:tbl>
    <w:p>
      <w:pPr>
        <w:spacing w:after="20"/>
      </w:pPr>
    </w:p>
    <w:p>
      <w:pPr>
        <w:pStyle w:val="Heading2"/>
      </w:pPr>
      <w:r>
        <w:t>6.2 Intended read path for dashboard data</w:t>
      </w:r>
    </w:p>
    <w:p>
      <w:pPr>
        <w:pStyle w:val="ListNumber"/>
        <w:spacing w:after="40"/>
      </w:pPr>
      <w:r>
        <w:t>User opens Dashboard or changes a filter.</w:t>
      </w:r>
    </w:p>
    <w:p>
      <w:pPr>
        <w:pStyle w:val="ListNumber"/>
        <w:spacing w:after="40"/>
      </w:pPr>
      <w:r>
        <w:t>Angular component calls an Angular service with the active filter values.</w:t>
      </w:r>
    </w:p>
    <w:p>
      <w:pPr>
        <w:pStyle w:val="ListNumber"/>
        <w:spacing w:after="40"/>
      </w:pPr>
      <w:r>
        <w:t>The service issues an HTTP request to the configured ASP.NET Core API.</w:t>
      </w:r>
    </w:p>
    <w:p>
      <w:pPr>
        <w:pStyle w:val="ListNumber"/>
        <w:spacing w:after="40"/>
      </w:pPr>
      <w:r>
        <w:t>The API validates filter parameters and applies authorization/business rules.</w:t>
      </w:r>
    </w:p>
    <w:p>
      <w:pPr>
        <w:pStyle w:val="ListNumber"/>
        <w:spacing w:after="40"/>
      </w:pPr>
      <w:r>
        <w:t>The data-access layer queries SQL Server using the actual schema and safe parameterized queries.</w:t>
      </w:r>
    </w:p>
    <w:p>
      <w:pPr>
        <w:pStyle w:val="ListNumber"/>
        <w:spacing w:after="40"/>
      </w:pPr>
      <w:r>
        <w:t>The API maps results into response DTOs and returns JSON.</w:t>
      </w:r>
    </w:p>
    <w:p>
      <w:pPr>
        <w:pStyle w:val="ListNumber"/>
        <w:spacing w:after="40"/>
      </w:pPr>
      <w:r>
        <w:t>Angular updates KPI cards, portfolio rows, analytics and summary sections from the response.</w:t>
      </w:r>
    </w:p>
    <w:p>
      <w:pPr>
        <w:pStyle w:val="ListNumber"/>
        <w:spacing w:after="40"/>
      </w:pPr>
      <w:r>
        <w:t>The user can reconcile the displayed values to the API response and SQL query.</w:t>
      </w:r>
    </w:p>
    <w:p>
      <w:pPr>
        <w:pStyle w:val="Heading2"/>
      </w:pPr>
      <w:r>
        <w:t>6.3 Intended write path for meeting/action/admin changes</w:t>
      </w:r>
    </w:p>
    <w:p>
      <w:pPr>
        <w:pStyle w:val="ListNumber"/>
        <w:spacing w:after="40"/>
      </w:pPr>
      <w:r>
        <w:t>User enters or changes data in an Angular form.</w:t>
      </w:r>
    </w:p>
    <w:p>
      <w:pPr>
        <w:pStyle w:val="ListNumber"/>
        <w:spacing w:after="40"/>
      </w:pPr>
      <w:r>
        <w:t>Angular performs usability validation and submits a request payload.</w:t>
      </w:r>
    </w:p>
    <w:p>
      <w:pPr>
        <w:pStyle w:val="ListNumber"/>
        <w:spacing w:after="40"/>
      </w:pPr>
      <w:r>
        <w:t>The API validates required fields, allowed statuses, dates, identifiers, ownership and business rules independently.</w:t>
      </w:r>
    </w:p>
    <w:p>
      <w:pPr>
        <w:pStyle w:val="ListNumber"/>
        <w:spacing w:after="40"/>
      </w:pPr>
      <w:r>
        <w:t>The API writes the main record and related records to SQL Server; use a transaction where multiple writes must succeed together.</w:t>
      </w:r>
    </w:p>
    <w:p>
      <w:pPr>
        <w:pStyle w:val="ListNumber"/>
        <w:spacing w:after="40"/>
      </w:pPr>
      <w:r>
        <w:t>The API returns the saved identifier and current state.</w:t>
      </w:r>
    </w:p>
    <w:p>
      <w:pPr>
        <w:pStyle w:val="ListNumber"/>
        <w:spacing w:after="40"/>
      </w:pPr>
      <w:r>
        <w:t>Angular displays a success or safe error message and refreshes all affected views.</w:t>
      </w:r>
    </w:p>
    <w:p>
      <w:pPr>
        <w:pStyle w:val="ListNumber"/>
        <w:spacing w:after="40"/>
      </w:pPr>
      <w:r>
        <w:t>Reloading or opening the record again confirms persistence from SQL Server.</w:t>
      </w:r>
    </w:p>
    <w:p>
      <w:pPr>
        <w:pStyle w:val="Heading2"/>
      </w:pPr>
      <w:r>
        <w:t>6.4 What the supplied HTML itself demonstrates</w:t>
      </w:r>
    </w:p>
    <w:p>
      <w:r>
        <w:t>The HTML source has a built-in demo dataset, localStorage load/save functions, and an optional API configuration. The configured default paths are /api/a360/contract-health, /api/a360/meetings and /api/a360/actions; the API test helper also requests /health. The request helper uses fetch(), sends JSON for non-GET calls, and can attach a Bearer token when configured. However, API base URL defaults to blank, so local browser storage is the default mode. These are prototype facts, not proof of the production Angular endpoints.</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3733A5"/>
          </w:tcPr>
          <w:p>
            <w:pPr>
              <w:spacing w:after="20"/>
            </w:pPr>
            <w:r/>
            <w:r>
              <w:rPr>
                <w:rFonts w:ascii="Aptos" w:hAnsi="Aptos"/>
                <w:b/>
                <w:color w:val="FFFFFF"/>
                <w:sz w:val="16"/>
              </w:rPr>
              <w:t>Observed source behavior</w:t>
            </w:r>
          </w:p>
        </w:tc>
        <w:tc>
          <w:tcPr>
            <w:tcW w:type="dxa" w:w="6048"/>
            <w:vAlign w:val="center"/>
            <w:shd w:fill="3733A5"/>
          </w:tcPr>
          <w:p>
            <w:pPr>
              <w:spacing w:after="20"/>
            </w:pPr>
            <w:r/>
            <w:r>
              <w:rPr>
                <w:rFonts w:ascii="Aptos" w:hAnsi="Aptos"/>
                <w:b/>
                <w:color w:val="FFFFFF"/>
                <w:sz w:val="16"/>
              </w:rPr>
              <w:t>Implication</w:t>
            </w:r>
          </w:p>
        </w:tc>
      </w:tr>
      <w:tr>
        <w:tc>
          <w:tcPr>
            <w:tcW w:type="dxa" w:w="4320"/>
            <w:vAlign w:val="center"/>
          </w:tcPr>
          <w:p>
            <w:pPr>
              <w:spacing w:after="20"/>
            </w:pPr>
            <w:r/>
            <w:r>
              <w:rPr>
                <w:rFonts w:ascii="Aptos" w:hAnsi="Aptos"/>
                <w:b w:val="0"/>
                <w:sz w:val="16"/>
              </w:rPr>
              <w:t>load() reads JSON from localStorage using keys for contracts, meetings, settings and PMs.</w:t>
            </w:r>
          </w:p>
        </w:tc>
        <w:tc>
          <w:tcPr>
            <w:tcW w:type="dxa" w:w="6048"/>
            <w:vAlign w:val="center"/>
          </w:tcPr>
          <w:p>
            <w:pPr>
              <w:spacing w:after="20"/>
            </w:pPr>
            <w:r/>
            <w:r>
              <w:rPr>
                <w:rFonts w:ascii="Aptos" w:hAnsi="Aptos"/>
                <w:b w:val="0"/>
                <w:sz w:val="16"/>
              </w:rPr>
              <w:t>Existing browser data can be restored without calling SQL Server.</w:t>
            </w:r>
          </w:p>
        </w:tc>
      </w:tr>
      <w:tr>
        <w:tc>
          <w:tcPr>
            <w:tcW w:type="dxa" w:w="4320"/>
            <w:vAlign w:val="center"/>
            <w:shd w:fill="F1F4FC"/>
          </w:tcPr>
          <w:p>
            <w:pPr>
              <w:spacing w:after="20"/>
            </w:pPr>
            <w:r/>
            <w:r>
              <w:rPr>
                <w:rFonts w:ascii="Aptos" w:hAnsi="Aptos"/>
                <w:b w:val="0"/>
                <w:sz w:val="16"/>
              </w:rPr>
              <w:t>persist() writes contracts, meetings, PMs and settings to localStorage.</w:t>
            </w:r>
          </w:p>
        </w:tc>
        <w:tc>
          <w:tcPr>
            <w:tcW w:type="dxa" w:w="6048"/>
            <w:vAlign w:val="center"/>
            <w:shd w:fill="F1F4FC"/>
          </w:tcPr>
          <w:p>
            <w:pPr>
              <w:spacing w:after="20"/>
            </w:pPr>
            <w:r/>
            <w:r>
              <w:rPr>
                <w:rFonts w:ascii="Aptos" w:hAnsi="Aptos"/>
                <w:b w:val="0"/>
                <w:sz w:val="16"/>
              </w:rPr>
              <w:t>Prototype edits can remain browser-local.</w:t>
            </w:r>
          </w:p>
        </w:tc>
      </w:tr>
      <w:tr>
        <w:tc>
          <w:tcPr>
            <w:tcW w:type="dxa" w:w="4320"/>
            <w:vAlign w:val="center"/>
          </w:tcPr>
          <w:p>
            <w:pPr>
              <w:spacing w:after="20"/>
            </w:pPr>
            <w:r/>
            <w:r>
              <w:rPr>
                <w:rFonts w:ascii="Aptos" w:hAnsi="Aptos"/>
                <w:b w:val="0"/>
                <w:sz w:val="16"/>
              </w:rPr>
              <w:t>If the stored contracts are missing or too few, built-in demo contracts are loaded.</w:t>
            </w:r>
          </w:p>
        </w:tc>
        <w:tc>
          <w:tcPr>
            <w:tcW w:type="dxa" w:w="6048"/>
            <w:vAlign w:val="center"/>
          </w:tcPr>
          <w:p>
            <w:pPr>
              <w:spacing w:after="20"/>
            </w:pPr>
            <w:r/>
            <w:r>
              <w:rPr>
                <w:rFonts w:ascii="Aptos" w:hAnsi="Aptos"/>
                <w:b w:val="0"/>
                <w:sz w:val="16"/>
              </w:rPr>
              <w:t>Displayed counts and sample records may be demo data.</w:t>
            </w:r>
          </w:p>
        </w:tc>
      </w:tr>
      <w:tr>
        <w:tc>
          <w:tcPr>
            <w:tcW w:type="dxa" w:w="4320"/>
            <w:vAlign w:val="center"/>
            <w:shd w:fill="F1F4FC"/>
          </w:tcPr>
          <w:p>
            <w:pPr>
              <w:spacing w:after="20"/>
            </w:pPr>
            <w:r/>
            <w:r>
              <w:rPr>
                <w:rFonts w:ascii="Aptos" w:hAnsi="Aptos"/>
                <w:b w:val="0"/>
                <w:sz w:val="16"/>
              </w:rPr>
              <w:t>API settings default to an empty base URL.</w:t>
            </w:r>
          </w:p>
        </w:tc>
        <w:tc>
          <w:tcPr>
            <w:tcW w:type="dxa" w:w="6048"/>
            <w:vAlign w:val="center"/>
            <w:shd w:fill="F1F4FC"/>
          </w:tcPr>
          <w:p>
            <w:pPr>
              <w:spacing w:after="20"/>
            </w:pPr>
            <w:r/>
            <w:r>
              <w:rPr>
                <w:rFonts w:ascii="Aptos" w:hAnsi="Aptos"/>
                <w:b w:val="0"/>
                <w:sz w:val="16"/>
              </w:rPr>
              <w:t>API integration is optional until configured.</w:t>
            </w:r>
          </w:p>
        </w:tc>
      </w:tr>
      <w:tr>
        <w:tc>
          <w:tcPr>
            <w:tcW w:type="dxa" w:w="4320"/>
            <w:vAlign w:val="center"/>
          </w:tcPr>
          <w:p>
            <w:pPr>
              <w:spacing w:after="20"/>
            </w:pPr>
            <w:r/>
            <w:r>
              <w:rPr>
                <w:rFonts w:ascii="Aptos" w:hAnsi="Aptos"/>
                <w:b w:val="0"/>
                <w:sz w:val="16"/>
              </w:rPr>
              <w:t>apiRequest() returns skipped when no API base URL is configured.</w:t>
            </w:r>
          </w:p>
        </w:tc>
        <w:tc>
          <w:tcPr>
            <w:tcW w:type="dxa" w:w="6048"/>
            <w:vAlign w:val="center"/>
          </w:tcPr>
          <w:p>
            <w:pPr>
              <w:spacing w:after="20"/>
            </w:pPr>
            <w:r/>
            <w:r>
              <w:rPr>
                <w:rFonts w:ascii="Aptos" w:hAnsi="Aptos"/>
                <w:b w:val="0"/>
                <w:sz w:val="16"/>
              </w:rPr>
              <w:t>A local UI action may not call the API at all.</w:t>
            </w:r>
          </w:p>
        </w:tc>
      </w:tr>
      <w:tr>
        <w:tc>
          <w:tcPr>
            <w:tcW w:type="dxa" w:w="4320"/>
            <w:vAlign w:val="center"/>
            <w:shd w:fill="F1F4FC"/>
          </w:tcPr>
          <w:p>
            <w:pPr>
              <w:spacing w:after="20"/>
            </w:pPr>
            <w:r/>
            <w:r>
              <w:rPr>
                <w:rFonts w:ascii="Aptos" w:hAnsi="Aptos"/>
                <w:b w:val="0"/>
                <w:sz w:val="16"/>
              </w:rPr>
              <w:t>On API error, the code indicates local save retained.</w:t>
            </w:r>
          </w:p>
        </w:tc>
        <w:tc>
          <w:tcPr>
            <w:tcW w:type="dxa" w:w="6048"/>
            <w:vAlign w:val="center"/>
            <w:shd w:fill="F1F4FC"/>
          </w:tcPr>
          <w:p>
            <w:pPr>
              <w:spacing w:after="20"/>
            </w:pPr>
            <w:r/>
            <w:r>
              <w:rPr>
                <w:rFonts w:ascii="Aptos" w:hAnsi="Aptos"/>
                <w:b w:val="0"/>
                <w:sz w:val="16"/>
              </w:rPr>
              <w:t>A UI can show local changes even if backend sync fails; production must make sync state and persistence semantics explicit.</w:t>
            </w:r>
          </w:p>
        </w:tc>
      </w:tr>
    </w:tbl>
    <w:p>
      <w:pPr>
        <w:spacing w:after="20"/>
      </w:pPr>
    </w:p>
    <w:p>
      <w:r>
        <w:t>This distinction is critical for a manager presentation. The safe explanation is: “The UI demonstrates the intended workflow and includes an optional API connector; the production Angular/API/SQL wiring must be validated against the deployed source and environment before we claim every displayed value is coming from SQL Server.”</w:t>
      </w:r>
    </w:p>
    <w:p>
      <w:pPr>
        <w:pStyle w:val="Heading1"/>
      </w:pPr>
      <w:r>
        <w:t>7. Dashboard calculations — formulas visible in the HTML</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3733A5"/>
          </w:tcPr>
          <w:p>
            <w:pPr>
              <w:spacing w:after="20"/>
            </w:pPr>
            <w:r/>
            <w:r>
              <w:rPr>
                <w:rFonts w:ascii="Aptos" w:hAnsi="Aptos"/>
                <w:b/>
                <w:color w:val="FFFFFF"/>
                <w:sz w:val="16"/>
              </w:rPr>
              <w:t>Metric / logic</w:t>
            </w:r>
          </w:p>
        </w:tc>
        <w:tc>
          <w:tcPr>
            <w:tcW w:type="dxa" w:w="4536"/>
            <w:vAlign w:val="center"/>
            <w:shd w:fill="3733A5"/>
          </w:tcPr>
          <w:p>
            <w:pPr>
              <w:spacing w:after="20"/>
            </w:pPr>
            <w:r/>
            <w:r>
              <w:rPr>
                <w:rFonts w:ascii="Aptos" w:hAnsi="Aptos"/>
                <w:b/>
                <w:color w:val="FFFFFF"/>
                <w:sz w:val="16"/>
              </w:rPr>
              <w:t>Prototype rule observed in source</w:t>
            </w:r>
          </w:p>
        </w:tc>
        <w:tc>
          <w:tcPr>
            <w:tcW w:type="dxa" w:w="3888"/>
            <w:vAlign w:val="center"/>
            <w:shd w:fill="3733A5"/>
          </w:tcPr>
          <w:p>
            <w:pPr>
              <w:spacing w:after="20"/>
            </w:pPr>
            <w:r/>
            <w:r>
              <w:rPr>
                <w:rFonts w:ascii="Aptos" w:hAnsi="Aptos"/>
                <w:b/>
                <w:color w:val="FFFFFF"/>
                <w:sz w:val="16"/>
              </w:rPr>
              <w:t>Manager-friendly explanation / caveat</w:t>
            </w:r>
          </w:p>
        </w:tc>
      </w:tr>
      <w:tr>
        <w:tc>
          <w:tcPr>
            <w:tcW w:type="dxa" w:w="2088"/>
            <w:vAlign w:val="center"/>
          </w:tcPr>
          <w:p>
            <w:pPr>
              <w:spacing w:after="20"/>
            </w:pPr>
            <w:r/>
            <w:r>
              <w:rPr>
                <w:rFonts w:ascii="Aptos" w:hAnsi="Aptos"/>
                <w:b w:val="0"/>
                <w:sz w:val="16"/>
              </w:rPr>
              <w:t>Overall category per contract</w:t>
            </w:r>
          </w:p>
        </w:tc>
        <w:tc>
          <w:tcPr>
            <w:tcW w:type="dxa" w:w="4536"/>
            <w:vAlign w:val="center"/>
          </w:tcPr>
          <w:p>
            <w:pPr>
              <w:spacing w:after="20"/>
            </w:pPr>
            <w:r/>
            <w:r>
              <w:rPr>
                <w:rFonts w:ascii="Aptos" w:hAnsi="Aptos"/>
                <w:b w:val="0"/>
                <w:sz w:val="16"/>
              </w:rPr>
              <w:t>Collect populated KPI statuses plus delivery, financial, risk and renewal statuses; choose the worst status by rank Red &gt; Orange &gt; Yellow &gt; Green. No populated statuses = Blank.</w:t>
            </w:r>
          </w:p>
        </w:tc>
        <w:tc>
          <w:tcPr>
            <w:tcW w:type="dxa" w:w="3888"/>
            <w:vAlign w:val="center"/>
          </w:tcPr>
          <w:p>
            <w:pPr>
              <w:spacing w:after="20"/>
            </w:pPr>
            <w:r/>
            <w:r>
              <w:rPr>
                <w:rFonts w:ascii="Aptos" w:hAnsi="Aptos"/>
                <w:b w:val="0"/>
                <w:sz w:val="16"/>
              </w:rPr>
              <w:t>A single critical dimension can make the contract category Red even if other dimensions are Green.</w:t>
            </w:r>
          </w:p>
        </w:tc>
      </w:tr>
      <w:tr>
        <w:tc>
          <w:tcPr>
            <w:tcW w:type="dxa" w:w="2088"/>
            <w:vAlign w:val="center"/>
            <w:shd w:fill="F1F4FC"/>
          </w:tcPr>
          <w:p>
            <w:pPr>
              <w:spacing w:after="20"/>
            </w:pPr>
            <w:r/>
            <w:r>
              <w:rPr>
                <w:rFonts w:ascii="Aptos" w:hAnsi="Aptos"/>
                <w:b w:val="0"/>
                <w:sz w:val="16"/>
              </w:rPr>
              <w:t>Status rank</w:t>
            </w:r>
          </w:p>
        </w:tc>
        <w:tc>
          <w:tcPr>
            <w:tcW w:type="dxa" w:w="4536"/>
            <w:vAlign w:val="center"/>
            <w:shd w:fill="F1F4FC"/>
          </w:tcPr>
          <w:p>
            <w:pPr>
              <w:spacing w:after="20"/>
            </w:pPr>
            <w:r/>
            <w:r>
              <w:rPr>
                <w:rFonts w:ascii="Aptos" w:hAnsi="Aptos"/>
                <w:b w:val="0"/>
                <w:sz w:val="16"/>
              </w:rPr>
              <w:t>Red=4, Orange=3, Yellow=2, Green=1, blank=0.</w:t>
            </w:r>
          </w:p>
        </w:tc>
        <w:tc>
          <w:tcPr>
            <w:tcW w:type="dxa" w:w="3888"/>
            <w:vAlign w:val="center"/>
            <w:shd w:fill="F1F4FC"/>
          </w:tcPr>
          <w:p>
            <w:pPr>
              <w:spacing w:after="20"/>
            </w:pPr>
            <w:r/>
            <w:r>
              <w:rPr>
                <w:rFonts w:ascii="Aptos" w:hAnsi="Aptos"/>
                <w:b w:val="0"/>
                <w:sz w:val="16"/>
              </w:rPr>
              <w:t>This is a severity ordering, not a numeric health score.</w:t>
            </w:r>
          </w:p>
        </w:tc>
      </w:tr>
      <w:tr>
        <w:tc>
          <w:tcPr>
            <w:tcW w:type="dxa" w:w="2088"/>
            <w:vAlign w:val="center"/>
          </w:tcPr>
          <w:p>
            <w:pPr>
              <w:spacing w:after="20"/>
            </w:pPr>
            <w:r/>
            <w:r>
              <w:rPr>
                <w:rFonts w:ascii="Aptos" w:hAnsi="Aptos"/>
                <w:b w:val="0"/>
                <w:sz w:val="16"/>
              </w:rPr>
              <w:t>Numeric health score</w:t>
            </w:r>
          </w:p>
        </w:tc>
        <w:tc>
          <w:tcPr>
            <w:tcW w:type="dxa" w:w="4536"/>
            <w:vAlign w:val="center"/>
          </w:tcPr>
          <w:p>
            <w:pPr>
              <w:spacing w:after="20"/>
            </w:pPr>
            <w:r/>
            <w:r>
              <w:rPr>
                <w:rFonts w:ascii="Aptos" w:hAnsi="Aptos"/>
                <w:b w:val="0"/>
                <w:sz w:val="16"/>
              </w:rPr>
              <w:t>Map Green=100, Yellow=80, Orange=60, Red=20; average the available statuses per contract, then average the scored contracts and round.</w:t>
            </w:r>
          </w:p>
        </w:tc>
        <w:tc>
          <w:tcPr>
            <w:tcW w:type="dxa" w:w="3888"/>
            <w:vAlign w:val="center"/>
          </w:tcPr>
          <w:p>
            <w:pPr>
              <w:spacing w:after="20"/>
            </w:pPr>
            <w:r/>
            <w:r>
              <w:rPr>
                <w:rFonts w:ascii="Aptos" w:hAnsi="Aptos"/>
                <w:b w:val="0"/>
                <w:sz w:val="16"/>
              </w:rPr>
              <w:t>Score is based on available assessments; missing dimensions may not contribute. Confirm weighting and business approval.</w:t>
            </w:r>
          </w:p>
        </w:tc>
      </w:tr>
      <w:tr>
        <w:tc>
          <w:tcPr>
            <w:tcW w:type="dxa" w:w="2088"/>
            <w:vAlign w:val="center"/>
            <w:shd w:fill="F1F4FC"/>
          </w:tcPr>
          <w:p>
            <w:pPr>
              <w:spacing w:after="20"/>
            </w:pPr>
            <w:r/>
            <w:r>
              <w:rPr>
                <w:rFonts w:ascii="Aptos" w:hAnsi="Aptos"/>
                <w:b w:val="0"/>
                <w:sz w:val="16"/>
              </w:rPr>
              <w:t>Portfolio value</w:t>
            </w:r>
          </w:p>
        </w:tc>
        <w:tc>
          <w:tcPr>
            <w:tcW w:type="dxa" w:w="4536"/>
            <w:vAlign w:val="center"/>
            <w:shd w:fill="F1F4FC"/>
          </w:tcPr>
          <w:p>
            <w:pPr>
              <w:spacing w:after="20"/>
            </w:pPr>
            <w:r/>
            <w:r>
              <w:rPr>
                <w:rFonts w:ascii="Aptos" w:hAnsi="Aptos"/>
                <w:b w:val="0"/>
                <w:sz w:val="16"/>
              </w:rPr>
              <w:t>Sum Number(contract.value or 0) across filtered contracts; displayed in millions with one decimal place.</w:t>
            </w:r>
          </w:p>
        </w:tc>
        <w:tc>
          <w:tcPr>
            <w:tcW w:type="dxa" w:w="3888"/>
            <w:vAlign w:val="center"/>
            <w:shd w:fill="F1F4FC"/>
          </w:tcPr>
          <w:p>
            <w:pPr>
              <w:spacing w:after="20"/>
            </w:pPr>
            <w:r/>
            <w:r>
              <w:rPr>
                <w:rFonts w:ascii="Aptos" w:hAnsi="Aptos"/>
                <w:b w:val="0"/>
                <w:sz w:val="16"/>
              </w:rPr>
              <w:t>Confirm currency and whether all values share the same unit.</w:t>
            </w:r>
          </w:p>
        </w:tc>
      </w:tr>
      <w:tr>
        <w:tc>
          <w:tcPr>
            <w:tcW w:type="dxa" w:w="2088"/>
            <w:vAlign w:val="center"/>
          </w:tcPr>
          <w:p>
            <w:pPr>
              <w:spacing w:after="20"/>
            </w:pPr>
            <w:r/>
            <w:r>
              <w:rPr>
                <w:rFonts w:ascii="Aptos" w:hAnsi="Aptos"/>
                <w:b w:val="0"/>
                <w:sz w:val="16"/>
              </w:rPr>
              <w:t>Value at risk</w:t>
            </w:r>
          </w:p>
        </w:tc>
        <w:tc>
          <w:tcPr>
            <w:tcW w:type="dxa" w:w="4536"/>
            <w:vAlign w:val="center"/>
          </w:tcPr>
          <w:p>
            <w:pPr>
              <w:spacing w:after="20"/>
            </w:pPr>
            <w:r/>
            <w:r>
              <w:rPr>
                <w:rFonts w:ascii="Aptos" w:hAnsi="Aptos"/>
                <w:b w:val="0"/>
                <w:sz w:val="16"/>
              </w:rPr>
              <w:t>Sum Number(contract.riskValue or 0) across filtered contracts.</w:t>
            </w:r>
          </w:p>
        </w:tc>
        <w:tc>
          <w:tcPr>
            <w:tcW w:type="dxa" w:w="3888"/>
            <w:vAlign w:val="center"/>
          </w:tcPr>
          <w:p>
            <w:pPr>
              <w:spacing w:after="20"/>
            </w:pPr>
            <w:r/>
            <w:r>
              <w:rPr>
                <w:rFonts w:ascii="Aptos" w:hAnsi="Aptos"/>
                <w:b w:val="0"/>
                <w:sz w:val="16"/>
              </w:rPr>
              <w:t>Risk value is a separate source field; do not infer formula from the label.</w:t>
            </w:r>
          </w:p>
        </w:tc>
      </w:tr>
      <w:tr>
        <w:tc>
          <w:tcPr>
            <w:tcW w:type="dxa" w:w="2088"/>
            <w:vAlign w:val="center"/>
            <w:shd w:fill="F1F4FC"/>
          </w:tcPr>
          <w:p>
            <w:pPr>
              <w:spacing w:after="20"/>
            </w:pPr>
            <w:r/>
            <w:r>
              <w:rPr>
                <w:rFonts w:ascii="Aptos" w:hAnsi="Aptos"/>
                <w:b w:val="0"/>
                <w:sz w:val="16"/>
              </w:rPr>
              <w:t>Exposure %</w:t>
            </w:r>
          </w:p>
        </w:tc>
        <w:tc>
          <w:tcPr>
            <w:tcW w:type="dxa" w:w="4536"/>
            <w:vAlign w:val="center"/>
            <w:shd w:fill="F1F4FC"/>
          </w:tcPr>
          <w:p>
            <w:pPr>
              <w:spacing w:after="20"/>
            </w:pPr>
            <w:r/>
            <w:r>
              <w:rPr>
                <w:rFonts w:ascii="Aptos" w:hAnsi="Aptos"/>
                <w:b w:val="0"/>
                <w:sz w:val="16"/>
              </w:rPr>
              <w:t>Risk value / portfolio value × 100, when portfolio value is non-zero.</w:t>
            </w:r>
          </w:p>
        </w:tc>
        <w:tc>
          <w:tcPr>
            <w:tcW w:type="dxa" w:w="3888"/>
            <w:vAlign w:val="center"/>
            <w:shd w:fill="F1F4FC"/>
          </w:tcPr>
          <w:p>
            <w:pPr>
              <w:spacing w:after="20"/>
            </w:pPr>
            <w:r/>
            <w:r>
              <w:rPr>
                <w:rFonts w:ascii="Aptos" w:hAnsi="Aptos"/>
                <w:b w:val="0"/>
                <w:sz w:val="16"/>
              </w:rPr>
              <w:t>Zero value should be handled safely; define rounding.</w:t>
            </w:r>
          </w:p>
        </w:tc>
      </w:tr>
      <w:tr>
        <w:tc>
          <w:tcPr>
            <w:tcW w:type="dxa" w:w="2088"/>
            <w:vAlign w:val="center"/>
          </w:tcPr>
          <w:p>
            <w:pPr>
              <w:spacing w:after="20"/>
            </w:pPr>
            <w:r/>
            <w:r>
              <w:rPr>
                <w:rFonts w:ascii="Aptos" w:hAnsi="Aptos"/>
                <w:b w:val="0"/>
                <w:sz w:val="16"/>
              </w:rPr>
              <w:t>Positive sentiment %</w:t>
            </w:r>
          </w:p>
        </w:tc>
        <w:tc>
          <w:tcPr>
            <w:tcW w:type="dxa" w:w="4536"/>
            <w:vAlign w:val="center"/>
          </w:tcPr>
          <w:p>
            <w:pPr>
              <w:spacing w:after="20"/>
            </w:pPr>
            <w:r/>
            <w:r>
              <w:rPr>
                <w:rFonts w:ascii="Aptos" w:hAnsi="Aptos"/>
                <w:b w:val="0"/>
                <w:sz w:val="16"/>
              </w:rPr>
              <w:t>Count contracts with sentiment Positive / max(1, selected data count) × 100, rounded.</w:t>
            </w:r>
          </w:p>
        </w:tc>
        <w:tc>
          <w:tcPr>
            <w:tcW w:type="dxa" w:w="3888"/>
            <w:vAlign w:val="center"/>
          </w:tcPr>
          <w:p>
            <w:pPr>
              <w:spacing w:after="20"/>
            </w:pPr>
            <w:r/>
            <w:r>
              <w:rPr>
                <w:rFonts w:ascii="Aptos" w:hAnsi="Aptos"/>
                <w:b w:val="0"/>
                <w:sz w:val="16"/>
              </w:rPr>
              <w:t>This is a contract-level proportion in the prototype, not necessarily a meeting-level percentage.</w:t>
            </w:r>
          </w:p>
        </w:tc>
      </w:tr>
      <w:tr>
        <w:tc>
          <w:tcPr>
            <w:tcW w:type="dxa" w:w="2088"/>
            <w:vAlign w:val="center"/>
            <w:shd w:fill="F1F4FC"/>
          </w:tcPr>
          <w:p>
            <w:pPr>
              <w:spacing w:after="20"/>
            </w:pPr>
            <w:r/>
            <w:r>
              <w:rPr>
                <w:rFonts w:ascii="Aptos" w:hAnsi="Aptos"/>
                <w:b w:val="0"/>
                <w:sz w:val="16"/>
              </w:rPr>
              <w:t>Concern count</w:t>
            </w:r>
          </w:p>
        </w:tc>
        <w:tc>
          <w:tcPr>
            <w:tcW w:type="dxa" w:w="4536"/>
            <w:vAlign w:val="center"/>
            <w:shd w:fill="F1F4FC"/>
          </w:tcPr>
          <w:p>
            <w:pPr>
              <w:spacing w:after="20"/>
            </w:pPr>
            <w:r/>
            <w:r>
              <w:rPr>
                <w:rFonts w:ascii="Aptos" w:hAnsi="Aptos"/>
                <w:b w:val="0"/>
                <w:sz w:val="16"/>
              </w:rPr>
              <w:t>Count contracts with non-empty concern text.</w:t>
            </w:r>
          </w:p>
        </w:tc>
        <w:tc>
          <w:tcPr>
            <w:tcW w:type="dxa" w:w="3888"/>
            <w:vAlign w:val="center"/>
            <w:shd w:fill="F1F4FC"/>
          </w:tcPr>
          <w:p>
            <w:pPr>
              <w:spacing w:after="20"/>
            </w:pPr>
            <w:r/>
            <w:r>
              <w:rPr>
                <w:rFonts w:ascii="Aptos" w:hAnsi="Aptos"/>
                <w:b w:val="0"/>
                <w:sz w:val="16"/>
              </w:rPr>
              <w:t>A presence count does not represent severity unless another rule is added.</w:t>
            </w:r>
          </w:p>
        </w:tc>
      </w:tr>
      <w:tr>
        <w:tc>
          <w:tcPr>
            <w:tcW w:type="dxa" w:w="2088"/>
            <w:vAlign w:val="center"/>
          </w:tcPr>
          <w:p>
            <w:pPr>
              <w:spacing w:after="20"/>
            </w:pPr>
            <w:r/>
            <w:r>
              <w:rPr>
                <w:rFonts w:ascii="Aptos" w:hAnsi="Aptos"/>
                <w:b w:val="0"/>
                <w:sz w:val="16"/>
              </w:rPr>
              <w:t>Performance average indicators</w:t>
            </w:r>
          </w:p>
        </w:tc>
        <w:tc>
          <w:tcPr>
            <w:tcW w:type="dxa" w:w="4536"/>
            <w:vAlign w:val="center"/>
          </w:tcPr>
          <w:p>
            <w:pPr>
              <w:spacing w:after="20"/>
            </w:pPr>
            <w:r/>
            <w:r>
              <w:rPr>
                <w:rFonts w:ascii="Aptos" w:hAnsi="Aptos"/>
                <w:b w:val="0"/>
                <w:sz w:val="16"/>
              </w:rPr>
              <w:t>Several performance metrics are averaged across contract performance objects.</w:t>
            </w:r>
          </w:p>
        </w:tc>
        <w:tc>
          <w:tcPr>
            <w:tcW w:type="dxa" w:w="3888"/>
            <w:vAlign w:val="center"/>
          </w:tcPr>
          <w:p>
            <w:pPr>
              <w:spacing w:after="20"/>
            </w:pPr>
            <w:r/>
            <w:r>
              <w:rPr>
                <w:rFonts w:ascii="Aptos" w:hAnsi="Aptos"/>
                <w:b w:val="0"/>
                <w:sz w:val="16"/>
              </w:rPr>
              <w:t>Confirm weighted vs unweighted average, missing-value treatment and date scope.</w:t>
            </w:r>
          </w:p>
        </w:tc>
      </w:tr>
      <w:tr>
        <w:tc>
          <w:tcPr>
            <w:tcW w:type="dxa" w:w="2088"/>
            <w:vAlign w:val="center"/>
            <w:shd w:fill="F1F4FC"/>
          </w:tcPr>
          <w:p>
            <w:pPr>
              <w:spacing w:after="20"/>
            </w:pPr>
            <w:r/>
            <w:r>
              <w:rPr>
                <w:rFonts w:ascii="Aptos" w:hAnsi="Aptos"/>
                <w:b w:val="0"/>
                <w:sz w:val="16"/>
              </w:rPr>
              <w:t>KPI missing</w:t>
            </w:r>
          </w:p>
        </w:tc>
        <w:tc>
          <w:tcPr>
            <w:tcW w:type="dxa" w:w="4536"/>
            <w:vAlign w:val="center"/>
            <w:shd w:fill="F1F4FC"/>
          </w:tcPr>
          <w:p>
            <w:pPr>
              <w:spacing w:after="20"/>
            </w:pPr>
            <w:r/>
            <w:r>
              <w:rPr>
                <w:rFonts w:ascii="Aptos" w:hAnsi="Aptos"/>
                <w:b w:val="0"/>
                <w:sz w:val="16"/>
              </w:rPr>
              <w:t>Counts records whose missingMonth field is set and not blank, em dash or zero.</w:t>
            </w:r>
          </w:p>
        </w:tc>
        <w:tc>
          <w:tcPr>
            <w:tcW w:type="dxa" w:w="3888"/>
            <w:vAlign w:val="center"/>
            <w:shd w:fill="F1F4FC"/>
          </w:tcPr>
          <w:p>
            <w:pPr>
              <w:spacing w:after="20"/>
            </w:pPr>
            <w:r/>
            <w:r>
              <w:rPr>
                <w:rFonts w:ascii="Aptos" w:hAnsi="Aptos"/>
                <w:b w:val="0"/>
                <w:sz w:val="16"/>
              </w:rPr>
              <w:t>Clarify whether this means missing monthly data, missing KPIs or missing records.</w:t>
            </w:r>
          </w:p>
        </w:tc>
      </w:tr>
      <w:tr>
        <w:tc>
          <w:tcPr>
            <w:tcW w:type="dxa" w:w="2088"/>
            <w:vAlign w:val="center"/>
          </w:tcPr>
          <w:p>
            <w:pPr>
              <w:spacing w:after="20"/>
            </w:pPr>
            <w:r/>
            <w:r>
              <w:rPr>
                <w:rFonts w:ascii="Aptos" w:hAnsi="Aptos"/>
                <w:b w:val="0"/>
                <w:sz w:val="16"/>
              </w:rPr>
              <w:t>Days overdue</w:t>
            </w:r>
          </w:p>
        </w:tc>
        <w:tc>
          <w:tcPr>
            <w:tcW w:type="dxa" w:w="4536"/>
            <w:vAlign w:val="center"/>
          </w:tcPr>
          <w:p>
            <w:pPr>
              <w:spacing w:after="20"/>
            </w:pPr>
            <w:r/>
            <w:r>
              <w:rPr>
                <w:rFonts w:ascii="Aptos" w:hAnsi="Aptos"/>
                <w:b w:val="0"/>
                <w:sz w:val="16"/>
              </w:rPr>
              <w:t>Uses the maximum overdueDays value across the current set in the visible function.</w:t>
            </w:r>
          </w:p>
        </w:tc>
        <w:tc>
          <w:tcPr>
            <w:tcW w:type="dxa" w:w="3888"/>
            <w:vAlign w:val="center"/>
          </w:tcPr>
          <w:p>
            <w:pPr>
              <w:spacing w:after="20"/>
            </w:pPr>
            <w:r/>
            <w:r>
              <w:rPr>
                <w:rFonts w:ascii="Aptos" w:hAnsi="Aptos"/>
                <w:b w:val="0"/>
                <w:sz w:val="16"/>
              </w:rPr>
              <w:t>The displayed value may be the worst case, not the average or total.</w:t>
            </w:r>
          </w:p>
        </w:tc>
      </w:tr>
      <w:tr>
        <w:tc>
          <w:tcPr>
            <w:tcW w:type="dxa" w:w="2088"/>
            <w:vAlign w:val="center"/>
            <w:shd w:fill="F1F4FC"/>
          </w:tcPr>
          <w:p>
            <w:pPr>
              <w:spacing w:after="20"/>
            </w:pPr>
            <w:r/>
            <w:r>
              <w:rPr>
                <w:rFonts w:ascii="Aptos" w:hAnsi="Aptos"/>
                <w:b w:val="0"/>
                <w:sz w:val="16"/>
              </w:rPr>
              <w:t>Filter logic</w:t>
            </w:r>
          </w:p>
        </w:tc>
        <w:tc>
          <w:tcPr>
            <w:tcW w:type="dxa" w:w="4536"/>
            <w:vAlign w:val="center"/>
            <w:shd w:fill="F1F4FC"/>
          </w:tcPr>
          <w:p>
            <w:pPr>
              <w:spacing w:after="20"/>
            </w:pPr>
            <w:r/>
            <w:r>
              <w:rPr>
                <w:rFonts w:ascii="Aptos" w:hAnsi="Aptos"/>
                <w:b w:val="0"/>
                <w:sz w:val="16"/>
              </w:rPr>
              <w:t>All selected filters are combined with AND; month checks whether last/meeting date begins with the selected month string.</w:t>
            </w:r>
          </w:p>
        </w:tc>
        <w:tc>
          <w:tcPr>
            <w:tcW w:type="dxa" w:w="3888"/>
            <w:vAlign w:val="center"/>
            <w:shd w:fill="F1F4FC"/>
          </w:tcPr>
          <w:p>
            <w:pPr>
              <w:spacing w:after="20"/>
            </w:pPr>
            <w:r/>
            <w:r>
              <w:rPr>
                <w:rFonts w:ascii="Aptos" w:hAnsi="Aptos"/>
                <w:b w:val="0"/>
                <w:sz w:val="16"/>
              </w:rPr>
              <w:t>Ensure all dependent sections use the same filtered set. Some insight functions fall back to all contracts when filtered data is empty; verify whether this is intended.</w:t>
            </w:r>
          </w:p>
        </w:tc>
      </w:tr>
    </w:tbl>
    <w:p>
      <w:pPr>
        <w:spacing w:after="20"/>
      </w:pPr>
    </w:p>
    <w:p>
      <w:pPr>
        <w:pStyle w:val="Heading2"/>
      </w:pPr>
      <w:r>
        <w:t>7.1 Example arithmetic checks</w:t>
      </w:r>
    </w:p>
    <w:p>
      <w:pPr>
        <w:pStyle w:val="ListBullet"/>
        <w:spacing w:after="40"/>
      </w:pPr>
      <w:r>
        <w:t>Category reconciliation: Green + Yellow + Orange + Red should equal the number of assessed contracts if categories are mutually exclusive. If total contracts is larger, investigate unassessed records or different scopes.</w:t>
      </w:r>
    </w:p>
    <w:p>
      <w:pPr>
        <w:pStyle w:val="ListBullet"/>
        <w:spacing w:after="40"/>
      </w:pPr>
      <w:r>
        <w:t>Exposure: if portfolio value is $4,675.2M and value at risk is $204.6M, exposure is approximately 4.38%, which rounds to 4.4%.</w:t>
      </w:r>
    </w:p>
    <w:p>
      <w:pPr>
        <w:pStyle w:val="ListBullet"/>
        <w:spacing w:after="40"/>
      </w:pPr>
      <w:r>
        <w:t>Closure rate: agree a documented numerator and denominator, for example Completed eligible actions ÷ eligible actions × 100. The screenshot's 23% should be verified against actual action records.</w:t>
      </w:r>
    </w:p>
    <w:p>
      <w:pPr>
        <w:pStyle w:val="ListBullet"/>
        <w:spacing w:after="40"/>
      </w:pPr>
      <w:r>
        <w:t>No-data handling: a zero denominator should not produce NaN/Infinity; blank values should not silently become a misleading zero.</w:t>
      </w:r>
    </w:p>
    <w:p>
      <w:pPr>
        <w:pStyle w:val="Heading2"/>
      </w:pPr>
      <w:r>
        <w:t>7.2 Business rule register to approve</w:t>
      </w:r>
    </w:p>
    <w:tbl>
      <w:tblPr>
        <w:tblStyle w:val="TableGrid"/>
        <w:tblW w:type="auto" w:w="0"/>
        <w:jc w:val="center"/>
        <w:tblLook w:firstColumn="1" w:firstRow="1" w:lastColumn="0" w:lastRow="0" w:noHBand="0" w:noVBand="1" w:val="04A0"/>
      </w:tblPr>
      <w:tblGrid>
        <w:gridCol w:w="5040"/>
        <w:gridCol w:w="5040"/>
      </w:tblGrid>
      <w:tr>
        <w:tc>
          <w:tcPr>
            <w:tcW w:type="dxa" w:w="4032"/>
            <w:vAlign w:val="center"/>
            <w:shd w:fill="3733A5"/>
          </w:tcPr>
          <w:p>
            <w:pPr>
              <w:spacing w:after="20"/>
            </w:pPr>
            <w:r/>
            <w:r>
              <w:rPr>
                <w:rFonts w:ascii="Aptos" w:hAnsi="Aptos"/>
                <w:b/>
                <w:color w:val="FFFFFF"/>
                <w:sz w:val="16"/>
              </w:rPr>
              <w:t>Rule</w:t>
            </w:r>
          </w:p>
        </w:tc>
        <w:tc>
          <w:tcPr>
            <w:tcW w:type="dxa" w:w="6480"/>
            <w:vAlign w:val="center"/>
            <w:shd w:fill="3733A5"/>
          </w:tcPr>
          <w:p>
            <w:pPr>
              <w:spacing w:after="20"/>
            </w:pPr>
            <w:r/>
            <w:r>
              <w:rPr>
                <w:rFonts w:ascii="Aptos" w:hAnsi="Aptos"/>
                <w:b/>
                <w:color w:val="FFFFFF"/>
                <w:sz w:val="16"/>
              </w:rPr>
              <w:t>Decision owner should confirm</w:t>
            </w:r>
          </w:p>
        </w:tc>
      </w:tr>
      <w:tr>
        <w:tc>
          <w:tcPr>
            <w:tcW w:type="dxa" w:w="4032"/>
            <w:vAlign w:val="center"/>
          </w:tcPr>
          <w:p>
            <w:pPr>
              <w:spacing w:after="20"/>
            </w:pPr>
            <w:r/>
            <w:r>
              <w:rPr>
                <w:rFonts w:ascii="Aptos" w:hAnsi="Aptos"/>
                <w:b w:val="0"/>
                <w:sz w:val="16"/>
              </w:rPr>
              <w:t>Health thresholds and status ranking</w:t>
            </w:r>
          </w:p>
        </w:tc>
        <w:tc>
          <w:tcPr>
            <w:tcW w:type="dxa" w:w="6480"/>
            <w:vAlign w:val="center"/>
          </w:tcPr>
          <w:p>
            <w:pPr>
              <w:spacing w:after="20"/>
            </w:pPr>
            <w:r/>
            <w:r>
              <w:rPr>
                <w:rFonts w:ascii="Aptos" w:hAnsi="Aptos"/>
                <w:b w:val="0"/>
                <w:sz w:val="16"/>
              </w:rPr>
              <w:t>Product owner / contract governance lead</w:t>
            </w:r>
          </w:p>
        </w:tc>
      </w:tr>
      <w:tr>
        <w:tc>
          <w:tcPr>
            <w:tcW w:type="dxa" w:w="4032"/>
            <w:vAlign w:val="center"/>
            <w:shd w:fill="F1F4FC"/>
          </w:tcPr>
          <w:p>
            <w:pPr>
              <w:spacing w:after="20"/>
            </w:pPr>
            <w:r/>
            <w:r>
              <w:rPr>
                <w:rFonts w:ascii="Aptos" w:hAnsi="Aptos"/>
                <w:b w:val="0"/>
                <w:sz w:val="16"/>
              </w:rPr>
              <w:t>Numeric score weights and missing-data behavior</w:t>
            </w:r>
          </w:p>
        </w:tc>
        <w:tc>
          <w:tcPr>
            <w:tcW w:type="dxa" w:w="6480"/>
            <w:vAlign w:val="center"/>
            <w:shd w:fill="F1F4FC"/>
          </w:tcPr>
          <w:p>
            <w:pPr>
              <w:spacing w:after="20"/>
            </w:pPr>
            <w:r/>
            <w:r>
              <w:rPr>
                <w:rFonts w:ascii="Aptos" w:hAnsi="Aptos"/>
                <w:b w:val="0"/>
                <w:sz w:val="16"/>
              </w:rPr>
              <w:t>Business owner / analytics lead</w:t>
            </w:r>
          </w:p>
        </w:tc>
      </w:tr>
      <w:tr>
        <w:tc>
          <w:tcPr>
            <w:tcW w:type="dxa" w:w="4032"/>
            <w:vAlign w:val="center"/>
          </w:tcPr>
          <w:p>
            <w:pPr>
              <w:spacing w:after="20"/>
            </w:pPr>
            <w:r/>
            <w:r>
              <w:rPr>
                <w:rFonts w:ascii="Aptos" w:hAnsi="Aptos"/>
                <w:b w:val="0"/>
                <w:sz w:val="16"/>
              </w:rPr>
              <w:t>Risk value calculation and currency</w:t>
            </w:r>
          </w:p>
        </w:tc>
        <w:tc>
          <w:tcPr>
            <w:tcW w:type="dxa" w:w="6480"/>
            <w:vAlign w:val="center"/>
          </w:tcPr>
          <w:p>
            <w:pPr>
              <w:spacing w:after="20"/>
            </w:pPr>
            <w:r/>
            <w:r>
              <w:rPr>
                <w:rFonts w:ascii="Aptos" w:hAnsi="Aptos"/>
                <w:b w:val="0"/>
                <w:sz w:val="16"/>
              </w:rPr>
              <w:t>Finance / commercial owner</w:t>
            </w:r>
          </w:p>
        </w:tc>
      </w:tr>
      <w:tr>
        <w:tc>
          <w:tcPr>
            <w:tcW w:type="dxa" w:w="4032"/>
            <w:vAlign w:val="center"/>
            <w:shd w:fill="F1F4FC"/>
          </w:tcPr>
          <w:p>
            <w:pPr>
              <w:spacing w:after="20"/>
            </w:pPr>
            <w:r/>
            <w:r>
              <w:rPr>
                <w:rFonts w:ascii="Aptos" w:hAnsi="Aptos"/>
                <w:b w:val="0"/>
                <w:sz w:val="16"/>
              </w:rPr>
              <w:t>Renewal readiness and tracker-ready definitions</w:t>
            </w:r>
          </w:p>
        </w:tc>
        <w:tc>
          <w:tcPr>
            <w:tcW w:type="dxa" w:w="6480"/>
            <w:vAlign w:val="center"/>
            <w:shd w:fill="F1F4FC"/>
          </w:tcPr>
          <w:p>
            <w:pPr>
              <w:spacing w:after="20"/>
            </w:pPr>
            <w:r/>
            <w:r>
              <w:rPr>
                <w:rFonts w:ascii="Aptos" w:hAnsi="Aptos"/>
                <w:b w:val="0"/>
                <w:sz w:val="16"/>
              </w:rPr>
              <w:t>Renewals / account management lead</w:t>
            </w:r>
          </w:p>
        </w:tc>
      </w:tr>
      <w:tr>
        <w:tc>
          <w:tcPr>
            <w:tcW w:type="dxa" w:w="4032"/>
            <w:vAlign w:val="center"/>
          </w:tcPr>
          <w:p>
            <w:pPr>
              <w:spacing w:after="20"/>
            </w:pPr>
            <w:r/>
            <w:r>
              <w:rPr>
                <w:rFonts w:ascii="Aptos" w:hAnsi="Aptos"/>
                <w:b w:val="0"/>
                <w:sz w:val="16"/>
              </w:rPr>
              <w:t>Overdue and due-soon windows</w:t>
            </w:r>
          </w:p>
        </w:tc>
        <w:tc>
          <w:tcPr>
            <w:tcW w:type="dxa" w:w="6480"/>
            <w:vAlign w:val="center"/>
          </w:tcPr>
          <w:p>
            <w:pPr>
              <w:spacing w:after="20"/>
            </w:pPr>
            <w:r/>
            <w:r>
              <w:rPr>
                <w:rFonts w:ascii="Aptos" w:hAnsi="Aptos"/>
                <w:b w:val="0"/>
                <w:sz w:val="16"/>
              </w:rPr>
              <w:t>Operations / action process owner</w:t>
            </w:r>
          </w:p>
        </w:tc>
      </w:tr>
      <w:tr>
        <w:tc>
          <w:tcPr>
            <w:tcW w:type="dxa" w:w="4032"/>
            <w:vAlign w:val="center"/>
            <w:shd w:fill="F1F4FC"/>
          </w:tcPr>
          <w:p>
            <w:pPr>
              <w:spacing w:after="20"/>
            </w:pPr>
            <w:r/>
            <w:r>
              <w:rPr>
                <w:rFonts w:ascii="Aptos" w:hAnsi="Aptos"/>
                <w:b w:val="0"/>
                <w:sz w:val="16"/>
              </w:rPr>
              <w:t>Sentiment source and recency</w:t>
            </w:r>
          </w:p>
        </w:tc>
        <w:tc>
          <w:tcPr>
            <w:tcW w:type="dxa" w:w="6480"/>
            <w:vAlign w:val="center"/>
            <w:shd w:fill="F1F4FC"/>
          </w:tcPr>
          <w:p>
            <w:pPr>
              <w:spacing w:after="20"/>
            </w:pPr>
            <w:r/>
            <w:r>
              <w:rPr>
                <w:rFonts w:ascii="Aptos" w:hAnsi="Aptos"/>
                <w:b w:val="0"/>
                <w:sz w:val="16"/>
              </w:rPr>
              <w:t>Customer success / account management lead</w:t>
            </w:r>
          </w:p>
        </w:tc>
      </w:tr>
      <w:tr>
        <w:tc>
          <w:tcPr>
            <w:tcW w:type="dxa" w:w="4032"/>
            <w:vAlign w:val="center"/>
          </w:tcPr>
          <w:p>
            <w:pPr>
              <w:spacing w:after="20"/>
            </w:pPr>
            <w:r/>
            <w:r>
              <w:rPr>
                <w:rFonts w:ascii="Aptos" w:hAnsi="Aptos"/>
                <w:b w:val="0"/>
                <w:sz w:val="16"/>
              </w:rPr>
              <w:t>CSAT and NPS scale, period and aggregation</w:t>
            </w:r>
          </w:p>
        </w:tc>
        <w:tc>
          <w:tcPr>
            <w:tcW w:type="dxa" w:w="6480"/>
            <w:vAlign w:val="center"/>
          </w:tcPr>
          <w:p>
            <w:pPr>
              <w:spacing w:after="20"/>
            </w:pPr>
            <w:r/>
            <w:r>
              <w:rPr>
                <w:rFonts w:ascii="Aptos" w:hAnsi="Aptos"/>
                <w:b w:val="0"/>
                <w:sz w:val="16"/>
              </w:rPr>
              <w:t>Customer experience owner</w:t>
            </w:r>
          </w:p>
        </w:tc>
      </w:tr>
      <w:tr>
        <w:tc>
          <w:tcPr>
            <w:tcW w:type="dxa" w:w="4032"/>
            <w:vAlign w:val="center"/>
            <w:shd w:fill="F1F4FC"/>
          </w:tcPr>
          <w:p>
            <w:pPr>
              <w:spacing w:after="20"/>
            </w:pPr>
            <w:r/>
            <w:r>
              <w:rPr>
                <w:rFonts w:ascii="Aptos" w:hAnsi="Aptos"/>
                <w:b w:val="0"/>
                <w:sz w:val="16"/>
              </w:rPr>
              <w:t>Active/archived contract inclusion</w:t>
            </w:r>
          </w:p>
        </w:tc>
        <w:tc>
          <w:tcPr>
            <w:tcW w:type="dxa" w:w="6480"/>
            <w:vAlign w:val="center"/>
            <w:shd w:fill="F1F4FC"/>
          </w:tcPr>
          <w:p>
            <w:pPr>
              <w:spacing w:after="20"/>
            </w:pPr>
            <w:r/>
            <w:r>
              <w:rPr>
                <w:rFonts w:ascii="Aptos" w:hAnsi="Aptos"/>
                <w:b w:val="0"/>
                <w:sz w:val="16"/>
              </w:rPr>
              <w:t>Data owner / reporting owner</w:t>
            </w:r>
          </w:p>
        </w:tc>
      </w:tr>
      <w:tr>
        <w:tc>
          <w:tcPr>
            <w:tcW w:type="dxa" w:w="4032"/>
            <w:vAlign w:val="center"/>
          </w:tcPr>
          <w:p>
            <w:pPr>
              <w:spacing w:after="20"/>
            </w:pPr>
            <w:r/>
            <w:r>
              <w:rPr>
                <w:rFonts w:ascii="Aptos" w:hAnsi="Aptos"/>
                <w:b w:val="0"/>
                <w:sz w:val="16"/>
              </w:rPr>
              <w:t>Export field permissions and retention</w:t>
            </w:r>
          </w:p>
        </w:tc>
        <w:tc>
          <w:tcPr>
            <w:tcW w:type="dxa" w:w="6480"/>
            <w:vAlign w:val="center"/>
          </w:tcPr>
          <w:p>
            <w:pPr>
              <w:spacing w:after="20"/>
            </w:pPr>
            <w:r/>
            <w:r>
              <w:rPr>
                <w:rFonts w:ascii="Aptos" w:hAnsi="Aptos"/>
                <w:b w:val="0"/>
                <w:sz w:val="16"/>
              </w:rPr>
              <w:t>Security / data governance owner</w:t>
            </w:r>
          </w:p>
        </w:tc>
      </w:tr>
    </w:tbl>
    <w:p>
      <w:pPr>
        <w:spacing w:after="20"/>
      </w:pPr>
    </w:p>
    <w:p>
      <w:pPr>
        <w:pStyle w:val="Heading1"/>
      </w:pPr>
      <w:r>
        <w:t>8. SQL Server and database-first verification</w:t>
      </w:r>
    </w:p>
    <w:p>
      <w:r>
        <w:t>The supplied HTML does not include SQL schema definitions, connection strings, table names or stored procedures. The previous technical guide contains generic example names; treat them as placeholders until the actual database schema is inspected.</w:t>
      </w:r>
    </w:p>
    <w:p>
      <w:pPr>
        <w:pStyle w:val="Heading2"/>
      </w:pPr>
      <w:r>
        <w:t>8.1 Database-first explanation for managers</w:t>
      </w:r>
    </w:p>
    <w:p>
      <w:r>
        <w:t>Database-first means the database schema is the source of truth for the mapped data model. In a typical .NET implementation, the team inspects/scaffolds entities from SQL Server and maps API operations to those entities or dedicated DTOs. Schema changes must be coordinated with generated models, validation rules, API contracts and release scripts.</w:t>
      </w:r>
    </w:p>
    <w:p>
      <w:pPr>
        <w:pStyle w:val="Heading2"/>
      </w:pPr>
      <w:r>
        <w:t>8.2 Checks to perform against the real schema</w:t>
      </w:r>
    </w:p>
    <w:p>
      <w:pPr>
        <w:pStyle w:val="ListBullet"/>
        <w:spacing w:after="40"/>
      </w:pPr>
      <w:r>
        <w:t>Identify the real database name and confirm the environment (development, QA, UAT or production).</w:t>
      </w:r>
    </w:p>
    <w:p>
      <w:pPr>
        <w:pStyle w:val="ListBullet"/>
        <w:spacing w:after="40"/>
      </w:pPr>
      <w:r>
        <w:t>List actual tables, views and stored procedures used for contracts/accounts, performance managers, meetings, actions, KPI values and history.</w:t>
      </w:r>
    </w:p>
    <w:p>
      <w:pPr>
        <w:pStyle w:val="ListBullet"/>
        <w:spacing w:after="40"/>
      </w:pPr>
      <w:r>
        <w:t>Review primary keys, foreign keys, uniqueness rules, nullable fields and indexes.</w:t>
      </w:r>
    </w:p>
    <w:p>
      <w:pPr>
        <w:pStyle w:val="ListBullet"/>
        <w:spacing w:after="40"/>
      </w:pPr>
      <w:r>
        <w:t>Trace how a meeting references a contract and how an action references the relevant meeting/contract/owner.</w:t>
      </w:r>
    </w:p>
    <w:p>
      <w:pPr>
        <w:pStyle w:val="ListBullet"/>
        <w:spacing w:after="40"/>
      </w:pPr>
      <w:r>
        <w:t>Confirm whether health is stored as current state, monthly snapshot/history, or both.</w:t>
      </w:r>
    </w:p>
    <w:p>
      <w:pPr>
        <w:pStyle w:val="ListBullet"/>
        <w:spacing w:after="40"/>
      </w:pPr>
      <w:r>
        <w:t>Check date types, currency/decimal precision, status enum constraints and soft-delete/archive fields.</w:t>
      </w:r>
    </w:p>
    <w:p>
      <w:pPr>
        <w:pStyle w:val="ListBullet"/>
        <w:spacing w:after="40"/>
      </w:pPr>
      <w:r>
        <w:t>Verify seed/demo data is not mixed with production reporting.</w:t>
      </w:r>
    </w:p>
    <w:p>
      <w:pPr>
        <w:pStyle w:val="ListBullet"/>
        <w:spacing w:after="40"/>
      </w:pPr>
      <w:r>
        <w:t>Use parameterized queries and least-privilege database permissions.</w:t>
      </w:r>
    </w:p>
    <w:p>
      <w:pPr>
        <w:pStyle w:val="Heading2"/>
      </w:pPr>
      <w:r>
        <w:t>8.3 Four-way reconciliation method</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3733A5"/>
          </w:tcPr>
          <w:p>
            <w:pPr>
              <w:spacing w:after="20"/>
            </w:pPr>
            <w:r/>
            <w:r>
              <w:rPr>
                <w:rFonts w:ascii="Aptos" w:hAnsi="Aptos"/>
                <w:b/>
                <w:color w:val="FFFFFF"/>
                <w:sz w:val="16"/>
              </w:rPr>
              <w:t>Layer</w:t>
            </w:r>
          </w:p>
        </w:tc>
        <w:tc>
          <w:tcPr>
            <w:tcW w:type="dxa" w:w="4320"/>
            <w:vAlign w:val="center"/>
            <w:shd w:fill="3733A5"/>
          </w:tcPr>
          <w:p>
            <w:pPr>
              <w:spacing w:after="20"/>
            </w:pPr>
            <w:r/>
            <w:r>
              <w:rPr>
                <w:rFonts w:ascii="Aptos" w:hAnsi="Aptos"/>
                <w:b/>
                <w:color w:val="FFFFFF"/>
                <w:sz w:val="16"/>
              </w:rPr>
              <w:t>Evidence to capture</w:t>
            </w:r>
          </w:p>
        </w:tc>
        <w:tc>
          <w:tcPr>
            <w:tcW w:type="dxa" w:w="4320"/>
            <w:vAlign w:val="center"/>
            <w:shd w:fill="3733A5"/>
          </w:tcPr>
          <w:p>
            <w:pPr>
              <w:spacing w:after="20"/>
            </w:pPr>
            <w:r/>
            <w:r>
              <w:rPr>
                <w:rFonts w:ascii="Aptos" w:hAnsi="Aptos"/>
                <w:b/>
                <w:color w:val="FFFFFF"/>
                <w:sz w:val="16"/>
              </w:rPr>
              <w:t>Question answered</w:t>
            </w:r>
          </w:p>
        </w:tc>
      </w:tr>
      <w:tr>
        <w:tc>
          <w:tcPr>
            <w:tcW w:type="dxa" w:w="1872"/>
            <w:vAlign w:val="center"/>
          </w:tcPr>
          <w:p>
            <w:pPr>
              <w:spacing w:after="20"/>
            </w:pPr>
            <w:r/>
            <w:r>
              <w:rPr>
                <w:rFonts w:ascii="Aptos" w:hAnsi="Aptos"/>
                <w:b w:val="0"/>
                <w:sz w:val="16"/>
              </w:rPr>
              <w:t>Angular UI</w:t>
            </w:r>
          </w:p>
        </w:tc>
        <w:tc>
          <w:tcPr>
            <w:tcW w:type="dxa" w:w="4320"/>
            <w:vAlign w:val="center"/>
          </w:tcPr>
          <w:p>
            <w:pPr>
              <w:spacing w:after="20"/>
            </w:pPr>
            <w:r/>
            <w:r>
              <w:rPr>
                <w:rFonts w:ascii="Aptos" w:hAnsi="Aptos"/>
                <w:b w:val="0"/>
                <w:sz w:val="16"/>
              </w:rPr>
              <w:t>Visible value, selected filters, edited field, screenshot.</w:t>
            </w:r>
          </w:p>
        </w:tc>
        <w:tc>
          <w:tcPr>
            <w:tcW w:type="dxa" w:w="4320"/>
            <w:vAlign w:val="center"/>
          </w:tcPr>
          <w:p>
            <w:pPr>
              <w:spacing w:after="20"/>
            </w:pPr>
            <w:r/>
            <w:r>
              <w:rPr>
                <w:rFonts w:ascii="Aptos" w:hAnsi="Aptos"/>
                <w:b w:val="0"/>
                <w:sz w:val="16"/>
              </w:rPr>
              <w:t>What does the user see and what input did they make?</w:t>
            </w:r>
          </w:p>
        </w:tc>
      </w:tr>
      <w:tr>
        <w:tc>
          <w:tcPr>
            <w:tcW w:type="dxa" w:w="1872"/>
            <w:vAlign w:val="center"/>
            <w:shd w:fill="F1F4FC"/>
          </w:tcPr>
          <w:p>
            <w:pPr>
              <w:spacing w:after="20"/>
            </w:pPr>
            <w:r/>
            <w:r>
              <w:rPr>
                <w:rFonts w:ascii="Aptos" w:hAnsi="Aptos"/>
                <w:b w:val="0"/>
                <w:sz w:val="16"/>
              </w:rPr>
              <w:t>HTTP request</w:t>
            </w:r>
          </w:p>
        </w:tc>
        <w:tc>
          <w:tcPr>
            <w:tcW w:type="dxa" w:w="4320"/>
            <w:vAlign w:val="center"/>
            <w:shd w:fill="F1F4FC"/>
          </w:tcPr>
          <w:p>
            <w:pPr>
              <w:spacing w:after="20"/>
            </w:pPr>
            <w:r/>
            <w:r>
              <w:rPr>
                <w:rFonts w:ascii="Aptos" w:hAnsi="Aptos"/>
                <w:b w:val="0"/>
                <w:sz w:val="16"/>
              </w:rPr>
              <w:t>Method, URL, query parameters, request payload; remove secrets/tokens.</w:t>
            </w:r>
          </w:p>
        </w:tc>
        <w:tc>
          <w:tcPr>
            <w:tcW w:type="dxa" w:w="4320"/>
            <w:vAlign w:val="center"/>
            <w:shd w:fill="F1F4FC"/>
          </w:tcPr>
          <w:p>
            <w:pPr>
              <w:spacing w:after="20"/>
            </w:pPr>
            <w:r/>
            <w:r>
              <w:rPr>
                <w:rFonts w:ascii="Aptos" w:hAnsi="Aptos"/>
                <w:b w:val="0"/>
                <w:sz w:val="16"/>
              </w:rPr>
              <w:t>What did the frontend actually send?</w:t>
            </w:r>
          </w:p>
        </w:tc>
      </w:tr>
      <w:tr>
        <w:tc>
          <w:tcPr>
            <w:tcW w:type="dxa" w:w="1872"/>
            <w:vAlign w:val="center"/>
          </w:tcPr>
          <w:p>
            <w:pPr>
              <w:spacing w:after="20"/>
            </w:pPr>
            <w:r/>
            <w:r>
              <w:rPr>
                <w:rFonts w:ascii="Aptos" w:hAnsi="Aptos"/>
                <w:b w:val="0"/>
                <w:sz w:val="16"/>
              </w:rPr>
              <w:t>API response/logs</w:t>
            </w:r>
          </w:p>
        </w:tc>
        <w:tc>
          <w:tcPr>
            <w:tcW w:type="dxa" w:w="4320"/>
            <w:vAlign w:val="center"/>
          </w:tcPr>
          <w:p>
            <w:pPr>
              <w:spacing w:after="20"/>
            </w:pPr>
            <w:r/>
            <w:r>
              <w:rPr>
                <w:rFonts w:ascii="Aptos" w:hAnsi="Aptos"/>
                <w:b w:val="0"/>
                <w:sz w:val="16"/>
              </w:rPr>
              <w:t>Status code, response DTO, validation response and correlation ID.</w:t>
            </w:r>
          </w:p>
        </w:tc>
        <w:tc>
          <w:tcPr>
            <w:tcW w:type="dxa" w:w="4320"/>
            <w:vAlign w:val="center"/>
          </w:tcPr>
          <w:p>
            <w:pPr>
              <w:spacing w:after="20"/>
            </w:pPr>
            <w:r/>
            <w:r>
              <w:rPr>
                <w:rFonts w:ascii="Aptos" w:hAnsi="Aptos"/>
                <w:b w:val="0"/>
                <w:sz w:val="16"/>
              </w:rPr>
              <w:t>What did the server accept, calculate and return?</w:t>
            </w:r>
          </w:p>
        </w:tc>
      </w:tr>
      <w:tr>
        <w:tc>
          <w:tcPr>
            <w:tcW w:type="dxa" w:w="1872"/>
            <w:vAlign w:val="center"/>
            <w:shd w:fill="F1F4FC"/>
          </w:tcPr>
          <w:p>
            <w:pPr>
              <w:spacing w:after="20"/>
            </w:pPr>
            <w:r/>
            <w:r>
              <w:rPr>
                <w:rFonts w:ascii="Aptos" w:hAnsi="Aptos"/>
                <w:b w:val="0"/>
                <w:sz w:val="16"/>
              </w:rPr>
              <w:t>SQL Server</w:t>
            </w:r>
          </w:p>
        </w:tc>
        <w:tc>
          <w:tcPr>
            <w:tcW w:type="dxa" w:w="4320"/>
            <w:vAlign w:val="center"/>
            <w:shd w:fill="F1F4FC"/>
          </w:tcPr>
          <w:p>
            <w:pPr>
              <w:spacing w:after="20"/>
            </w:pPr>
            <w:r/>
            <w:r>
              <w:rPr>
                <w:rFonts w:ascii="Aptos" w:hAnsi="Aptos"/>
                <w:b w:val="0"/>
                <w:sz w:val="16"/>
              </w:rPr>
              <w:t>Relevant rows before/after, keys and linked rows.</w:t>
            </w:r>
          </w:p>
        </w:tc>
        <w:tc>
          <w:tcPr>
            <w:tcW w:type="dxa" w:w="4320"/>
            <w:vAlign w:val="center"/>
            <w:shd w:fill="F1F4FC"/>
          </w:tcPr>
          <w:p>
            <w:pPr>
              <w:spacing w:after="20"/>
            </w:pPr>
            <w:r/>
            <w:r>
              <w:rPr>
                <w:rFonts w:ascii="Aptos" w:hAnsi="Aptos"/>
                <w:b w:val="0"/>
                <w:sz w:val="16"/>
              </w:rPr>
              <w:t>What was actually persisted?</w:t>
            </w:r>
          </w:p>
        </w:tc>
      </w:tr>
    </w:tbl>
    <w:p>
      <w:pPr>
        <w:spacing w:after="20"/>
      </w:pPr>
    </w:p>
    <w:p>
      <w:pPr>
        <w:pStyle w:val="Heading1"/>
      </w:pPr>
      <w:r>
        <w:t>9. API integration and endpoint verification</w:t>
      </w:r>
    </w:p>
    <w:p>
      <w:r>
        <w:t>The following routes are visible as configurable defaults in the supplied HTML prototype. They are not verified production routes.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3733A5"/>
          </w:tcPr>
          <w:p>
            <w:pPr>
              <w:spacing w:after="20"/>
            </w:pPr>
            <w:r/>
            <w:r>
              <w:rPr>
                <w:rFonts w:ascii="Aptos" w:hAnsi="Aptos"/>
                <w:b/>
                <w:color w:val="FFFFFF"/>
                <w:sz w:val="16"/>
              </w:rPr>
              <w:t>Prototype route/config</w:t>
            </w:r>
          </w:p>
        </w:tc>
        <w:tc>
          <w:tcPr>
            <w:tcW w:type="dxa" w:w="3600"/>
            <w:vAlign w:val="center"/>
            <w:shd w:fill="3733A5"/>
          </w:tcPr>
          <w:p>
            <w:pPr>
              <w:spacing w:after="20"/>
            </w:pPr>
            <w:r/>
            <w:r>
              <w:rPr>
                <w:rFonts w:ascii="Aptos" w:hAnsi="Aptos"/>
                <w:b/>
                <w:color w:val="FFFFFF"/>
                <w:sz w:val="16"/>
              </w:rPr>
              <w:t>Observed use</w:t>
            </w:r>
          </w:p>
        </w:tc>
        <w:tc>
          <w:tcPr>
            <w:tcW w:type="dxa" w:w="4320"/>
            <w:vAlign w:val="center"/>
            <w:shd w:fill="3733A5"/>
          </w:tcPr>
          <w:p>
            <w:pPr>
              <w:spacing w:after="20"/>
            </w:pPr>
            <w:r/>
            <w:r>
              <w:rPr>
                <w:rFonts w:ascii="Aptos" w:hAnsi="Aptos"/>
                <w:b/>
                <w:color w:val="FFFFFF"/>
                <w:sz w:val="16"/>
              </w:rPr>
              <w:t>Verification required</w:t>
            </w:r>
          </w:p>
        </w:tc>
      </w:tr>
      <w:tr>
        <w:tc>
          <w:tcPr>
            <w:tcW w:type="dxa" w:w="2592"/>
            <w:vAlign w:val="center"/>
          </w:tcPr>
          <w:p>
            <w:pPr>
              <w:spacing w:after="20"/>
            </w:pPr>
            <w:r/>
            <w:r>
              <w:rPr>
                <w:rFonts w:ascii="Aptos" w:hAnsi="Aptos"/>
                <w:b w:val="0"/>
                <w:sz w:val="16"/>
              </w:rPr>
              <w:t>/api/a360/contract-health</w:t>
            </w:r>
          </w:p>
        </w:tc>
        <w:tc>
          <w:tcPr>
            <w:tcW w:type="dxa" w:w="3600"/>
            <w:vAlign w:val="center"/>
          </w:tcPr>
          <w:p>
            <w:pPr>
              <w:spacing w:after="20"/>
            </w:pPr>
            <w:r/>
            <w:r>
              <w:rPr>
                <w:rFonts w:ascii="Aptos" w:hAnsi="Aptos"/>
                <w:b w:val="0"/>
                <w:sz w:val="16"/>
              </w:rPr>
              <w:t>Used when an individual KPI/health status is updated.</w:t>
            </w:r>
          </w:p>
        </w:tc>
        <w:tc>
          <w:tcPr>
            <w:tcW w:type="dxa" w:w="4320"/>
            <w:vAlign w:val="center"/>
          </w:tcPr>
          <w:p>
            <w:pPr>
              <w:spacing w:after="20"/>
            </w:pPr>
            <w:r/>
            <w:r>
              <w:rPr>
                <w:rFonts w:ascii="Aptos" w:hAnsi="Aptos"/>
                <w:b w:val="0"/>
                <w:sz w:val="16"/>
              </w:rPr>
              <w:t>Check actual method, payload DTO, response and whether this route updates one dimension or full assessment.</w:t>
            </w:r>
          </w:p>
        </w:tc>
      </w:tr>
      <w:tr>
        <w:tc>
          <w:tcPr>
            <w:tcW w:type="dxa" w:w="2592"/>
            <w:vAlign w:val="center"/>
            <w:shd w:fill="F1F4FC"/>
          </w:tcPr>
          <w:p>
            <w:pPr>
              <w:spacing w:after="20"/>
            </w:pPr>
            <w:r/>
            <w:r>
              <w:rPr>
                <w:rFonts w:ascii="Aptos" w:hAnsi="Aptos"/>
                <w:b w:val="0"/>
                <w:sz w:val="16"/>
              </w:rPr>
              <w:t>/api/a360/meetings</w:t>
            </w:r>
          </w:p>
        </w:tc>
        <w:tc>
          <w:tcPr>
            <w:tcW w:type="dxa" w:w="3600"/>
            <w:vAlign w:val="center"/>
            <w:shd w:fill="F1F4FC"/>
          </w:tcPr>
          <w:p>
            <w:pPr>
              <w:spacing w:after="20"/>
            </w:pPr>
            <w:r/>
            <w:r>
              <w:rPr>
                <w:rFonts w:ascii="Aptos" w:hAnsi="Aptos"/>
                <w:b w:val="0"/>
                <w:sz w:val="16"/>
              </w:rPr>
              <w:t>Configured for meeting-related API calls.</w:t>
            </w:r>
          </w:p>
        </w:tc>
        <w:tc>
          <w:tcPr>
            <w:tcW w:type="dxa" w:w="4320"/>
            <w:vAlign w:val="center"/>
            <w:shd w:fill="F1F4FC"/>
          </w:tcPr>
          <w:p>
            <w:pPr>
              <w:spacing w:after="20"/>
            </w:pPr>
            <w:r/>
            <w:r>
              <w:rPr>
                <w:rFonts w:ascii="Aptos" w:hAnsi="Aptos"/>
                <w:b w:val="0"/>
                <w:sz w:val="16"/>
              </w:rPr>
              <w:t>Trace meeting create/update and confirm linked health/action persistence.</w:t>
            </w:r>
          </w:p>
        </w:tc>
      </w:tr>
      <w:tr>
        <w:tc>
          <w:tcPr>
            <w:tcW w:type="dxa" w:w="2592"/>
            <w:vAlign w:val="center"/>
          </w:tcPr>
          <w:p>
            <w:pPr>
              <w:spacing w:after="20"/>
            </w:pPr>
            <w:r/>
            <w:r>
              <w:rPr>
                <w:rFonts w:ascii="Aptos" w:hAnsi="Aptos"/>
                <w:b w:val="0"/>
                <w:sz w:val="16"/>
              </w:rPr>
              <w:t>/api/a360/actions</w:t>
            </w:r>
          </w:p>
        </w:tc>
        <w:tc>
          <w:tcPr>
            <w:tcW w:type="dxa" w:w="3600"/>
            <w:vAlign w:val="center"/>
          </w:tcPr>
          <w:p>
            <w:pPr>
              <w:spacing w:after="20"/>
            </w:pPr>
            <w:r/>
            <w:r>
              <w:rPr>
                <w:rFonts w:ascii="Aptos" w:hAnsi="Aptos"/>
                <w:b w:val="0"/>
                <w:sz w:val="16"/>
              </w:rPr>
              <w:t>Configured for action-related API calls.</w:t>
            </w:r>
          </w:p>
        </w:tc>
        <w:tc>
          <w:tcPr>
            <w:tcW w:type="dxa" w:w="4320"/>
            <w:vAlign w:val="center"/>
          </w:tcPr>
          <w:p>
            <w:pPr>
              <w:spacing w:after="20"/>
            </w:pPr>
            <w:r/>
            <w:r>
              <w:rPr>
                <w:rFonts w:ascii="Aptos" w:hAnsi="Aptos"/>
                <w:b w:val="0"/>
                <w:sz w:val="16"/>
              </w:rPr>
              <w:t>Trace create/update/status/delete behavior and owner/due-date validation.</w:t>
            </w:r>
          </w:p>
        </w:tc>
      </w:tr>
      <w:tr>
        <w:tc>
          <w:tcPr>
            <w:tcW w:type="dxa" w:w="2592"/>
            <w:vAlign w:val="center"/>
            <w:shd w:fill="F1F4FC"/>
          </w:tcPr>
          <w:p>
            <w:pPr>
              <w:spacing w:after="20"/>
            </w:pPr>
            <w:r/>
            <w:r>
              <w:rPr>
                <w:rFonts w:ascii="Aptos" w:hAnsi="Aptos"/>
                <w:b w:val="0"/>
                <w:sz w:val="16"/>
              </w:rPr>
              <w:t>/health</w:t>
            </w:r>
          </w:p>
        </w:tc>
        <w:tc>
          <w:tcPr>
            <w:tcW w:type="dxa" w:w="3600"/>
            <w:vAlign w:val="center"/>
            <w:shd w:fill="F1F4FC"/>
          </w:tcPr>
          <w:p>
            <w:pPr>
              <w:spacing w:after="20"/>
            </w:pPr>
            <w:r/>
            <w:r>
              <w:rPr>
                <w:rFonts w:ascii="Aptos" w:hAnsi="Aptos"/>
                <w:b w:val="0"/>
                <w:sz w:val="16"/>
              </w:rPr>
              <w:t>Called by the prototype's API test helper using GET.</w:t>
            </w:r>
          </w:p>
        </w:tc>
        <w:tc>
          <w:tcPr>
            <w:tcW w:type="dxa" w:w="4320"/>
            <w:vAlign w:val="center"/>
            <w:shd w:fill="F1F4FC"/>
          </w:tcPr>
          <w:p>
            <w:pPr>
              <w:spacing w:after="20"/>
            </w:pPr>
            <w:r/>
            <w:r>
              <w:rPr>
                <w:rFonts w:ascii="Aptos" w:hAnsi="Aptos"/>
                <w:b w:val="0"/>
                <w:sz w:val="16"/>
              </w:rPr>
              <w:t>Confirm whether API exposes a health endpoint and whether it checks database connectivity or only process availability.</w:t>
            </w:r>
          </w:p>
        </w:tc>
      </w:tr>
    </w:tbl>
    <w:p>
      <w:pPr>
        <w:spacing w:after="20"/>
      </w:pPr>
    </w:p>
    <w:p>
      <w:pPr>
        <w:pStyle w:val="Heading2"/>
      </w:pPr>
      <w:r>
        <w:t>9.1 API test checklist</w:t>
      </w:r>
    </w:p>
    <w:p>
      <w:pPr>
        <w:pStyle w:val="ListBullet"/>
        <w:spacing w:after="40"/>
      </w:pPr>
      <w:r>
        <w:t>Open Swagger/OpenAPI or inspect the actual controller/minimal API route definitions.</w:t>
      </w:r>
    </w:p>
    <w:p>
      <w:pPr>
        <w:pStyle w:val="ListBullet"/>
        <w:spacing w:after="40"/>
      </w:pPr>
      <w:r>
        <w:t>Test read endpoints before write operations and record a baseline.</w:t>
      </w:r>
    </w:p>
    <w:p>
      <w:pPr>
        <w:pStyle w:val="ListBullet"/>
        <w:spacing w:after="40"/>
      </w:pPr>
      <w:r>
        <w:t>Use the actual DTO field names and accepted enum values; do not copy example payloads without adaptation.</w:t>
      </w:r>
    </w:p>
    <w:p>
      <w:pPr>
        <w:pStyle w:val="ListBullet"/>
        <w:spacing w:after="40"/>
      </w:pPr>
      <w:r>
        <w:t>Test valid create/update requests, invalid IDs, missing fields, invalid dates, duplicate submissions and invalid relationships.</w:t>
      </w:r>
    </w:p>
    <w:p>
      <w:pPr>
        <w:pStyle w:val="ListBullet"/>
        <w:spacing w:after="40"/>
      </w:pPr>
      <w:r>
        <w:t>Verify HTTP status codes and error payloads; ensure stack traces and secrets are not returned to the browser.</w:t>
      </w:r>
    </w:p>
    <w:p>
      <w:pPr>
        <w:pStyle w:val="ListBullet"/>
        <w:spacing w:after="40"/>
      </w:pPr>
      <w:r>
        <w:t>After a successful write, query SQL Server and call the read endpoint again to confirm read-after-write consistency.</w:t>
      </w:r>
    </w:p>
    <w:p>
      <w:pPr>
        <w:pStyle w:val="ListBullet"/>
        <w:spacing w:after="40"/>
      </w:pPr>
      <w:r>
        <w:t>Test multi-record workflows for transaction/rollback behavior.</w:t>
      </w:r>
    </w:p>
    <w:p>
      <w:pPr>
        <w:pStyle w:val="ListBullet"/>
        <w:spacing w:after="40"/>
      </w:pPr>
      <w:r>
        <w:t>Confirm CORS, authentication and authorization policies in the deployed environment.</w:t>
      </w:r>
    </w:p>
    <w:p>
      <w:pPr>
        <w:pStyle w:val="Heading1"/>
      </w:pPr>
      <w:r>
        <w:t>10. User experience and visual design review</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3733A5"/>
          </w:tcPr>
          <w:p>
            <w:pPr>
              <w:spacing w:after="20"/>
            </w:pPr>
            <w:r/>
            <w:r>
              <w:rPr>
                <w:rFonts w:ascii="Aptos" w:hAnsi="Aptos"/>
                <w:b/>
                <w:color w:val="FFFFFF"/>
                <w:sz w:val="16"/>
              </w:rPr>
              <w:t>Design observation</w:t>
            </w:r>
          </w:p>
        </w:tc>
        <w:tc>
          <w:tcPr>
            <w:tcW w:type="dxa" w:w="3672"/>
            <w:vAlign w:val="center"/>
            <w:shd w:fill="3733A5"/>
          </w:tcPr>
          <w:p>
            <w:pPr>
              <w:spacing w:after="20"/>
            </w:pPr>
            <w:r/>
            <w:r>
              <w:rPr>
                <w:rFonts w:ascii="Aptos" w:hAnsi="Aptos"/>
                <w:b/>
                <w:color w:val="FFFFFF"/>
                <w:sz w:val="16"/>
              </w:rPr>
              <w:t>Strength</w:t>
            </w:r>
          </w:p>
        </w:tc>
        <w:tc>
          <w:tcPr>
            <w:tcW w:type="dxa" w:w="4464"/>
            <w:vAlign w:val="center"/>
            <w:shd w:fill="3733A5"/>
          </w:tcPr>
          <w:p>
            <w:pPr>
              <w:spacing w:after="20"/>
            </w:pPr>
            <w:r/>
            <w:r>
              <w:rPr>
                <w:rFonts w:ascii="Aptos" w:hAnsi="Aptos"/>
                <w:b/>
                <w:color w:val="FFFFFF"/>
                <w:sz w:val="16"/>
              </w:rPr>
              <w:t>Potential improvement / discussion</w:t>
            </w:r>
          </w:p>
        </w:tc>
      </w:tr>
      <w:tr>
        <w:tc>
          <w:tcPr>
            <w:tcW w:type="dxa" w:w="2376"/>
            <w:vAlign w:val="center"/>
          </w:tcPr>
          <w:p>
            <w:pPr>
              <w:spacing w:after="20"/>
            </w:pPr>
            <w:r/>
            <w:r>
              <w:rPr>
                <w:rFonts w:ascii="Aptos" w:hAnsi="Aptos"/>
                <w:b w:val="0"/>
                <w:sz w:val="16"/>
              </w:rPr>
              <w:t>Navigation bar stays at the top</w:t>
            </w:r>
          </w:p>
        </w:tc>
        <w:tc>
          <w:tcPr>
            <w:tcW w:type="dxa" w:w="3672"/>
            <w:vAlign w:val="center"/>
          </w:tcPr>
          <w:p>
            <w:pPr>
              <w:spacing w:after="20"/>
            </w:pPr>
            <w:r/>
            <w:r>
              <w:rPr>
                <w:rFonts w:ascii="Aptos" w:hAnsi="Aptos"/>
                <w:b w:val="0"/>
                <w:sz w:val="16"/>
              </w:rPr>
              <w:t>Easy movement among Dashboard, Meetings, Actions and Admin.</w:t>
            </w:r>
          </w:p>
        </w:tc>
        <w:tc>
          <w:tcPr>
            <w:tcW w:type="dxa" w:w="4464"/>
            <w:vAlign w:val="center"/>
          </w:tcPr>
          <w:p>
            <w:pPr>
              <w:spacing w:after="20"/>
            </w:pPr>
            <w:r/>
            <w:r>
              <w:rPr>
                <w:rFonts w:ascii="Aptos" w:hAnsi="Aptos"/>
                <w:b w:val="0"/>
                <w:sz w:val="16"/>
              </w:rPr>
              <w:t>Verify mobile/tablet behavior and keyboard focus order.</w:t>
            </w:r>
          </w:p>
        </w:tc>
      </w:tr>
      <w:tr>
        <w:tc>
          <w:tcPr>
            <w:tcW w:type="dxa" w:w="2376"/>
            <w:vAlign w:val="center"/>
            <w:shd w:fill="F1F4FC"/>
          </w:tcPr>
          <w:p>
            <w:pPr>
              <w:spacing w:after="20"/>
            </w:pPr>
            <w:r/>
            <w:r>
              <w:rPr>
                <w:rFonts w:ascii="Aptos" w:hAnsi="Aptos"/>
                <w:b w:val="0"/>
                <w:sz w:val="16"/>
              </w:rPr>
              <w:t>Purple primary Meeting action</w:t>
            </w:r>
          </w:p>
        </w:tc>
        <w:tc>
          <w:tcPr>
            <w:tcW w:type="dxa" w:w="3672"/>
            <w:vAlign w:val="center"/>
            <w:shd w:fill="F1F4FC"/>
          </w:tcPr>
          <w:p>
            <w:pPr>
              <w:spacing w:after="20"/>
            </w:pPr>
            <w:r/>
            <w:r>
              <w:rPr>
                <w:rFonts w:ascii="Aptos" w:hAnsi="Aptos"/>
                <w:b w:val="0"/>
                <w:sz w:val="16"/>
              </w:rPr>
              <w:t>Strong visual emphasis on the main workflow.</w:t>
            </w:r>
          </w:p>
        </w:tc>
        <w:tc>
          <w:tcPr>
            <w:tcW w:type="dxa" w:w="4464"/>
            <w:vAlign w:val="center"/>
            <w:shd w:fill="F1F4FC"/>
          </w:tcPr>
          <w:p>
            <w:pPr>
              <w:spacing w:after="20"/>
            </w:pPr>
            <w:r/>
            <w:r>
              <w:rPr>
                <w:rFonts w:ascii="Aptos" w:hAnsi="Aptos"/>
                <w:b w:val="0"/>
                <w:sz w:val="16"/>
              </w:rPr>
              <w:t>Ensure primary action is accessible and not duplicated confusingly.</w:t>
            </w:r>
          </w:p>
        </w:tc>
      </w:tr>
      <w:tr>
        <w:tc>
          <w:tcPr>
            <w:tcW w:type="dxa" w:w="2376"/>
            <w:vAlign w:val="center"/>
          </w:tcPr>
          <w:p>
            <w:pPr>
              <w:spacing w:after="20"/>
            </w:pPr>
            <w:r/>
            <w:r>
              <w:rPr>
                <w:rFonts w:ascii="Aptos" w:hAnsi="Aptos"/>
                <w:b w:val="0"/>
                <w:sz w:val="16"/>
              </w:rPr>
              <w:t>White cards on pale background</w:t>
            </w:r>
          </w:p>
        </w:tc>
        <w:tc>
          <w:tcPr>
            <w:tcW w:type="dxa" w:w="3672"/>
            <w:vAlign w:val="center"/>
          </w:tcPr>
          <w:p>
            <w:pPr>
              <w:spacing w:after="20"/>
            </w:pPr>
            <w:r/>
            <w:r>
              <w:rPr>
                <w:rFonts w:ascii="Aptos" w:hAnsi="Aptos"/>
                <w:b w:val="0"/>
                <w:sz w:val="16"/>
              </w:rPr>
              <w:t>Clear grouping and a clean enterprise feel.</w:t>
            </w:r>
          </w:p>
        </w:tc>
        <w:tc>
          <w:tcPr>
            <w:tcW w:type="dxa" w:w="4464"/>
            <w:vAlign w:val="center"/>
          </w:tcPr>
          <w:p>
            <w:pPr>
              <w:spacing w:after="20"/>
            </w:pPr>
            <w:r/>
            <w:r>
              <w:rPr>
                <w:rFonts w:ascii="Aptos" w:hAnsi="Aptos"/>
                <w:b w:val="0"/>
                <w:sz w:val="16"/>
              </w:rPr>
              <w:t>Keep contrast and spacing consistent at different viewport widths.</w:t>
            </w:r>
          </w:p>
        </w:tc>
      </w:tr>
      <w:tr>
        <w:tc>
          <w:tcPr>
            <w:tcW w:type="dxa" w:w="2376"/>
            <w:vAlign w:val="center"/>
            <w:shd w:fill="F1F4FC"/>
          </w:tcPr>
          <w:p>
            <w:pPr>
              <w:spacing w:after="20"/>
            </w:pPr>
            <w:r/>
            <w:r>
              <w:rPr>
                <w:rFonts w:ascii="Aptos" w:hAnsi="Aptos"/>
                <w:b w:val="0"/>
                <w:sz w:val="16"/>
              </w:rPr>
              <w:t>Health colors Green/Yellow/Orange/Red</w:t>
            </w:r>
          </w:p>
        </w:tc>
        <w:tc>
          <w:tcPr>
            <w:tcW w:type="dxa" w:w="3672"/>
            <w:vAlign w:val="center"/>
            <w:shd w:fill="F1F4FC"/>
          </w:tcPr>
          <w:p>
            <w:pPr>
              <w:spacing w:after="20"/>
            </w:pPr>
            <w:r/>
            <w:r>
              <w:rPr>
                <w:rFonts w:ascii="Aptos" w:hAnsi="Aptos"/>
                <w:b w:val="0"/>
                <w:sz w:val="16"/>
              </w:rPr>
              <w:t>Fast visual scanning of risk.</w:t>
            </w:r>
          </w:p>
        </w:tc>
        <w:tc>
          <w:tcPr>
            <w:tcW w:type="dxa" w:w="4464"/>
            <w:vAlign w:val="center"/>
            <w:shd w:fill="F1F4FC"/>
          </w:tcPr>
          <w:p>
            <w:pPr>
              <w:spacing w:after="20"/>
            </w:pPr>
            <w:r/>
            <w:r>
              <w:rPr>
                <w:rFonts w:ascii="Aptos" w:hAnsi="Aptos"/>
                <w:b w:val="0"/>
                <w:sz w:val="16"/>
              </w:rPr>
              <w:t>Never rely on color alone; retain text labels, icons or accessible status descriptions.</w:t>
            </w:r>
          </w:p>
        </w:tc>
      </w:tr>
      <w:tr>
        <w:tc>
          <w:tcPr>
            <w:tcW w:type="dxa" w:w="2376"/>
            <w:vAlign w:val="center"/>
          </w:tcPr>
          <w:p>
            <w:pPr>
              <w:spacing w:after="20"/>
            </w:pPr>
            <w:r/>
            <w:r>
              <w:rPr>
                <w:rFonts w:ascii="Aptos" w:hAnsi="Aptos"/>
                <w:b w:val="0"/>
                <w:sz w:val="16"/>
              </w:rPr>
              <w:t>Dense tables with pagination</w:t>
            </w:r>
          </w:p>
        </w:tc>
        <w:tc>
          <w:tcPr>
            <w:tcW w:type="dxa" w:w="3672"/>
            <w:vAlign w:val="center"/>
          </w:tcPr>
          <w:p>
            <w:pPr>
              <w:spacing w:after="20"/>
            </w:pPr>
            <w:r/>
            <w:r>
              <w:rPr>
                <w:rFonts w:ascii="Aptos" w:hAnsi="Aptos"/>
                <w:b w:val="0"/>
                <w:sz w:val="16"/>
              </w:rPr>
              <w:t>Supports large contract and action registers.</w:t>
            </w:r>
          </w:p>
        </w:tc>
        <w:tc>
          <w:tcPr>
            <w:tcW w:type="dxa" w:w="4464"/>
            <w:vAlign w:val="center"/>
          </w:tcPr>
          <w:p>
            <w:pPr>
              <w:spacing w:after="20"/>
            </w:pPr>
            <w:r/>
            <w:r>
              <w:rPr>
                <w:rFonts w:ascii="Aptos" w:hAnsi="Aptos"/>
                <w:b w:val="0"/>
                <w:sz w:val="16"/>
              </w:rPr>
              <w:t>Confirm sorting, paging, empty states, loading states and responsive horizontal scrolling.</w:t>
            </w:r>
          </w:p>
        </w:tc>
      </w:tr>
      <w:tr>
        <w:tc>
          <w:tcPr>
            <w:tcW w:type="dxa" w:w="2376"/>
            <w:vAlign w:val="center"/>
            <w:shd w:fill="F1F4FC"/>
          </w:tcPr>
          <w:p>
            <w:pPr>
              <w:spacing w:after="20"/>
            </w:pPr>
            <w:r/>
            <w:r>
              <w:rPr>
                <w:rFonts w:ascii="Aptos" w:hAnsi="Aptos"/>
                <w:b w:val="0"/>
                <w:sz w:val="16"/>
              </w:rPr>
              <w:t>Circular gauges and progress bars</w:t>
            </w:r>
          </w:p>
        </w:tc>
        <w:tc>
          <w:tcPr>
            <w:tcW w:type="dxa" w:w="3672"/>
            <w:vAlign w:val="center"/>
            <w:shd w:fill="F1F4FC"/>
          </w:tcPr>
          <w:p>
            <w:pPr>
              <w:spacing w:after="20"/>
            </w:pPr>
            <w:r/>
            <w:r>
              <w:rPr>
                <w:rFonts w:ascii="Aptos" w:hAnsi="Aptos"/>
                <w:b w:val="0"/>
                <w:sz w:val="16"/>
              </w:rPr>
              <w:t>Quickly communicate scores and percentages.</w:t>
            </w:r>
          </w:p>
        </w:tc>
        <w:tc>
          <w:tcPr>
            <w:tcW w:type="dxa" w:w="4464"/>
            <w:vAlign w:val="center"/>
            <w:shd w:fill="F1F4FC"/>
          </w:tcPr>
          <w:p>
            <w:pPr>
              <w:spacing w:after="20"/>
            </w:pPr>
            <w:r/>
            <w:r>
              <w:rPr>
                <w:rFonts w:ascii="Aptos" w:hAnsi="Aptos"/>
                <w:b w:val="0"/>
                <w:sz w:val="16"/>
              </w:rPr>
              <w:t>Add accessible text values and document whether scores are current, average or weighted.</w:t>
            </w:r>
          </w:p>
        </w:tc>
      </w:tr>
      <w:tr>
        <w:tc>
          <w:tcPr>
            <w:tcW w:type="dxa" w:w="2376"/>
            <w:vAlign w:val="center"/>
          </w:tcPr>
          <w:p>
            <w:pPr>
              <w:spacing w:after="20"/>
            </w:pPr>
            <w:r/>
            <w:r>
              <w:rPr>
                <w:rFonts w:ascii="Aptos" w:hAnsi="Aptos"/>
                <w:b w:val="0"/>
                <w:sz w:val="16"/>
              </w:rPr>
              <w:t>Reset and Export controls</w:t>
            </w:r>
          </w:p>
        </w:tc>
        <w:tc>
          <w:tcPr>
            <w:tcW w:type="dxa" w:w="3672"/>
            <w:vAlign w:val="center"/>
          </w:tcPr>
          <w:p>
            <w:pPr>
              <w:spacing w:after="20"/>
            </w:pPr>
            <w:r/>
            <w:r>
              <w:rPr>
                <w:rFonts w:ascii="Aptos" w:hAnsi="Aptos"/>
                <w:b w:val="0"/>
                <w:sz w:val="16"/>
              </w:rPr>
              <w:t>Supports quick recovery and offline analysis.</w:t>
            </w:r>
          </w:p>
        </w:tc>
        <w:tc>
          <w:tcPr>
            <w:tcW w:type="dxa" w:w="4464"/>
            <w:vAlign w:val="center"/>
          </w:tcPr>
          <w:p>
            <w:pPr>
              <w:spacing w:after="20"/>
            </w:pPr>
            <w:r/>
            <w:r>
              <w:rPr>
                <w:rFonts w:ascii="Aptos" w:hAnsi="Aptos"/>
                <w:b w:val="0"/>
                <w:sz w:val="16"/>
              </w:rPr>
              <w:t>Make export scope explicit and protect sensitive fields.</w:t>
            </w:r>
          </w:p>
        </w:tc>
      </w:tr>
      <w:tr>
        <w:tc>
          <w:tcPr>
            <w:tcW w:type="dxa" w:w="2376"/>
            <w:vAlign w:val="center"/>
            <w:shd w:fill="F1F4FC"/>
          </w:tcPr>
          <w:p>
            <w:pPr>
              <w:spacing w:after="20"/>
            </w:pPr>
            <w:r/>
            <w:r>
              <w:rPr>
                <w:rFonts w:ascii="Aptos" w:hAnsi="Aptos"/>
                <w:b w:val="0"/>
                <w:sz w:val="16"/>
              </w:rPr>
              <w:t>Admin inline forms</w:t>
            </w:r>
          </w:p>
        </w:tc>
        <w:tc>
          <w:tcPr>
            <w:tcW w:type="dxa" w:w="3672"/>
            <w:vAlign w:val="center"/>
            <w:shd w:fill="F1F4FC"/>
          </w:tcPr>
          <w:p>
            <w:pPr>
              <w:spacing w:after="20"/>
            </w:pPr>
            <w:r/>
            <w:r>
              <w:rPr>
                <w:rFonts w:ascii="Aptos" w:hAnsi="Aptos"/>
                <w:b w:val="0"/>
                <w:sz w:val="16"/>
              </w:rPr>
              <w:t>Quickly maintain master data.</w:t>
            </w:r>
          </w:p>
        </w:tc>
        <w:tc>
          <w:tcPr>
            <w:tcW w:type="dxa" w:w="4464"/>
            <w:vAlign w:val="center"/>
            <w:shd w:fill="F1F4FC"/>
          </w:tcPr>
          <w:p>
            <w:pPr>
              <w:spacing w:after="20"/>
            </w:pPr>
            <w:r/>
            <w:r>
              <w:rPr>
                <w:rFonts w:ascii="Aptos" w:hAnsi="Aptos"/>
                <w:b w:val="0"/>
                <w:sz w:val="16"/>
              </w:rPr>
              <w:t>Add confirmation, duplicate checks, validation messages and audit trail.</w:t>
            </w:r>
          </w:p>
        </w:tc>
      </w:tr>
    </w:tbl>
    <w:p>
      <w:pPr>
        <w:spacing w:after="20"/>
      </w:pPr>
    </w:p>
    <w:p>
      <w:pPr>
        <w:pStyle w:val="Heading1"/>
      </w:pPr>
      <w:r>
        <w:t>11. Risks, gaps and recommendations</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3733A5"/>
          </w:tcPr>
          <w:p>
            <w:pPr>
              <w:spacing w:after="20"/>
            </w:pPr>
            <w:r/>
            <w:r>
              <w:rPr>
                <w:rFonts w:ascii="Aptos" w:hAnsi="Aptos"/>
                <w:b/>
                <w:color w:val="FFFFFF"/>
                <w:sz w:val="16"/>
              </w:rPr>
              <w:t>Priority</w:t>
            </w:r>
          </w:p>
        </w:tc>
        <w:tc>
          <w:tcPr>
            <w:tcW w:type="dxa" w:w="4464"/>
            <w:vAlign w:val="center"/>
            <w:shd w:fill="3733A5"/>
          </w:tcPr>
          <w:p>
            <w:pPr>
              <w:spacing w:after="20"/>
            </w:pPr>
            <w:r/>
            <w:r>
              <w:rPr>
                <w:rFonts w:ascii="Aptos" w:hAnsi="Aptos"/>
                <w:b/>
                <w:color w:val="FFFFFF"/>
                <w:sz w:val="16"/>
              </w:rPr>
              <w:t>Observation / risk</w:t>
            </w:r>
          </w:p>
        </w:tc>
        <w:tc>
          <w:tcPr>
            <w:tcW w:type="dxa" w:w="4896"/>
            <w:vAlign w:val="center"/>
            <w:shd w:fill="3733A5"/>
          </w:tcPr>
          <w:p>
            <w:pPr>
              <w:spacing w:after="20"/>
            </w:pPr>
            <w:r/>
            <w:r>
              <w:rPr>
                <w:rFonts w:ascii="Aptos" w:hAnsi="Aptos"/>
                <w:b/>
                <w:color w:val="FFFFFF"/>
                <w:sz w:val="16"/>
              </w:rPr>
              <w:t>Recommendation</w:t>
            </w:r>
          </w:p>
        </w:tc>
      </w:tr>
      <w:tr>
        <w:tc>
          <w:tcPr>
            <w:tcW w:type="dxa" w:w="1152"/>
            <w:vAlign w:val="center"/>
          </w:tcPr>
          <w:p>
            <w:pPr>
              <w:spacing w:after="20"/>
            </w:pPr>
            <w:r/>
            <w:r>
              <w:rPr>
                <w:rFonts w:ascii="Aptos" w:hAnsi="Aptos"/>
                <w:b w:val="0"/>
                <w:sz w:val="16"/>
              </w:rPr>
              <w:t>High</w:t>
            </w:r>
          </w:p>
        </w:tc>
        <w:tc>
          <w:tcPr>
            <w:tcW w:type="dxa" w:w="4464"/>
            <w:vAlign w:val="center"/>
          </w:tcPr>
          <w:p>
            <w:pPr>
              <w:spacing w:after="20"/>
            </w:pPr>
            <w:r/>
            <w:r>
              <w:rPr>
                <w:rFonts w:ascii="Aptos" w:hAnsi="Aptos"/>
                <w:b w:val="0"/>
                <w:sz w:val="16"/>
              </w:rPr>
              <w:t>HTML prototype defaults to localStorage and demo data; this can be mistaken for SQL-backed live data.</w:t>
            </w:r>
          </w:p>
        </w:tc>
        <w:tc>
          <w:tcPr>
            <w:tcW w:type="dxa" w:w="4896"/>
            <w:vAlign w:val="center"/>
          </w:tcPr>
          <w:p>
            <w:pPr>
              <w:spacing w:after="20"/>
            </w:pPr>
            <w:r/>
            <w:r>
              <w:rPr>
                <w:rFonts w:ascii="Aptos" w:hAnsi="Aptos"/>
                <w:b w:val="0"/>
                <w:sz w:val="16"/>
              </w:rPr>
              <w:t>Clearly label demo/local mode. In production, show API connection status, data timestamp and a visible failure state.</w:t>
            </w:r>
          </w:p>
        </w:tc>
      </w:tr>
      <w:tr>
        <w:tc>
          <w:tcPr>
            <w:tcW w:type="dxa" w:w="1152"/>
            <w:vAlign w:val="center"/>
            <w:shd w:fill="F1F4FC"/>
          </w:tcPr>
          <w:p>
            <w:pPr>
              <w:spacing w:after="20"/>
            </w:pPr>
            <w:r/>
            <w:r>
              <w:rPr>
                <w:rFonts w:ascii="Aptos" w:hAnsi="Aptos"/>
                <w:b w:val="0"/>
                <w:sz w:val="16"/>
              </w:rPr>
              <w:t>High</w:t>
            </w:r>
          </w:p>
        </w:tc>
        <w:tc>
          <w:tcPr>
            <w:tcW w:type="dxa" w:w="4464"/>
            <w:vAlign w:val="center"/>
            <w:shd w:fill="F1F4FC"/>
          </w:tcPr>
          <w:p>
            <w:pPr>
              <w:spacing w:after="20"/>
            </w:pPr>
            <w:r/>
            <w:r>
              <w:rPr>
                <w:rFonts w:ascii="Aptos" w:hAnsi="Aptos"/>
                <w:b w:val="0"/>
                <w:sz w:val="16"/>
              </w:rPr>
              <w:t>API failure path can retain local edits in the prototype.</w:t>
            </w:r>
          </w:p>
        </w:tc>
        <w:tc>
          <w:tcPr>
            <w:tcW w:type="dxa" w:w="4896"/>
            <w:vAlign w:val="center"/>
            <w:shd w:fill="F1F4FC"/>
          </w:tcPr>
          <w:p>
            <w:pPr>
              <w:spacing w:after="20"/>
            </w:pPr>
            <w:r/>
            <w:r>
              <w:rPr>
                <w:rFonts w:ascii="Aptos" w:hAnsi="Aptos"/>
                <w:b w:val="0"/>
                <w:sz w:val="16"/>
              </w:rPr>
              <w:t>Define whether the production app is online-only or offline-capable. Avoid implying data is saved server-side when it is not.</w:t>
            </w:r>
          </w:p>
        </w:tc>
      </w:tr>
      <w:tr>
        <w:tc>
          <w:tcPr>
            <w:tcW w:type="dxa" w:w="1152"/>
            <w:vAlign w:val="center"/>
          </w:tcPr>
          <w:p>
            <w:pPr>
              <w:spacing w:after="20"/>
            </w:pPr>
            <w:r/>
            <w:r>
              <w:rPr>
                <w:rFonts w:ascii="Aptos" w:hAnsi="Aptos"/>
                <w:b w:val="0"/>
                <w:sz w:val="16"/>
              </w:rPr>
              <w:t>High</w:t>
            </w:r>
          </w:p>
        </w:tc>
        <w:tc>
          <w:tcPr>
            <w:tcW w:type="dxa" w:w="4464"/>
            <w:vAlign w:val="center"/>
          </w:tcPr>
          <w:p>
            <w:pPr>
              <w:spacing w:after="20"/>
            </w:pPr>
            <w:r/>
            <w:r>
              <w:rPr>
                <w:rFonts w:ascii="Aptos" w:hAnsi="Aptos"/>
                <w:b w:val="0"/>
                <w:sz w:val="16"/>
              </w:rPr>
              <w:t>Health score and category use different logic.</w:t>
            </w:r>
          </w:p>
        </w:tc>
        <w:tc>
          <w:tcPr>
            <w:tcW w:type="dxa" w:w="4896"/>
            <w:vAlign w:val="center"/>
          </w:tcPr>
          <w:p>
            <w:pPr>
              <w:spacing w:after="20"/>
            </w:pPr>
            <w:r/>
            <w:r>
              <w:rPr>
                <w:rFonts w:ascii="Aptos" w:hAnsi="Aptos"/>
                <w:b w:val="0"/>
                <w:sz w:val="16"/>
              </w:rPr>
              <w:t>Document both formulas, get business approval, and add automated tests for representative records.</w:t>
            </w:r>
          </w:p>
        </w:tc>
      </w:tr>
      <w:tr>
        <w:tc>
          <w:tcPr>
            <w:tcW w:type="dxa" w:w="1152"/>
            <w:vAlign w:val="center"/>
            <w:shd w:fill="F1F4FC"/>
          </w:tcPr>
          <w:p>
            <w:pPr>
              <w:spacing w:after="20"/>
            </w:pPr>
            <w:r/>
            <w:r>
              <w:rPr>
                <w:rFonts w:ascii="Aptos" w:hAnsi="Aptos"/>
                <w:b w:val="0"/>
                <w:sz w:val="16"/>
              </w:rPr>
              <w:t>High</w:t>
            </w:r>
          </w:p>
        </w:tc>
        <w:tc>
          <w:tcPr>
            <w:tcW w:type="dxa" w:w="4464"/>
            <w:vAlign w:val="center"/>
            <w:shd w:fill="F1F4FC"/>
          </w:tcPr>
          <w:p>
            <w:pPr>
              <w:spacing w:after="20"/>
            </w:pPr>
            <w:r/>
            <w:r>
              <w:rPr>
                <w:rFonts w:ascii="Aptos" w:hAnsi="Aptos"/>
                <w:b w:val="0"/>
                <w:sz w:val="16"/>
              </w:rPr>
              <w:t>Screenshot category counts total 197 while contracts show 198.</w:t>
            </w:r>
          </w:p>
        </w:tc>
        <w:tc>
          <w:tcPr>
            <w:tcW w:type="dxa" w:w="4896"/>
            <w:vAlign w:val="center"/>
            <w:shd w:fill="F1F4FC"/>
          </w:tcPr>
          <w:p>
            <w:pPr>
              <w:spacing w:after="20"/>
            </w:pPr>
            <w:r/>
            <w:r>
              <w:rPr>
                <w:rFonts w:ascii="Aptos" w:hAnsi="Aptos"/>
                <w:b w:val="0"/>
                <w:sz w:val="16"/>
              </w:rPr>
              <w:t>Explain as likely unassessed/different-scope item and reconcile against actual data before presentation.</w:t>
            </w:r>
          </w:p>
        </w:tc>
      </w:tr>
      <w:tr>
        <w:tc>
          <w:tcPr>
            <w:tcW w:type="dxa" w:w="1152"/>
            <w:vAlign w:val="center"/>
          </w:tcPr>
          <w:p>
            <w:pPr>
              <w:spacing w:after="20"/>
            </w:pPr>
            <w:r/>
            <w:r>
              <w:rPr>
                <w:rFonts w:ascii="Aptos" w:hAnsi="Aptos"/>
                <w:b w:val="0"/>
                <w:sz w:val="16"/>
              </w:rPr>
              <w:t>High</w:t>
            </w:r>
          </w:p>
        </w:tc>
        <w:tc>
          <w:tcPr>
            <w:tcW w:type="dxa" w:w="4464"/>
            <w:vAlign w:val="center"/>
          </w:tcPr>
          <w:p>
            <w:pPr>
              <w:spacing w:after="20"/>
            </w:pPr>
            <w:r/>
            <w:r>
              <w:rPr>
                <w:rFonts w:ascii="Aptos" w:hAnsi="Aptos"/>
                <w:b w:val="0"/>
                <w:sz w:val="16"/>
              </w:rPr>
              <w:t>Exact production routes, SQL schema and data lineage are not included in the supplied HTML.</w:t>
            </w:r>
          </w:p>
        </w:tc>
        <w:tc>
          <w:tcPr>
            <w:tcW w:type="dxa" w:w="4896"/>
            <w:vAlign w:val="center"/>
          </w:tcPr>
          <w:p>
            <w:pPr>
              <w:spacing w:after="20"/>
            </w:pPr>
            <w:r/>
            <w:r>
              <w:rPr>
                <w:rFonts w:ascii="Aptos" w:hAnsi="Aptos"/>
                <w:b w:val="0"/>
                <w:sz w:val="16"/>
              </w:rPr>
              <w:t>Create an endpoint-to-table mapping and a data dictionary from actual Angular/.NET/SQL sources.</w:t>
            </w:r>
          </w:p>
        </w:tc>
      </w:tr>
      <w:tr>
        <w:tc>
          <w:tcPr>
            <w:tcW w:type="dxa" w:w="1152"/>
            <w:vAlign w:val="center"/>
            <w:shd w:fill="F1F4FC"/>
          </w:tcPr>
          <w:p>
            <w:pPr>
              <w:spacing w:after="20"/>
            </w:pPr>
            <w:r/>
            <w:r>
              <w:rPr>
                <w:rFonts w:ascii="Aptos" w:hAnsi="Aptos"/>
                <w:b w:val="0"/>
                <w:sz w:val="16"/>
              </w:rPr>
              <w:t>Medium</w:t>
            </w:r>
          </w:p>
        </w:tc>
        <w:tc>
          <w:tcPr>
            <w:tcW w:type="dxa" w:w="4464"/>
            <w:vAlign w:val="center"/>
            <w:shd w:fill="F1F4FC"/>
          </w:tcPr>
          <w:p>
            <w:pPr>
              <w:spacing w:after="20"/>
            </w:pPr>
            <w:r/>
            <w:r>
              <w:rPr>
                <w:rFonts w:ascii="Aptos" w:hAnsi="Aptos"/>
                <w:b w:val="0"/>
                <w:sz w:val="16"/>
              </w:rPr>
              <w:t>Some dashboard insight functions fall back to all contracts when filtered data is empty.</w:t>
            </w:r>
          </w:p>
        </w:tc>
        <w:tc>
          <w:tcPr>
            <w:tcW w:type="dxa" w:w="4896"/>
            <w:vAlign w:val="center"/>
            <w:shd w:fill="F1F4FC"/>
          </w:tcPr>
          <w:p>
            <w:pPr>
              <w:spacing w:after="20"/>
            </w:pPr>
            <w:r/>
            <w:r>
              <w:rPr>
                <w:rFonts w:ascii="Aptos" w:hAnsi="Aptos"/>
                <w:b w:val="0"/>
                <w:sz w:val="16"/>
              </w:rPr>
              <w:t>Decide whether empty filters should show zero/empty state or unfiltered insights; align all sections consistently.</w:t>
            </w:r>
          </w:p>
        </w:tc>
      </w:tr>
      <w:tr>
        <w:tc>
          <w:tcPr>
            <w:tcW w:type="dxa" w:w="1152"/>
            <w:vAlign w:val="center"/>
          </w:tcPr>
          <w:p>
            <w:pPr>
              <w:spacing w:after="20"/>
            </w:pPr>
            <w:r/>
            <w:r>
              <w:rPr>
                <w:rFonts w:ascii="Aptos" w:hAnsi="Aptos"/>
                <w:b w:val="0"/>
                <w:sz w:val="16"/>
              </w:rPr>
              <w:t>Medium</w:t>
            </w:r>
          </w:p>
        </w:tc>
        <w:tc>
          <w:tcPr>
            <w:tcW w:type="dxa" w:w="4464"/>
            <w:vAlign w:val="center"/>
          </w:tcPr>
          <w:p>
            <w:pPr>
              <w:spacing w:after="20"/>
            </w:pPr>
            <w:r/>
            <w:r>
              <w:rPr>
                <w:rFonts w:ascii="Aptos" w:hAnsi="Aptos"/>
                <w:b w:val="0"/>
                <w:sz w:val="16"/>
              </w:rPr>
              <w:t>Dashboard labels such as Due, Tracker ready, Booked and KPI Missing may be ambiguous.</w:t>
            </w:r>
          </w:p>
        </w:tc>
        <w:tc>
          <w:tcPr>
            <w:tcW w:type="dxa" w:w="4896"/>
            <w:vAlign w:val="center"/>
          </w:tcPr>
          <w:p>
            <w:pPr>
              <w:spacing w:after="20"/>
            </w:pPr>
            <w:r/>
            <w:r>
              <w:rPr>
                <w:rFonts w:ascii="Aptos" w:hAnsi="Aptos"/>
                <w:b w:val="0"/>
                <w:sz w:val="16"/>
              </w:rPr>
              <w:t>Add metric definitions/tooltips and an owner-approved glossary.</w:t>
            </w:r>
          </w:p>
        </w:tc>
      </w:tr>
      <w:tr>
        <w:tc>
          <w:tcPr>
            <w:tcW w:type="dxa" w:w="1152"/>
            <w:vAlign w:val="center"/>
            <w:shd w:fill="F1F4FC"/>
          </w:tcPr>
          <w:p>
            <w:pPr>
              <w:spacing w:after="20"/>
            </w:pPr>
            <w:r/>
            <w:r>
              <w:rPr>
                <w:rFonts w:ascii="Aptos" w:hAnsi="Aptos"/>
                <w:b w:val="0"/>
                <w:sz w:val="16"/>
              </w:rPr>
              <w:t>Medium</w:t>
            </w:r>
          </w:p>
        </w:tc>
        <w:tc>
          <w:tcPr>
            <w:tcW w:type="dxa" w:w="4464"/>
            <w:vAlign w:val="center"/>
            <w:shd w:fill="F1F4FC"/>
          </w:tcPr>
          <w:p>
            <w:pPr>
              <w:spacing w:after="20"/>
            </w:pPr>
            <w:r/>
            <w:r>
              <w:rPr>
                <w:rFonts w:ascii="Aptos" w:hAnsi="Aptos"/>
                <w:b w:val="0"/>
                <w:sz w:val="16"/>
              </w:rPr>
              <w:t>Remove controls may impact auditability or linked records.</w:t>
            </w:r>
          </w:p>
        </w:tc>
        <w:tc>
          <w:tcPr>
            <w:tcW w:type="dxa" w:w="4896"/>
            <w:vAlign w:val="center"/>
            <w:shd w:fill="F1F4FC"/>
          </w:tcPr>
          <w:p>
            <w:pPr>
              <w:spacing w:after="20"/>
            </w:pPr>
            <w:r/>
            <w:r>
              <w:rPr>
                <w:rFonts w:ascii="Aptos" w:hAnsi="Aptos"/>
                <w:b w:val="0"/>
                <w:sz w:val="16"/>
              </w:rPr>
              <w:t>Use soft delete/archive where appropriate and record who changed what and when.</w:t>
            </w:r>
          </w:p>
        </w:tc>
      </w:tr>
      <w:tr>
        <w:tc>
          <w:tcPr>
            <w:tcW w:type="dxa" w:w="1152"/>
            <w:vAlign w:val="center"/>
          </w:tcPr>
          <w:p>
            <w:pPr>
              <w:spacing w:after="20"/>
            </w:pPr>
            <w:r/>
            <w:r>
              <w:rPr>
                <w:rFonts w:ascii="Aptos" w:hAnsi="Aptos"/>
                <w:b w:val="0"/>
                <w:sz w:val="16"/>
              </w:rPr>
              <w:t>Medium</w:t>
            </w:r>
          </w:p>
        </w:tc>
        <w:tc>
          <w:tcPr>
            <w:tcW w:type="dxa" w:w="4464"/>
            <w:vAlign w:val="center"/>
          </w:tcPr>
          <w:p>
            <w:pPr>
              <w:spacing w:after="20"/>
            </w:pPr>
            <w:r/>
            <w:r>
              <w:rPr>
                <w:rFonts w:ascii="Aptos" w:hAnsi="Aptos"/>
                <w:b w:val="0"/>
                <w:sz w:val="16"/>
              </w:rPr>
              <w:t>CSV export includes sensitive account and performance data.</w:t>
            </w:r>
          </w:p>
        </w:tc>
        <w:tc>
          <w:tcPr>
            <w:tcW w:type="dxa" w:w="4896"/>
            <w:vAlign w:val="center"/>
          </w:tcPr>
          <w:p>
            <w:pPr>
              <w:spacing w:after="20"/>
            </w:pPr>
            <w:r/>
            <w:r>
              <w:rPr>
                <w:rFonts w:ascii="Aptos" w:hAnsi="Aptos"/>
                <w:b w:val="0"/>
                <w:sz w:val="16"/>
              </w:rPr>
              <w:t>Apply server-side authorization and export field restrictions; audit export activity if required.</w:t>
            </w:r>
          </w:p>
        </w:tc>
      </w:tr>
      <w:tr>
        <w:tc>
          <w:tcPr>
            <w:tcW w:type="dxa" w:w="1152"/>
            <w:vAlign w:val="center"/>
            <w:shd w:fill="F1F4FC"/>
          </w:tcPr>
          <w:p>
            <w:pPr>
              <w:spacing w:after="20"/>
            </w:pPr>
            <w:r/>
            <w:r>
              <w:rPr>
                <w:rFonts w:ascii="Aptos" w:hAnsi="Aptos"/>
                <w:b w:val="0"/>
                <w:sz w:val="16"/>
              </w:rPr>
              <w:t>Medium</w:t>
            </w:r>
          </w:p>
        </w:tc>
        <w:tc>
          <w:tcPr>
            <w:tcW w:type="dxa" w:w="4464"/>
            <w:vAlign w:val="center"/>
            <w:shd w:fill="F1F4FC"/>
          </w:tcPr>
          <w:p>
            <w:pPr>
              <w:spacing w:after="20"/>
            </w:pPr>
            <w:r/>
            <w:r>
              <w:rPr>
                <w:rFonts w:ascii="Aptos" w:hAnsi="Aptos"/>
                <w:b w:val="0"/>
                <w:sz w:val="16"/>
              </w:rPr>
              <w:t>No production runtime/API/database artifacts were provided for direct inspection.</w:t>
            </w:r>
          </w:p>
        </w:tc>
        <w:tc>
          <w:tcPr>
            <w:tcW w:type="dxa" w:w="4896"/>
            <w:vAlign w:val="center"/>
            <w:shd w:fill="F1F4FC"/>
          </w:tcPr>
          <w:p>
            <w:pPr>
              <w:spacing w:after="20"/>
            </w:pPr>
            <w:r/>
            <w:r>
              <w:rPr>
                <w:rFonts w:ascii="Aptos" w:hAnsi="Aptos"/>
                <w:b w:val="0"/>
                <w:sz w:val="16"/>
              </w:rPr>
              <w:t>Complete an evidence-based technical walkthrough using source repositories, Swagger and database schema.</w:t>
            </w:r>
          </w:p>
        </w:tc>
      </w:tr>
    </w:tbl>
    <w:p>
      <w:pPr>
        <w:spacing w:after="20"/>
      </w:pPr>
    </w:p>
    <w:p>
      <w:pPr>
        <w:pStyle w:val="Heading1"/>
      </w:pPr>
      <w:r>
        <w:t>12. Testing strategy and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3733A5"/>
          </w:tcPr>
          <w:p>
            <w:pPr>
              <w:spacing w:after="20"/>
            </w:pPr>
            <w:r/>
            <w:r>
              <w:rPr>
                <w:rFonts w:ascii="Aptos" w:hAnsi="Aptos"/>
                <w:b/>
                <w:color w:val="FFFFFF"/>
                <w:sz w:val="16"/>
              </w:rPr>
              <w:t>Test area</w:t>
            </w:r>
          </w:p>
        </w:tc>
        <w:tc>
          <w:tcPr>
            <w:tcW w:type="dxa" w:w="3816"/>
            <w:vAlign w:val="center"/>
            <w:shd w:fill="3733A5"/>
          </w:tcPr>
          <w:p>
            <w:pPr>
              <w:spacing w:after="20"/>
            </w:pPr>
            <w:r/>
            <w:r>
              <w:rPr>
                <w:rFonts w:ascii="Aptos" w:hAnsi="Aptos"/>
                <w:b/>
                <w:color w:val="FFFFFF"/>
                <w:sz w:val="16"/>
              </w:rPr>
              <w:t>Representative test</w:t>
            </w:r>
          </w:p>
        </w:tc>
        <w:tc>
          <w:tcPr>
            <w:tcW w:type="dxa" w:w="4896"/>
            <w:vAlign w:val="center"/>
            <w:shd w:fill="3733A5"/>
          </w:tcPr>
          <w:p>
            <w:pPr>
              <w:spacing w:after="20"/>
            </w:pPr>
            <w:r/>
            <w:r>
              <w:rPr>
                <w:rFonts w:ascii="Aptos" w:hAnsi="Aptos"/>
                <w:b/>
                <w:color w:val="FFFFFF"/>
                <w:sz w:val="16"/>
              </w:rPr>
              <w:t>Acceptance criteria</w:t>
            </w:r>
          </w:p>
        </w:tc>
      </w:tr>
      <w:tr>
        <w:tc>
          <w:tcPr>
            <w:tcW w:type="dxa" w:w="1800"/>
            <w:vAlign w:val="center"/>
          </w:tcPr>
          <w:p>
            <w:pPr>
              <w:spacing w:after="20"/>
            </w:pPr>
            <w:r/>
            <w:r>
              <w:rPr>
                <w:rFonts w:ascii="Aptos" w:hAnsi="Aptos"/>
                <w:b w:val="0"/>
                <w:sz w:val="16"/>
              </w:rPr>
              <w:t>Initial load</w:t>
            </w:r>
          </w:p>
        </w:tc>
        <w:tc>
          <w:tcPr>
            <w:tcW w:type="dxa" w:w="3816"/>
            <w:vAlign w:val="center"/>
          </w:tcPr>
          <w:p>
            <w:pPr>
              <w:spacing w:after="20"/>
            </w:pPr>
            <w:r/>
            <w:r>
              <w:rPr>
                <w:rFonts w:ascii="Aptos" w:hAnsi="Aptos"/>
                <w:b w:val="0"/>
                <w:sz w:val="16"/>
              </w:rPr>
              <w:t>Open Dashboard with known test data.</w:t>
            </w:r>
          </w:p>
        </w:tc>
        <w:tc>
          <w:tcPr>
            <w:tcW w:type="dxa" w:w="4896"/>
            <w:vAlign w:val="center"/>
          </w:tcPr>
          <w:p>
            <w:pPr>
              <w:spacing w:after="20"/>
            </w:pPr>
            <w:r/>
            <w:r>
              <w:rPr>
                <w:rFonts w:ascii="Aptos" w:hAnsi="Aptos"/>
                <w:b w:val="0"/>
                <w:sz w:val="16"/>
              </w:rPr>
              <w:t>No critical console/API errors; displayed totals match verified response/data.</w:t>
            </w:r>
          </w:p>
        </w:tc>
      </w:tr>
      <w:tr>
        <w:tc>
          <w:tcPr>
            <w:tcW w:type="dxa" w:w="1800"/>
            <w:vAlign w:val="center"/>
            <w:shd w:fill="F1F4FC"/>
          </w:tcPr>
          <w:p>
            <w:pPr>
              <w:spacing w:after="20"/>
            </w:pPr>
            <w:r/>
            <w:r>
              <w:rPr>
                <w:rFonts w:ascii="Aptos" w:hAnsi="Aptos"/>
                <w:b w:val="0"/>
                <w:sz w:val="16"/>
              </w:rPr>
              <w:t>Single filter</w:t>
            </w:r>
          </w:p>
        </w:tc>
        <w:tc>
          <w:tcPr>
            <w:tcW w:type="dxa" w:w="3816"/>
            <w:vAlign w:val="center"/>
            <w:shd w:fill="F1F4FC"/>
          </w:tcPr>
          <w:p>
            <w:pPr>
              <w:spacing w:after="20"/>
            </w:pPr>
            <w:r/>
            <w:r>
              <w:rPr>
                <w:rFonts w:ascii="Aptos" w:hAnsi="Aptos"/>
                <w:b w:val="0"/>
                <w:sz w:val="16"/>
              </w:rPr>
              <w:t>Select one PM or one region.</w:t>
            </w:r>
          </w:p>
        </w:tc>
        <w:tc>
          <w:tcPr>
            <w:tcW w:type="dxa" w:w="4896"/>
            <w:vAlign w:val="center"/>
            <w:shd w:fill="F1F4FC"/>
          </w:tcPr>
          <w:p>
            <w:pPr>
              <w:spacing w:after="20"/>
            </w:pPr>
            <w:r/>
            <w:r>
              <w:rPr>
                <w:rFonts w:ascii="Aptos" w:hAnsi="Aptos"/>
                <w:b w:val="0"/>
                <w:sz w:val="16"/>
              </w:rPr>
              <w:t>All dependent sections reflect the same subset.</w:t>
            </w:r>
          </w:p>
        </w:tc>
      </w:tr>
      <w:tr>
        <w:tc>
          <w:tcPr>
            <w:tcW w:type="dxa" w:w="1800"/>
            <w:vAlign w:val="center"/>
          </w:tcPr>
          <w:p>
            <w:pPr>
              <w:spacing w:after="20"/>
            </w:pPr>
            <w:r/>
            <w:r>
              <w:rPr>
                <w:rFonts w:ascii="Aptos" w:hAnsi="Aptos"/>
                <w:b w:val="0"/>
                <w:sz w:val="16"/>
              </w:rPr>
              <w:t>Combined filter</w:t>
            </w:r>
          </w:p>
        </w:tc>
        <w:tc>
          <w:tcPr>
            <w:tcW w:type="dxa" w:w="3816"/>
            <w:vAlign w:val="center"/>
          </w:tcPr>
          <w:p>
            <w:pPr>
              <w:spacing w:after="20"/>
            </w:pPr>
            <w:r/>
            <w:r>
              <w:rPr>
                <w:rFonts w:ascii="Aptos" w:hAnsi="Aptos"/>
                <w:b w:val="0"/>
                <w:sz w:val="16"/>
              </w:rPr>
              <w:t>Select PM + Region + Health + Sentiment.</w:t>
            </w:r>
          </w:p>
        </w:tc>
        <w:tc>
          <w:tcPr>
            <w:tcW w:type="dxa" w:w="4896"/>
            <w:vAlign w:val="center"/>
          </w:tcPr>
          <w:p>
            <w:pPr>
              <w:spacing w:after="20"/>
            </w:pPr>
            <w:r/>
            <w:r>
              <w:rPr>
                <w:rFonts w:ascii="Aptos" w:hAnsi="Aptos"/>
                <w:b w:val="0"/>
                <w:sz w:val="16"/>
              </w:rPr>
              <w:t>Results satisfy all selected filters (AND behavior where intended).</w:t>
            </w:r>
          </w:p>
        </w:tc>
      </w:tr>
      <w:tr>
        <w:tc>
          <w:tcPr>
            <w:tcW w:type="dxa" w:w="1800"/>
            <w:vAlign w:val="center"/>
            <w:shd w:fill="F1F4FC"/>
          </w:tcPr>
          <w:p>
            <w:pPr>
              <w:spacing w:after="20"/>
            </w:pPr>
            <w:r/>
            <w:r>
              <w:rPr>
                <w:rFonts w:ascii="Aptos" w:hAnsi="Aptos"/>
                <w:b w:val="0"/>
                <w:sz w:val="16"/>
              </w:rPr>
              <w:t>Reset</w:t>
            </w:r>
          </w:p>
        </w:tc>
        <w:tc>
          <w:tcPr>
            <w:tcW w:type="dxa" w:w="3816"/>
            <w:vAlign w:val="center"/>
            <w:shd w:fill="F1F4FC"/>
          </w:tcPr>
          <w:p>
            <w:pPr>
              <w:spacing w:after="20"/>
            </w:pPr>
            <w:r/>
            <w:r>
              <w:rPr>
                <w:rFonts w:ascii="Aptos" w:hAnsi="Aptos"/>
                <w:b w:val="0"/>
                <w:sz w:val="16"/>
              </w:rPr>
              <w:t>Apply several filters then Reset.</w:t>
            </w:r>
          </w:p>
        </w:tc>
        <w:tc>
          <w:tcPr>
            <w:tcW w:type="dxa" w:w="4896"/>
            <w:vAlign w:val="center"/>
            <w:shd w:fill="F1F4FC"/>
          </w:tcPr>
          <w:p>
            <w:pPr>
              <w:spacing w:after="20"/>
            </w:pPr>
            <w:r/>
            <w:r>
              <w:rPr>
                <w:rFonts w:ascii="Aptos" w:hAnsi="Aptos"/>
                <w:b w:val="0"/>
                <w:sz w:val="16"/>
              </w:rPr>
              <w:t>Default scope restored consistently.</w:t>
            </w:r>
          </w:p>
        </w:tc>
      </w:tr>
      <w:tr>
        <w:tc>
          <w:tcPr>
            <w:tcW w:type="dxa" w:w="1800"/>
            <w:vAlign w:val="center"/>
          </w:tcPr>
          <w:p>
            <w:pPr>
              <w:spacing w:after="20"/>
            </w:pPr>
            <w:r/>
            <w:r>
              <w:rPr>
                <w:rFonts w:ascii="Aptos" w:hAnsi="Aptos"/>
                <w:b w:val="0"/>
                <w:sz w:val="16"/>
              </w:rPr>
              <w:t>Meeting creation</w:t>
            </w:r>
          </w:p>
        </w:tc>
        <w:tc>
          <w:tcPr>
            <w:tcW w:type="dxa" w:w="3816"/>
            <w:vAlign w:val="center"/>
          </w:tcPr>
          <w:p>
            <w:pPr>
              <w:spacing w:after="20"/>
            </w:pPr>
            <w:r/>
            <w:r>
              <w:rPr>
                <w:rFonts w:ascii="Aptos" w:hAnsi="Aptos"/>
                <w:b w:val="0"/>
                <w:sz w:val="16"/>
              </w:rPr>
              <w:t>Create a meeting for a valid contract.</w:t>
            </w:r>
          </w:p>
        </w:tc>
        <w:tc>
          <w:tcPr>
            <w:tcW w:type="dxa" w:w="4896"/>
            <w:vAlign w:val="center"/>
          </w:tcPr>
          <w:p>
            <w:pPr>
              <w:spacing w:after="20"/>
            </w:pPr>
            <w:r/>
            <w:r>
              <w:rPr>
                <w:rFonts w:ascii="Aptos" w:hAnsi="Aptos"/>
                <w:b w:val="0"/>
                <w:sz w:val="16"/>
              </w:rPr>
              <w:t>Meeting, health snapshot and linked action persist as designed.</w:t>
            </w:r>
          </w:p>
        </w:tc>
      </w:tr>
      <w:tr>
        <w:tc>
          <w:tcPr>
            <w:tcW w:type="dxa" w:w="1800"/>
            <w:vAlign w:val="center"/>
            <w:shd w:fill="F1F4FC"/>
          </w:tcPr>
          <w:p>
            <w:pPr>
              <w:spacing w:after="20"/>
            </w:pPr>
            <w:r/>
            <w:r>
              <w:rPr>
                <w:rFonts w:ascii="Aptos" w:hAnsi="Aptos"/>
                <w:b w:val="0"/>
                <w:sz w:val="16"/>
              </w:rPr>
              <w:t>Action update</w:t>
            </w:r>
          </w:p>
        </w:tc>
        <w:tc>
          <w:tcPr>
            <w:tcW w:type="dxa" w:w="3816"/>
            <w:vAlign w:val="center"/>
            <w:shd w:fill="F1F4FC"/>
          </w:tcPr>
          <w:p>
            <w:pPr>
              <w:spacing w:after="20"/>
            </w:pPr>
            <w:r/>
            <w:r>
              <w:rPr>
                <w:rFonts w:ascii="Aptos" w:hAnsi="Aptos"/>
                <w:b w:val="0"/>
                <w:sz w:val="16"/>
              </w:rPr>
              <w:t>Change Open to InProgress then Completed.</w:t>
            </w:r>
          </w:p>
        </w:tc>
        <w:tc>
          <w:tcPr>
            <w:tcW w:type="dxa" w:w="4896"/>
            <w:vAlign w:val="center"/>
            <w:shd w:fill="F1F4FC"/>
          </w:tcPr>
          <w:p>
            <w:pPr>
              <w:spacing w:after="20"/>
            </w:pPr>
            <w:r/>
            <w:r>
              <w:rPr>
                <w:rFonts w:ascii="Aptos" w:hAnsi="Aptos"/>
                <w:b w:val="0"/>
                <w:sz w:val="16"/>
              </w:rPr>
              <w:t>API/SQL and dashboard counts refresh consistently.</w:t>
            </w:r>
          </w:p>
        </w:tc>
      </w:tr>
      <w:tr>
        <w:tc>
          <w:tcPr>
            <w:tcW w:type="dxa" w:w="1800"/>
            <w:vAlign w:val="center"/>
          </w:tcPr>
          <w:p>
            <w:pPr>
              <w:spacing w:after="20"/>
            </w:pPr>
            <w:r/>
            <w:r>
              <w:rPr>
                <w:rFonts w:ascii="Aptos" w:hAnsi="Aptos"/>
                <w:b w:val="0"/>
                <w:sz w:val="16"/>
              </w:rPr>
              <w:t>Admin create</w:t>
            </w:r>
          </w:p>
        </w:tc>
        <w:tc>
          <w:tcPr>
            <w:tcW w:type="dxa" w:w="3816"/>
            <w:vAlign w:val="center"/>
          </w:tcPr>
          <w:p>
            <w:pPr>
              <w:spacing w:after="20"/>
            </w:pPr>
            <w:r/>
            <w:r>
              <w:rPr>
                <w:rFonts w:ascii="Aptos" w:hAnsi="Aptos"/>
                <w:b w:val="0"/>
                <w:sz w:val="16"/>
              </w:rPr>
              <w:t>Add a PM and customer account.</w:t>
            </w:r>
          </w:p>
        </w:tc>
        <w:tc>
          <w:tcPr>
            <w:tcW w:type="dxa" w:w="4896"/>
            <w:vAlign w:val="center"/>
          </w:tcPr>
          <w:p>
            <w:pPr>
              <w:spacing w:after="20"/>
            </w:pPr>
            <w:r/>
            <w:r>
              <w:rPr>
                <w:rFonts w:ascii="Aptos" w:hAnsi="Aptos"/>
                <w:b w:val="0"/>
                <w:sz w:val="16"/>
              </w:rPr>
              <w:t>New values appear in filter and meeting selections; relationships remain valid.</w:t>
            </w:r>
          </w:p>
        </w:tc>
      </w:tr>
      <w:tr>
        <w:tc>
          <w:tcPr>
            <w:tcW w:type="dxa" w:w="1800"/>
            <w:vAlign w:val="center"/>
            <w:shd w:fill="F1F4FC"/>
          </w:tcPr>
          <w:p>
            <w:pPr>
              <w:spacing w:after="20"/>
            </w:pPr>
            <w:r/>
            <w:r>
              <w:rPr>
                <w:rFonts w:ascii="Aptos" w:hAnsi="Aptos"/>
                <w:b w:val="0"/>
                <w:sz w:val="16"/>
              </w:rPr>
              <w:t>Validation</w:t>
            </w:r>
          </w:p>
        </w:tc>
        <w:tc>
          <w:tcPr>
            <w:tcW w:type="dxa" w:w="3816"/>
            <w:vAlign w:val="center"/>
            <w:shd w:fill="F1F4FC"/>
          </w:tcPr>
          <w:p>
            <w:pPr>
              <w:spacing w:after="20"/>
            </w:pPr>
            <w:r/>
            <w:r>
              <w:rPr>
                <w:rFonts w:ascii="Aptos" w:hAnsi="Aptos"/>
                <w:b w:val="0"/>
                <w:sz w:val="16"/>
              </w:rPr>
              <w:t>Submit missing fields, invalid IDs and invalid dates.</w:t>
            </w:r>
          </w:p>
        </w:tc>
        <w:tc>
          <w:tcPr>
            <w:tcW w:type="dxa" w:w="4896"/>
            <w:vAlign w:val="center"/>
            <w:shd w:fill="F1F4FC"/>
          </w:tcPr>
          <w:p>
            <w:pPr>
              <w:spacing w:after="20"/>
            </w:pPr>
            <w:r/>
            <w:r>
              <w:rPr>
                <w:rFonts w:ascii="Aptos" w:hAnsi="Aptos"/>
                <w:b w:val="0"/>
                <w:sz w:val="16"/>
              </w:rPr>
              <w:t>Clear error; no invalid or orphan data persists.</w:t>
            </w:r>
          </w:p>
        </w:tc>
      </w:tr>
      <w:tr>
        <w:tc>
          <w:tcPr>
            <w:tcW w:type="dxa" w:w="1800"/>
            <w:vAlign w:val="center"/>
          </w:tcPr>
          <w:p>
            <w:pPr>
              <w:spacing w:after="20"/>
            </w:pPr>
            <w:r/>
            <w:r>
              <w:rPr>
                <w:rFonts w:ascii="Aptos" w:hAnsi="Aptos"/>
                <w:b w:val="0"/>
                <w:sz w:val="16"/>
              </w:rPr>
              <w:t>Persistence</w:t>
            </w:r>
          </w:p>
        </w:tc>
        <w:tc>
          <w:tcPr>
            <w:tcW w:type="dxa" w:w="3816"/>
            <w:vAlign w:val="center"/>
          </w:tcPr>
          <w:p>
            <w:pPr>
              <w:spacing w:after="20"/>
            </w:pPr>
            <w:r/>
            <w:r>
              <w:rPr>
                <w:rFonts w:ascii="Aptos" w:hAnsi="Aptos"/>
                <w:b w:val="0"/>
                <w:sz w:val="16"/>
              </w:rPr>
              <w:t>Save, reload and reopen record.</w:t>
            </w:r>
          </w:p>
        </w:tc>
        <w:tc>
          <w:tcPr>
            <w:tcW w:type="dxa" w:w="4896"/>
            <w:vAlign w:val="center"/>
          </w:tcPr>
          <w:p>
            <w:pPr>
              <w:spacing w:after="20"/>
            </w:pPr>
            <w:r/>
            <w:r>
              <w:rPr>
                <w:rFonts w:ascii="Aptos" w:hAnsi="Aptos"/>
                <w:b w:val="0"/>
                <w:sz w:val="16"/>
              </w:rPr>
              <w:t>Saved values come back from API/database, not only local browser state.</w:t>
            </w:r>
          </w:p>
        </w:tc>
      </w:tr>
      <w:tr>
        <w:tc>
          <w:tcPr>
            <w:tcW w:type="dxa" w:w="1800"/>
            <w:vAlign w:val="center"/>
            <w:shd w:fill="F1F4FC"/>
          </w:tcPr>
          <w:p>
            <w:pPr>
              <w:spacing w:after="20"/>
            </w:pPr>
            <w:r/>
            <w:r>
              <w:rPr>
                <w:rFonts w:ascii="Aptos" w:hAnsi="Aptos"/>
                <w:b w:val="0"/>
                <w:sz w:val="16"/>
              </w:rPr>
              <w:t>Export</w:t>
            </w:r>
          </w:p>
        </w:tc>
        <w:tc>
          <w:tcPr>
            <w:tcW w:type="dxa" w:w="3816"/>
            <w:vAlign w:val="center"/>
            <w:shd w:fill="F1F4FC"/>
          </w:tcPr>
          <w:p>
            <w:pPr>
              <w:spacing w:after="20"/>
            </w:pPr>
            <w:r/>
            <w:r>
              <w:rPr>
                <w:rFonts w:ascii="Aptos" w:hAnsi="Aptos"/>
                <w:b w:val="0"/>
                <w:sz w:val="16"/>
              </w:rPr>
              <w:t>Export a filtered view containing special characters.</w:t>
            </w:r>
          </w:p>
        </w:tc>
        <w:tc>
          <w:tcPr>
            <w:tcW w:type="dxa" w:w="4896"/>
            <w:vAlign w:val="center"/>
            <w:shd w:fill="F1F4FC"/>
          </w:tcPr>
          <w:p>
            <w:pPr>
              <w:spacing w:after="20"/>
            </w:pPr>
            <w:r/>
            <w:r>
              <w:rPr>
                <w:rFonts w:ascii="Aptos" w:hAnsi="Aptos"/>
                <w:b w:val="0"/>
                <w:sz w:val="16"/>
              </w:rPr>
              <w:t>Expected rows/columns, safe CSV escaping and correct filter scope.</w:t>
            </w:r>
          </w:p>
        </w:tc>
      </w:tr>
      <w:tr>
        <w:tc>
          <w:tcPr>
            <w:tcW w:type="dxa" w:w="1800"/>
            <w:vAlign w:val="center"/>
          </w:tcPr>
          <w:p>
            <w:pPr>
              <w:spacing w:after="20"/>
            </w:pPr>
            <w:r/>
            <w:r>
              <w:rPr>
                <w:rFonts w:ascii="Aptos" w:hAnsi="Aptos"/>
                <w:b w:val="0"/>
                <w:sz w:val="16"/>
              </w:rPr>
              <w:t>Empty state</w:t>
            </w:r>
          </w:p>
        </w:tc>
        <w:tc>
          <w:tcPr>
            <w:tcW w:type="dxa" w:w="3816"/>
            <w:vAlign w:val="center"/>
          </w:tcPr>
          <w:p>
            <w:pPr>
              <w:spacing w:after="20"/>
            </w:pPr>
            <w:r/>
            <w:r>
              <w:rPr>
                <w:rFonts w:ascii="Aptos" w:hAnsi="Aptos"/>
                <w:b w:val="0"/>
                <w:sz w:val="16"/>
              </w:rPr>
              <w:t>Use filters returning zero contracts and missing KPIs.</w:t>
            </w:r>
          </w:p>
        </w:tc>
        <w:tc>
          <w:tcPr>
            <w:tcW w:type="dxa" w:w="4896"/>
            <w:vAlign w:val="center"/>
          </w:tcPr>
          <w:p>
            <w:pPr>
              <w:spacing w:after="20"/>
            </w:pPr>
            <w:r/>
            <w:r>
              <w:rPr>
                <w:rFonts w:ascii="Aptos" w:hAnsi="Aptos"/>
                <w:b w:val="0"/>
                <w:sz w:val="16"/>
              </w:rPr>
              <w:t>No misleading fallback dataset, NaN, broken charts or incorrect totals.</w:t>
            </w:r>
          </w:p>
        </w:tc>
      </w:tr>
      <w:tr>
        <w:tc>
          <w:tcPr>
            <w:tcW w:type="dxa" w:w="1800"/>
            <w:vAlign w:val="center"/>
            <w:shd w:fill="F1F4FC"/>
          </w:tcPr>
          <w:p>
            <w:pPr>
              <w:spacing w:after="20"/>
            </w:pPr>
            <w:r/>
            <w:r>
              <w:rPr>
                <w:rFonts w:ascii="Aptos" w:hAnsi="Aptos"/>
                <w:b w:val="0"/>
                <w:sz w:val="16"/>
              </w:rPr>
              <w:t>Security</w:t>
            </w:r>
          </w:p>
        </w:tc>
        <w:tc>
          <w:tcPr>
            <w:tcW w:type="dxa" w:w="3816"/>
            <w:vAlign w:val="center"/>
            <w:shd w:fill="F1F4FC"/>
          </w:tcPr>
          <w:p>
            <w:pPr>
              <w:spacing w:after="20"/>
            </w:pPr>
            <w:r/>
            <w:r>
              <w:rPr>
                <w:rFonts w:ascii="Aptos" w:hAnsi="Aptos"/>
                <w:b w:val="0"/>
                <w:sz w:val="16"/>
              </w:rPr>
              <w:t>Call protected endpoints without required permissions.</w:t>
            </w:r>
          </w:p>
        </w:tc>
        <w:tc>
          <w:tcPr>
            <w:tcW w:type="dxa" w:w="4896"/>
            <w:vAlign w:val="center"/>
            <w:shd w:fill="F1F4FC"/>
          </w:tcPr>
          <w:p>
            <w:pPr>
              <w:spacing w:after="20"/>
            </w:pPr>
            <w:r/>
            <w:r>
              <w:rPr>
                <w:rFonts w:ascii="Aptos" w:hAnsi="Aptos"/>
                <w:b w:val="0"/>
                <w:sz w:val="16"/>
              </w:rPr>
              <w:t>Requests are denied where authentication/authorization is required.</w:t>
            </w:r>
          </w:p>
        </w:tc>
      </w:tr>
      <w:tr>
        <w:tc>
          <w:tcPr>
            <w:tcW w:type="dxa" w:w="1800"/>
            <w:vAlign w:val="center"/>
          </w:tcPr>
          <w:p>
            <w:pPr>
              <w:spacing w:after="20"/>
            </w:pPr>
            <w:r/>
            <w:r>
              <w:rPr>
                <w:rFonts w:ascii="Aptos" w:hAnsi="Aptos"/>
                <w:b w:val="0"/>
                <w:sz w:val="16"/>
              </w:rPr>
              <w:t>Performance</w:t>
            </w:r>
          </w:p>
        </w:tc>
        <w:tc>
          <w:tcPr>
            <w:tcW w:type="dxa" w:w="3816"/>
            <w:vAlign w:val="center"/>
          </w:tcPr>
          <w:p>
            <w:pPr>
              <w:spacing w:after="20"/>
            </w:pPr>
            <w:r/>
            <w:r>
              <w:rPr>
                <w:rFonts w:ascii="Aptos" w:hAnsi="Aptos"/>
                <w:b w:val="0"/>
                <w:sz w:val="16"/>
              </w:rPr>
              <w:t>Test realistic record volumes and concurrent usage.</w:t>
            </w:r>
          </w:p>
        </w:tc>
        <w:tc>
          <w:tcPr>
            <w:tcW w:type="dxa" w:w="4896"/>
            <w:vAlign w:val="center"/>
          </w:tcPr>
          <w:p>
            <w:pPr>
              <w:spacing w:after="20"/>
            </w:pPr>
            <w:r/>
            <w:r>
              <w:rPr>
                <w:rFonts w:ascii="Aptos" w:hAnsi="Aptos"/>
                <w:b w:val="0"/>
                <w:sz w:val="16"/>
              </w:rPr>
              <w:t>Agree measurable response-time and load targets before sign-off.</w:t>
            </w:r>
          </w:p>
        </w:tc>
      </w:tr>
      <w:tr>
        <w:tc>
          <w:tcPr>
            <w:tcW w:type="dxa" w:w="1800"/>
            <w:vAlign w:val="center"/>
            <w:shd w:fill="F1F4FC"/>
          </w:tcPr>
          <w:p>
            <w:pPr>
              <w:spacing w:after="20"/>
            </w:pPr>
            <w:r/>
            <w:r>
              <w:rPr>
                <w:rFonts w:ascii="Aptos" w:hAnsi="Aptos"/>
                <w:b w:val="0"/>
                <w:sz w:val="16"/>
              </w:rPr>
              <w:t>Regression</w:t>
            </w:r>
          </w:p>
        </w:tc>
        <w:tc>
          <w:tcPr>
            <w:tcW w:type="dxa" w:w="3816"/>
            <w:vAlign w:val="center"/>
            <w:shd w:fill="F1F4FC"/>
          </w:tcPr>
          <w:p>
            <w:pPr>
              <w:spacing w:after="20"/>
            </w:pPr>
            <w:r/>
            <w:r>
              <w:rPr>
                <w:rFonts w:ascii="Aptos" w:hAnsi="Aptos"/>
                <w:b w:val="0"/>
                <w:sz w:val="16"/>
              </w:rPr>
              <w:t>Re-run core flows after fixes.</w:t>
            </w:r>
          </w:p>
        </w:tc>
        <w:tc>
          <w:tcPr>
            <w:tcW w:type="dxa" w:w="4896"/>
            <w:vAlign w:val="center"/>
            <w:shd w:fill="F1F4FC"/>
          </w:tcPr>
          <w:p>
            <w:pPr>
              <w:spacing w:after="20"/>
            </w:pPr>
            <w:r/>
            <w:r>
              <w:rPr>
                <w:rFonts w:ascii="Aptos" w:hAnsi="Aptos"/>
                <w:b w:val="0"/>
                <w:sz w:val="16"/>
              </w:rPr>
              <w:t>Previously passing workflows remain correct.</w:t>
            </w:r>
          </w:p>
        </w:tc>
      </w:tr>
    </w:tbl>
    <w:p>
      <w:pPr>
        <w:spacing w:after="20"/>
      </w:pPr>
    </w:p>
    <w:p>
      <w:pPr>
        <w:pStyle w:val="Heading1"/>
      </w:pPr>
      <w:r>
        <w:t>13. Recommended presentation storyline for team leads and managers</w:t>
      </w:r>
    </w:p>
    <w:p>
      <w:r>
        <w:t>Suggested duration: 10–15 minutes. Use the supplied screenshots in the order below.</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3733A5"/>
          </w:tcPr>
          <w:p>
            <w:pPr>
              <w:spacing w:after="20"/>
            </w:pPr>
            <w:r/>
            <w:r>
              <w:rPr>
                <w:rFonts w:ascii="Aptos" w:hAnsi="Aptos"/>
                <w:b/>
                <w:color w:val="FFFFFF"/>
                <w:sz w:val="16"/>
              </w:rPr>
              <w:t>Slide / segment</w:t>
            </w:r>
          </w:p>
        </w:tc>
        <w:tc>
          <w:tcPr>
            <w:tcW w:type="dxa" w:w="3168"/>
            <w:vAlign w:val="center"/>
            <w:shd w:fill="3733A5"/>
          </w:tcPr>
          <w:p>
            <w:pPr>
              <w:spacing w:after="20"/>
            </w:pPr>
            <w:r/>
            <w:r>
              <w:rPr>
                <w:rFonts w:ascii="Aptos" w:hAnsi="Aptos"/>
                <w:b/>
                <w:color w:val="FFFFFF"/>
                <w:sz w:val="16"/>
              </w:rPr>
              <w:t>What to show</w:t>
            </w:r>
          </w:p>
        </w:tc>
        <w:tc>
          <w:tcPr>
            <w:tcW w:type="dxa" w:w="5256"/>
            <w:vAlign w:val="center"/>
            <w:shd w:fill="3733A5"/>
          </w:tcPr>
          <w:p>
            <w:pPr>
              <w:spacing w:after="20"/>
            </w:pPr>
            <w:r/>
            <w:r>
              <w:rPr>
                <w:rFonts w:ascii="Aptos" w:hAnsi="Aptos"/>
                <w:b/>
                <w:color w:val="FFFFFF"/>
                <w:sz w:val="16"/>
              </w:rPr>
              <w:t>Talking points</w:t>
            </w:r>
          </w:p>
        </w:tc>
      </w:tr>
      <w:tr>
        <w:tc>
          <w:tcPr>
            <w:tcW w:type="dxa" w:w="2088"/>
            <w:vAlign w:val="center"/>
          </w:tcPr>
          <w:p>
            <w:pPr>
              <w:spacing w:after="20"/>
            </w:pPr>
            <w:r/>
            <w:r>
              <w:rPr>
                <w:rFonts w:ascii="Aptos" w:hAnsi="Aptos"/>
                <w:b w:val="0"/>
                <w:sz w:val="16"/>
              </w:rPr>
              <w:t>1. Business purpose</w:t>
            </w:r>
          </w:p>
        </w:tc>
        <w:tc>
          <w:tcPr>
            <w:tcW w:type="dxa" w:w="3168"/>
            <w:vAlign w:val="center"/>
          </w:tcPr>
          <w:p>
            <w:pPr>
              <w:spacing w:after="20"/>
            </w:pPr>
            <w:r/>
            <w:r>
              <w:rPr>
                <w:rFonts w:ascii="Aptos" w:hAnsi="Aptos"/>
                <w:b w:val="0"/>
                <w:sz w:val="16"/>
              </w:rPr>
              <w:t>Dashboard landing view</w:t>
            </w:r>
          </w:p>
        </w:tc>
        <w:tc>
          <w:tcPr>
            <w:tcW w:type="dxa" w:w="5256"/>
            <w:vAlign w:val="center"/>
          </w:tcPr>
          <w:p>
            <w:pPr>
              <w:spacing w:after="20"/>
            </w:pPr>
            <w:r/>
            <w:r>
              <w:rPr>
                <w:rFonts w:ascii="Aptos" w:hAnsi="Aptos"/>
                <w:b w:val="0"/>
                <w:sz w:val="16"/>
              </w:rPr>
              <w:t>A360 centralizes contract health, sentiment, commercial exposure, renewal readiness and action follow-up.</w:t>
            </w:r>
          </w:p>
        </w:tc>
      </w:tr>
      <w:tr>
        <w:tc>
          <w:tcPr>
            <w:tcW w:type="dxa" w:w="2088"/>
            <w:vAlign w:val="center"/>
            <w:shd w:fill="F1F4FC"/>
          </w:tcPr>
          <w:p>
            <w:pPr>
              <w:spacing w:after="20"/>
            </w:pPr>
            <w:r/>
            <w:r>
              <w:rPr>
                <w:rFonts w:ascii="Aptos" w:hAnsi="Aptos"/>
                <w:b w:val="0"/>
                <w:sz w:val="16"/>
              </w:rPr>
              <w:t>2. Portfolio filters and KPIs</w:t>
            </w:r>
          </w:p>
        </w:tc>
        <w:tc>
          <w:tcPr>
            <w:tcW w:type="dxa" w:w="3168"/>
            <w:vAlign w:val="center"/>
            <w:shd w:fill="F1F4FC"/>
          </w:tcPr>
          <w:p>
            <w:pPr>
              <w:spacing w:after="20"/>
            </w:pPr>
            <w:r/>
            <w:r>
              <w:rPr>
                <w:rFonts w:ascii="Aptos" w:hAnsi="Aptos"/>
                <w:b w:val="0"/>
                <w:sz w:val="16"/>
              </w:rPr>
              <w:t>Filter bar and top cards</w:t>
            </w:r>
          </w:p>
        </w:tc>
        <w:tc>
          <w:tcPr>
            <w:tcW w:type="dxa" w:w="5256"/>
            <w:vAlign w:val="center"/>
            <w:shd w:fill="F1F4FC"/>
          </w:tcPr>
          <w:p>
            <w:pPr>
              <w:spacing w:after="20"/>
            </w:pPr>
            <w:r/>
            <w:r>
              <w:rPr>
                <w:rFonts w:ascii="Aptos" w:hAnsi="Aptos"/>
                <w:b w:val="0"/>
                <w:sz w:val="16"/>
              </w:rPr>
              <w:t>The filters define the analysis population; headline totals help prioritize discussion. Mention the category-count reconciliation as a validation item if asked.</w:t>
            </w:r>
          </w:p>
        </w:tc>
      </w:tr>
      <w:tr>
        <w:tc>
          <w:tcPr>
            <w:tcW w:type="dxa" w:w="2088"/>
            <w:vAlign w:val="center"/>
          </w:tcPr>
          <w:p>
            <w:pPr>
              <w:spacing w:after="20"/>
            </w:pPr>
            <w:r/>
            <w:r>
              <w:rPr>
                <w:rFonts w:ascii="Aptos" w:hAnsi="Aptos"/>
                <w:b w:val="0"/>
                <w:sz w:val="16"/>
              </w:rPr>
              <w:t>3. Customer and commercial insight</w:t>
            </w:r>
          </w:p>
        </w:tc>
        <w:tc>
          <w:tcPr>
            <w:tcW w:type="dxa" w:w="3168"/>
            <w:vAlign w:val="center"/>
          </w:tcPr>
          <w:p>
            <w:pPr>
              <w:spacing w:after="20"/>
            </w:pPr>
            <w:r/>
            <w:r>
              <w:rPr>
                <w:rFonts w:ascii="Aptos" w:hAnsi="Aptos"/>
                <w:b w:val="0"/>
                <w:sz w:val="16"/>
              </w:rPr>
              <w:t>Customer Voice and Financial Context cards</w:t>
            </w:r>
          </w:p>
        </w:tc>
        <w:tc>
          <w:tcPr>
            <w:tcW w:type="dxa" w:w="5256"/>
            <w:vAlign w:val="center"/>
          </w:tcPr>
          <w:p>
            <w:pPr>
              <w:spacing w:after="20"/>
            </w:pPr>
            <w:r/>
            <w:r>
              <w:rPr>
                <w:rFonts w:ascii="Aptos" w:hAnsi="Aptos"/>
                <w:b w:val="0"/>
                <w:sz w:val="16"/>
              </w:rPr>
              <w:t>Explain why customer concerns, sentiment and financial exposure need to be read together.</w:t>
            </w:r>
          </w:p>
        </w:tc>
      </w:tr>
      <w:tr>
        <w:tc>
          <w:tcPr>
            <w:tcW w:type="dxa" w:w="2088"/>
            <w:vAlign w:val="center"/>
            <w:shd w:fill="F1F4FC"/>
          </w:tcPr>
          <w:p>
            <w:pPr>
              <w:spacing w:after="20"/>
            </w:pPr>
            <w:r/>
            <w:r>
              <w:rPr>
                <w:rFonts w:ascii="Aptos" w:hAnsi="Aptos"/>
                <w:b w:val="0"/>
                <w:sz w:val="16"/>
              </w:rPr>
              <w:t>4. Performance analytics</w:t>
            </w:r>
          </w:p>
        </w:tc>
        <w:tc>
          <w:tcPr>
            <w:tcW w:type="dxa" w:w="3168"/>
            <w:vAlign w:val="center"/>
            <w:shd w:fill="F1F4FC"/>
          </w:tcPr>
          <w:p>
            <w:pPr>
              <w:spacing w:after="20"/>
            </w:pPr>
            <w:r/>
            <w:r>
              <w:rPr>
                <w:rFonts w:ascii="Aptos" w:hAnsi="Aptos"/>
                <w:b w:val="0"/>
                <w:sz w:val="16"/>
              </w:rPr>
              <w:t>Enable Services, Performance Details and Financial Performance</w:t>
            </w:r>
          </w:p>
        </w:tc>
        <w:tc>
          <w:tcPr>
            <w:tcW w:type="dxa" w:w="5256"/>
            <w:vAlign w:val="center"/>
            <w:shd w:fill="F1F4FC"/>
          </w:tcPr>
          <w:p>
            <w:pPr>
              <w:spacing w:after="20"/>
            </w:pPr>
            <w:r/>
            <w:r>
              <w:rPr>
                <w:rFonts w:ascii="Aptos" w:hAnsi="Aptos"/>
                <w:b w:val="0"/>
                <w:sz w:val="16"/>
              </w:rPr>
              <w:t>This adds operational detail; each metric needs a clear owner-approved definition and period.</w:t>
            </w:r>
          </w:p>
        </w:tc>
      </w:tr>
      <w:tr>
        <w:tc>
          <w:tcPr>
            <w:tcW w:type="dxa" w:w="2088"/>
            <w:vAlign w:val="center"/>
          </w:tcPr>
          <w:p>
            <w:pPr>
              <w:spacing w:after="20"/>
            </w:pPr>
            <w:r/>
            <w:r>
              <w:rPr>
                <w:rFonts w:ascii="Aptos" w:hAnsi="Aptos"/>
                <w:b w:val="0"/>
                <w:sz w:val="16"/>
              </w:rPr>
              <w:t>5. Contract portfolio</w:t>
            </w:r>
          </w:p>
        </w:tc>
        <w:tc>
          <w:tcPr>
            <w:tcW w:type="dxa" w:w="3168"/>
            <w:vAlign w:val="center"/>
          </w:tcPr>
          <w:p>
            <w:pPr>
              <w:spacing w:after="20"/>
            </w:pPr>
            <w:r/>
            <w:r>
              <w:rPr>
                <w:rFonts w:ascii="Aptos" w:hAnsi="Aptos"/>
                <w:b w:val="0"/>
                <w:sz w:val="16"/>
              </w:rPr>
              <w:t>Portfolio table and Meeting button</w:t>
            </w:r>
          </w:p>
        </w:tc>
        <w:tc>
          <w:tcPr>
            <w:tcW w:type="dxa" w:w="5256"/>
            <w:vAlign w:val="center"/>
          </w:tcPr>
          <w:p>
            <w:pPr>
              <w:spacing w:after="20"/>
            </w:pPr>
            <w:r/>
            <w:r>
              <w:rPr>
                <w:rFonts w:ascii="Aptos" w:hAnsi="Aptos"/>
                <w:b w:val="0"/>
                <w:sz w:val="16"/>
              </w:rPr>
              <w:t>The table moves the conversation from portfolio-wide insight to a specific account review.</w:t>
            </w:r>
          </w:p>
        </w:tc>
      </w:tr>
      <w:tr>
        <w:tc>
          <w:tcPr>
            <w:tcW w:type="dxa" w:w="2088"/>
            <w:vAlign w:val="center"/>
            <w:shd w:fill="F1F4FC"/>
          </w:tcPr>
          <w:p>
            <w:pPr>
              <w:spacing w:after="20"/>
            </w:pPr>
            <w:r/>
            <w:r>
              <w:rPr>
                <w:rFonts w:ascii="Aptos" w:hAnsi="Aptos"/>
                <w:b w:val="0"/>
                <w:sz w:val="16"/>
              </w:rPr>
              <w:t>6. Meeting workflow</w:t>
            </w:r>
          </w:p>
        </w:tc>
        <w:tc>
          <w:tcPr>
            <w:tcW w:type="dxa" w:w="3168"/>
            <w:vAlign w:val="center"/>
            <w:shd w:fill="F1F4FC"/>
          </w:tcPr>
          <w:p>
            <w:pPr>
              <w:spacing w:after="20"/>
            </w:pPr>
            <w:r/>
            <w:r>
              <w:rPr>
                <w:rFonts w:ascii="Aptos" w:hAnsi="Aptos"/>
                <w:b w:val="0"/>
                <w:sz w:val="16"/>
              </w:rPr>
              <w:t>Meeting wizard</w:t>
            </w:r>
          </w:p>
        </w:tc>
        <w:tc>
          <w:tcPr>
            <w:tcW w:type="dxa" w:w="5256"/>
            <w:vAlign w:val="center"/>
            <w:shd w:fill="F1F4FC"/>
          </w:tcPr>
          <w:p>
            <w:pPr>
              <w:spacing w:after="20"/>
            </w:pPr>
            <w:r/>
            <w:r>
              <w:rPr>
                <w:rFonts w:ascii="Aptos" w:hAnsi="Aptos"/>
                <w:b w:val="0"/>
                <w:sz w:val="16"/>
              </w:rPr>
              <w:t>The monthly review captures outcomes, sentiment, KPI assessment, risks, comments and follow-up ownership.</w:t>
            </w:r>
          </w:p>
        </w:tc>
      </w:tr>
      <w:tr>
        <w:tc>
          <w:tcPr>
            <w:tcW w:type="dxa" w:w="2088"/>
            <w:vAlign w:val="center"/>
          </w:tcPr>
          <w:p>
            <w:pPr>
              <w:spacing w:after="20"/>
            </w:pPr>
            <w:r/>
            <w:r>
              <w:rPr>
                <w:rFonts w:ascii="Aptos" w:hAnsi="Aptos"/>
                <w:b w:val="0"/>
                <w:sz w:val="16"/>
              </w:rPr>
              <w:t>7. Actions tracker</w:t>
            </w:r>
          </w:p>
        </w:tc>
        <w:tc>
          <w:tcPr>
            <w:tcW w:type="dxa" w:w="3168"/>
            <w:vAlign w:val="center"/>
          </w:tcPr>
          <w:p>
            <w:pPr>
              <w:spacing w:after="20"/>
            </w:pPr>
            <w:r/>
            <w:r>
              <w:rPr>
                <w:rFonts w:ascii="Aptos" w:hAnsi="Aptos"/>
                <w:b w:val="0"/>
                <w:sz w:val="16"/>
              </w:rPr>
              <w:t>Actions table</w:t>
            </w:r>
          </w:p>
        </w:tc>
        <w:tc>
          <w:tcPr>
            <w:tcW w:type="dxa" w:w="5256"/>
            <w:vAlign w:val="center"/>
          </w:tcPr>
          <w:p>
            <w:pPr>
              <w:spacing w:after="20"/>
            </w:pPr>
            <w:r/>
            <w:r>
              <w:rPr>
                <w:rFonts w:ascii="Aptos" w:hAnsi="Aptos"/>
                <w:b w:val="0"/>
                <w:sz w:val="16"/>
              </w:rPr>
              <w:t>Tasks become accountable work through owner, due date and status.</w:t>
            </w:r>
          </w:p>
        </w:tc>
      </w:tr>
      <w:tr>
        <w:tc>
          <w:tcPr>
            <w:tcW w:type="dxa" w:w="2088"/>
            <w:vAlign w:val="center"/>
            <w:shd w:fill="F1F4FC"/>
          </w:tcPr>
          <w:p>
            <w:pPr>
              <w:spacing w:after="20"/>
            </w:pPr>
            <w:r/>
            <w:r>
              <w:rPr>
                <w:rFonts w:ascii="Aptos" w:hAnsi="Aptos"/>
                <w:b w:val="0"/>
                <w:sz w:val="16"/>
              </w:rPr>
              <w:t>8. Admin master data</w:t>
            </w:r>
          </w:p>
        </w:tc>
        <w:tc>
          <w:tcPr>
            <w:tcW w:type="dxa" w:w="3168"/>
            <w:vAlign w:val="center"/>
            <w:shd w:fill="F1F4FC"/>
          </w:tcPr>
          <w:p>
            <w:pPr>
              <w:spacing w:after="20"/>
            </w:pPr>
            <w:r/>
            <w:r>
              <w:rPr>
                <w:rFonts w:ascii="Aptos" w:hAnsi="Aptos"/>
                <w:b w:val="0"/>
                <w:sz w:val="16"/>
              </w:rPr>
              <w:t>PM and Customer Accounts forms</w:t>
            </w:r>
          </w:p>
        </w:tc>
        <w:tc>
          <w:tcPr>
            <w:tcW w:type="dxa" w:w="5256"/>
            <w:vAlign w:val="center"/>
            <w:shd w:fill="F1F4FC"/>
          </w:tcPr>
          <w:p>
            <w:pPr>
              <w:spacing w:after="20"/>
            </w:pPr>
            <w:r/>
            <w:r>
              <w:rPr>
                <w:rFonts w:ascii="Aptos" w:hAnsi="Aptos"/>
                <w:b w:val="0"/>
                <w:sz w:val="16"/>
              </w:rPr>
              <w:t>Master data powers filters, ownership and meeting selection.</w:t>
            </w:r>
          </w:p>
        </w:tc>
      </w:tr>
      <w:tr>
        <w:tc>
          <w:tcPr>
            <w:tcW w:type="dxa" w:w="2088"/>
            <w:vAlign w:val="center"/>
          </w:tcPr>
          <w:p>
            <w:pPr>
              <w:spacing w:after="20"/>
            </w:pPr>
            <w:r/>
            <w:r>
              <w:rPr>
                <w:rFonts w:ascii="Aptos" w:hAnsi="Aptos"/>
                <w:b w:val="0"/>
                <w:sz w:val="16"/>
              </w:rPr>
              <w:t>9. Architecture and data trust</w:t>
            </w:r>
          </w:p>
        </w:tc>
        <w:tc>
          <w:tcPr>
            <w:tcW w:type="dxa" w:w="3168"/>
            <w:vAlign w:val="center"/>
          </w:tcPr>
          <w:p>
            <w:pPr>
              <w:spacing w:after="20"/>
            </w:pPr>
            <w:r/>
            <w:r>
              <w:rPr>
                <w:rFonts w:ascii="Aptos" w:hAnsi="Aptos"/>
                <w:b w:val="0"/>
                <w:sz w:val="16"/>
              </w:rPr>
              <w:t>Diagram/narrative of Angular → API → SQL Server</w:t>
            </w:r>
          </w:p>
        </w:tc>
        <w:tc>
          <w:tcPr>
            <w:tcW w:type="dxa" w:w="5256"/>
            <w:vAlign w:val="center"/>
          </w:tcPr>
          <w:p>
            <w:pPr>
              <w:spacing w:after="20"/>
            </w:pPr>
            <w:r/>
            <w:r>
              <w:rPr>
                <w:rFonts w:ascii="Aptos" w:hAnsi="Aptos"/>
                <w:b w:val="0"/>
                <w:sz w:val="16"/>
              </w:rPr>
              <w:t>Explain that SQL Server is the persistent source of truth in the intended production design; verify actual routes and schema.</w:t>
            </w:r>
          </w:p>
        </w:tc>
      </w:tr>
      <w:tr>
        <w:tc>
          <w:tcPr>
            <w:tcW w:type="dxa" w:w="2088"/>
            <w:vAlign w:val="center"/>
            <w:shd w:fill="F1F4FC"/>
          </w:tcPr>
          <w:p>
            <w:pPr>
              <w:spacing w:after="20"/>
            </w:pPr>
            <w:r/>
            <w:r>
              <w:rPr>
                <w:rFonts w:ascii="Aptos" w:hAnsi="Aptos"/>
                <w:b w:val="0"/>
                <w:sz w:val="16"/>
              </w:rPr>
              <w:t>10. Quality and next steps</w:t>
            </w:r>
          </w:p>
        </w:tc>
        <w:tc>
          <w:tcPr>
            <w:tcW w:type="dxa" w:w="3168"/>
            <w:vAlign w:val="center"/>
            <w:shd w:fill="F1F4FC"/>
          </w:tcPr>
          <w:p>
            <w:pPr>
              <w:spacing w:after="20"/>
            </w:pPr>
            <w:r/>
            <w:r>
              <w:rPr>
                <w:rFonts w:ascii="Aptos" w:hAnsi="Aptos"/>
                <w:b w:val="0"/>
                <w:sz w:val="16"/>
              </w:rPr>
              <w:t>Testing/recommendations</w:t>
            </w:r>
          </w:p>
        </w:tc>
        <w:tc>
          <w:tcPr>
            <w:tcW w:type="dxa" w:w="5256"/>
            <w:vAlign w:val="center"/>
            <w:shd w:fill="F1F4FC"/>
          </w:tcPr>
          <w:p>
            <w:pPr>
              <w:spacing w:after="20"/>
            </w:pPr>
            <w:r/>
            <w:r>
              <w:rPr>
                <w:rFonts w:ascii="Aptos" w:hAnsi="Aptos"/>
                <w:b w:val="0"/>
                <w:sz w:val="16"/>
              </w:rPr>
              <w:t>Prioritize formula sign-off, filter consistency, API/SQL reconciliation, security and production observability.</w:t>
            </w:r>
          </w:p>
        </w:tc>
      </w:tr>
    </w:tbl>
    <w:p>
      <w:pPr>
        <w:spacing w:after="20"/>
      </w:pPr>
    </w:p>
    <w:p>
      <w:pPr>
        <w:pStyle w:val="Heading2"/>
      </w:pPr>
      <w:r>
        <w:t>13.1 Suggested opening statement</w:t>
      </w:r>
    </w:p>
    <w:p>
      <w:r>
        <w:t>“A360 is designed to give us one operational view of contract health. We can start at portfolio level, filter to a manager, region or account, understand customer and commercial risk, capture the monthly review, and track follow-up actions. The focus today is both the business value of the workflow and the data lineage needed to trust the numbers.”</w:t>
      </w:r>
    </w:p>
    <w:p>
      <w:pPr>
        <w:pStyle w:val="Heading2"/>
      </w:pPr>
      <w:r>
        <w:t>13.2 Suggested closing statement</w:t>
      </w:r>
    </w:p>
    <w:p>
      <w:r>
        <w:t>“The interface brings the main contract-management workflow together. To make the dashboard management-grade, our next step is to sign off the metric definitions and confirm each displayed value from Angular through the API to SQL Server, including refresh behavior, permissions and auditability.”</w:t>
      </w:r>
    </w:p>
    <w:p>
      <w:pPr>
        <w:pStyle w:val="Heading1"/>
      </w:pPr>
      <w:r>
        <w:t>14. Technical handover checklist</w:t>
      </w:r>
    </w:p>
    <w:p>
      <w:pPr>
        <w:pStyle w:val="ListBullet"/>
        <w:spacing w:after="40"/>
      </w:pPr>
      <w:r>
        <w:t>Angular 22: confirm route configuration, components, services, environment configuration, DTO interfaces, filter state management and export implementation.</w:t>
      </w:r>
    </w:p>
    <w:p>
      <w:pPr>
        <w:pStyle w:val="ListBullet"/>
        <w:spacing w:after="40"/>
      </w:pPr>
      <w:r>
        <w:t>Tailwind CSS 4.3: confirm package version, build integration and responsive/accessibility behavior.</w:t>
      </w:r>
    </w:p>
    <w:p>
      <w:pPr>
        <w:pStyle w:val="ListBullet"/>
        <w:spacing w:after="40"/>
      </w:pPr>
      <w:r>
        <w:t>ASP.NET Core Web API 10: document each endpoint, HTTP verb, request DTO, response DTO, validation rule, status code and authorization requirement.</w:t>
      </w:r>
    </w:p>
    <w:p>
      <w:pPr>
        <w:pStyle w:val="ListBullet"/>
        <w:spacing w:after="40"/>
      </w:pPr>
      <w:r>
        <w:t>SQL Server 2025: document tables, keys, foreign-key relationships, indexes, views/stored procedures and ownership of each metric.</w:t>
      </w:r>
    </w:p>
    <w:p>
      <w:pPr>
        <w:pStyle w:val="ListBullet"/>
        <w:spacing w:after="40"/>
      </w:pPr>
      <w:r>
        <w:t>Database-first workflow: document scaffolding commands or mapping approach, generated entity ownership and schema deployment/versioning.</w:t>
      </w:r>
    </w:p>
    <w:p>
      <w:pPr>
        <w:pStyle w:val="ListBullet"/>
        <w:spacing w:after="40"/>
      </w:pPr>
      <w:r>
        <w:t>Data dictionary: define each dashboard field, source table/column, formula, unit, aggregation, null handling and refresh cadence.</w:t>
      </w:r>
    </w:p>
    <w:p>
      <w:pPr>
        <w:pStyle w:val="ListBullet"/>
        <w:spacing w:after="40"/>
      </w:pPr>
      <w:r>
        <w:t>Observability: record API errors, correlation IDs, database failures and refresh timestamps without exposing secrets.</w:t>
      </w:r>
    </w:p>
    <w:p>
      <w:pPr>
        <w:pStyle w:val="ListBullet"/>
        <w:spacing w:after="40"/>
      </w:pPr>
      <w:r>
        <w:t>Security: verify server-side authorization, input validation, CORS, parameterized access and export permissions.</w:t>
      </w:r>
    </w:p>
    <w:p>
      <w:pPr>
        <w:pStyle w:val="ListBullet"/>
        <w:spacing w:after="40"/>
      </w:pPr>
      <w:r>
        <w:t>Release: confirm build, smoke tests, rollback plan, configuration per environment and test evidence.</w:t>
      </w:r>
    </w:p>
    <w:p>
      <w:pPr>
        <w:pStyle w:val="Heading1"/>
      </w:pPr>
      <w:r>
        <w:t>Appendix A. Screenshot-based observations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3733A5"/>
          </w:tcPr>
          <w:p>
            <w:pPr>
              <w:spacing w:after="20"/>
            </w:pPr>
            <w:r/>
            <w:r>
              <w:rPr>
                <w:rFonts w:ascii="Aptos" w:hAnsi="Aptos"/>
                <w:b/>
                <w:color w:val="FFFFFF"/>
                <w:sz w:val="16"/>
              </w:rPr>
              <w:t>Screenshot</w:t>
            </w:r>
          </w:p>
        </w:tc>
        <w:tc>
          <w:tcPr>
            <w:tcW w:type="dxa" w:w="8064"/>
            <w:vAlign w:val="center"/>
            <w:shd w:fill="3733A5"/>
          </w:tcPr>
          <w:p>
            <w:pPr>
              <w:spacing w:after="20"/>
            </w:pPr>
            <w:r/>
            <w:r>
              <w:rPr>
                <w:rFonts w:ascii="Aptos" w:hAnsi="Aptos"/>
                <w:b/>
                <w:color w:val="FFFFFF"/>
                <w:sz w:val="16"/>
              </w:rPr>
              <w:t>Visible information captured for this document</w:t>
            </w:r>
          </w:p>
        </w:tc>
      </w:tr>
      <w:tr>
        <w:tc>
          <w:tcPr>
            <w:tcW w:type="dxa" w:w="2448"/>
            <w:vAlign w:val="center"/>
          </w:tcPr>
          <w:p>
            <w:pPr>
              <w:spacing w:after="20"/>
            </w:pPr>
            <w:r/>
            <w:r>
              <w:rPr>
                <w:rFonts w:ascii="Aptos" w:hAnsi="Aptos"/>
                <w:b w:val="0"/>
                <w:sz w:val="16"/>
              </w:rPr>
              <w:t>Admin screenshot</w:t>
            </w:r>
          </w:p>
        </w:tc>
        <w:tc>
          <w:tcPr>
            <w:tcW w:type="dxa" w:w="8064"/>
            <w:vAlign w:val="center"/>
          </w:tcPr>
          <w:p>
            <w:pPr>
              <w:spacing w:after="20"/>
            </w:pPr>
            <w:r/>
            <w:r>
              <w:rPr>
                <w:rFonts w:ascii="Aptos" w:hAnsi="Aptos"/>
                <w:b w:val="0"/>
                <w:sz w:val="16"/>
              </w:rPr>
              <w:t>Admin · Master Data; Performance Managers count 9; Customer Accounts count 198; PM fields Full Name/Region/Email; account fields Account Name/PM/Region/Value; lists show PM account counts and account health.</w:t>
            </w:r>
          </w:p>
        </w:tc>
      </w:tr>
      <w:tr>
        <w:tc>
          <w:tcPr>
            <w:tcW w:type="dxa" w:w="2448"/>
            <w:vAlign w:val="center"/>
            <w:shd w:fill="F1F4FC"/>
          </w:tcPr>
          <w:p>
            <w:pPr>
              <w:spacing w:after="20"/>
            </w:pPr>
            <w:r/>
            <w:r>
              <w:rPr>
                <w:rFonts w:ascii="Aptos" w:hAnsi="Aptos"/>
                <w:b w:val="0"/>
                <w:sz w:val="16"/>
              </w:rPr>
              <w:t>Dashboard top screenshot</w:t>
            </w:r>
          </w:p>
        </w:tc>
        <w:tc>
          <w:tcPr>
            <w:tcW w:type="dxa" w:w="8064"/>
            <w:vAlign w:val="center"/>
            <w:shd w:fill="F1F4FC"/>
          </w:tcPr>
          <w:p>
            <w:pPr>
              <w:spacing w:after="20"/>
            </w:pPr>
            <w:r/>
            <w:r>
              <w:rPr>
                <w:rFonts w:ascii="Aptos" w:hAnsi="Aptos"/>
                <w:b w:val="0"/>
                <w:sz w:val="16"/>
              </w:rPr>
              <w:t>Overall Health 89/100; Contracts 198; Green 6; Yellow 121; Orange 53; Red 17; Contract Value $4675.2M; Value at Risk $204.6M; six filters and five insight/analytics cards.</w:t>
            </w:r>
          </w:p>
        </w:tc>
      </w:tr>
      <w:tr>
        <w:tc>
          <w:tcPr>
            <w:tcW w:type="dxa" w:w="2448"/>
            <w:vAlign w:val="center"/>
          </w:tcPr>
          <w:p>
            <w:pPr>
              <w:spacing w:after="20"/>
            </w:pPr>
            <w:r/>
            <w:r>
              <w:rPr>
                <w:rFonts w:ascii="Aptos" w:hAnsi="Aptos"/>
                <w:b w:val="0"/>
                <w:sz w:val="16"/>
              </w:rPr>
              <w:t>Contract Portfolio screenshot</w:t>
            </w:r>
          </w:p>
        </w:tc>
        <w:tc>
          <w:tcPr>
            <w:tcW w:type="dxa" w:w="8064"/>
            <w:vAlign w:val="center"/>
          </w:tcPr>
          <w:p>
            <w:pPr>
              <w:spacing w:after="20"/>
            </w:pPr>
            <w:r/>
            <w:r>
              <w:rPr>
                <w:rFonts w:ascii="Aptos" w:hAnsi="Aptos"/>
                <w:b w:val="0"/>
                <w:sz w:val="16"/>
              </w:rPr>
              <w:t>Customer, PM, Region, Value, Sentiment, Meeting; 198 records, 10 rows shown and page 1 of 20.</w:t>
            </w:r>
          </w:p>
        </w:tc>
      </w:tr>
      <w:tr>
        <w:tc>
          <w:tcPr>
            <w:tcW w:type="dxa" w:w="2448"/>
            <w:vAlign w:val="center"/>
            <w:shd w:fill="F1F4FC"/>
          </w:tcPr>
          <w:p>
            <w:pPr>
              <w:spacing w:after="20"/>
            </w:pPr>
            <w:r/>
            <w:r>
              <w:rPr>
                <w:rFonts w:ascii="Aptos" w:hAnsi="Aptos"/>
                <w:b w:val="0"/>
                <w:sz w:val="16"/>
              </w:rPr>
              <w:t>Performance Analytics screenshot</w:t>
            </w:r>
          </w:p>
        </w:tc>
        <w:tc>
          <w:tcPr>
            <w:tcW w:type="dxa" w:w="8064"/>
            <w:vAlign w:val="center"/>
            <w:shd w:fill="F1F4FC"/>
          </w:tcPr>
          <w:p>
            <w:pPr>
              <w:spacing w:after="20"/>
            </w:pPr>
            <w:r/>
            <w:r>
              <w:rPr>
                <w:rFonts w:ascii="Aptos" w:hAnsi="Aptos"/>
                <w:b w:val="0"/>
                <w:sz w:val="16"/>
              </w:rPr>
              <w:t>Enable Services gauges 93/84/82; performance details Average KPI YTD 89%, KPI Missing 28, Open Proposals 1, Days Overdue 8, CSAT 70/100, NPS 13; financial performance metric tiles and gauges.</w:t>
            </w:r>
          </w:p>
        </w:tc>
      </w:tr>
      <w:tr>
        <w:tc>
          <w:tcPr>
            <w:tcW w:type="dxa" w:w="2448"/>
            <w:vAlign w:val="center"/>
          </w:tcPr>
          <w:p>
            <w:pPr>
              <w:spacing w:after="20"/>
            </w:pPr>
            <w:r/>
            <w:r>
              <w:rPr>
                <w:rFonts w:ascii="Aptos" w:hAnsi="Aptos"/>
                <w:b w:val="0"/>
                <w:sz w:val="16"/>
              </w:rPr>
              <w:t>Health dimension strip screenshot</w:t>
            </w:r>
          </w:p>
        </w:tc>
        <w:tc>
          <w:tcPr>
            <w:tcW w:type="dxa" w:w="8064"/>
            <w:vAlign w:val="center"/>
          </w:tcPr>
          <w:p>
            <w:pPr>
              <w:spacing w:after="20"/>
            </w:pPr>
            <w:r/>
            <w:r>
              <w:rPr>
                <w:rFonts w:ascii="Aptos" w:hAnsi="Aptos"/>
                <w:b w:val="0"/>
                <w:sz w:val="16"/>
              </w:rPr>
              <w:t>Overall 89/100 Healthy; Customer Attention 64/100; Outcomes Good 89/100; Delivery Good 89/100; Financial Good 87/100; Risk Good 87/100; Trend Stable.</w:t>
            </w:r>
          </w:p>
        </w:tc>
      </w:tr>
      <w:tr>
        <w:tc>
          <w:tcPr>
            <w:tcW w:type="dxa" w:w="2448"/>
            <w:vAlign w:val="center"/>
            <w:shd w:fill="F1F4FC"/>
          </w:tcPr>
          <w:p>
            <w:pPr>
              <w:spacing w:after="20"/>
            </w:pPr>
            <w:r/>
            <w:r>
              <w:rPr>
                <w:rFonts w:ascii="Aptos" w:hAnsi="Aptos"/>
                <w:b w:val="0"/>
                <w:sz w:val="16"/>
              </w:rPr>
              <w:t>Meetings screenshot</w:t>
            </w:r>
          </w:p>
        </w:tc>
        <w:tc>
          <w:tcPr>
            <w:tcW w:type="dxa" w:w="8064"/>
            <w:vAlign w:val="center"/>
            <w:shd w:fill="F1F4FC"/>
          </w:tcPr>
          <w:p>
            <w:pPr>
              <w:spacing w:after="20"/>
            </w:pPr>
            <w:r/>
            <w:r>
              <w:rPr>
                <w:rFonts w:ascii="Aptos" w:hAnsi="Aptos"/>
                <w:b w:val="0"/>
                <w:sz w:val="16"/>
              </w:rPr>
              <w:t>78 meeting records; Date, Customer, PM, Sentiment, Action, Status, Updated; example status values Completed, Open and InProgress.</w:t>
            </w:r>
          </w:p>
        </w:tc>
      </w:tr>
      <w:tr>
        <w:tc>
          <w:tcPr>
            <w:tcW w:type="dxa" w:w="2448"/>
            <w:vAlign w:val="center"/>
          </w:tcPr>
          <w:p>
            <w:pPr>
              <w:spacing w:after="20"/>
            </w:pPr>
            <w:r/>
            <w:r>
              <w:rPr>
                <w:rFonts w:ascii="Aptos" w:hAnsi="Aptos"/>
                <w:b w:val="0"/>
                <w:sz w:val="16"/>
              </w:rPr>
              <w:t>Actions screenshot</w:t>
            </w:r>
          </w:p>
        </w:tc>
        <w:tc>
          <w:tcPr>
            <w:tcW w:type="dxa" w:w="8064"/>
            <w:vAlign w:val="center"/>
          </w:tcPr>
          <w:p>
            <w:pPr>
              <w:spacing w:after="20"/>
            </w:pPr>
            <w:r/>
            <w:r>
              <w:rPr>
                <w:rFonts w:ascii="Aptos" w:hAnsi="Aptos"/>
                <w:b w:val="0"/>
                <w:sz w:val="16"/>
              </w:rPr>
              <w:t>Action, Customer, Owner, Due, Status, Updated and Remove; status controls Open/InProgress/Completed.</w:t>
            </w:r>
          </w:p>
        </w:tc>
      </w:tr>
    </w:tbl>
    <w:p>
      <w:pPr>
        <w:spacing w:after="20"/>
      </w:pPr>
    </w:p>
    <w:p>
      <w:pPr>
        <w:pStyle w:val="Heading1"/>
      </w:pPr>
      <w:r>
        <w:t>Appendix B. Evidence to collect before formal sign-off</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3733A5"/>
          </w:tcPr>
          <w:p>
            <w:pPr>
              <w:spacing w:after="20"/>
            </w:pPr>
            <w:r/>
            <w:r>
              <w:rPr>
                <w:rFonts w:ascii="Aptos" w:hAnsi="Aptos"/>
                <w:b/>
                <w:color w:val="FFFFFF"/>
                <w:sz w:val="16"/>
              </w:rPr>
              <w:t>Evidence artifact</w:t>
            </w:r>
          </w:p>
        </w:tc>
        <w:tc>
          <w:tcPr>
            <w:tcW w:type="dxa" w:w="8064"/>
            <w:vAlign w:val="center"/>
            <w:shd w:fill="3733A5"/>
          </w:tcPr>
          <w:p>
            <w:pPr>
              <w:spacing w:after="20"/>
            </w:pPr>
            <w:r/>
            <w:r>
              <w:rPr>
                <w:rFonts w:ascii="Aptos" w:hAnsi="Aptos"/>
                <w:b/>
                <w:color w:val="FFFFFF"/>
                <w:sz w:val="16"/>
              </w:rPr>
              <w:t>Minimum content</w:t>
            </w:r>
          </w:p>
        </w:tc>
      </w:tr>
      <w:tr>
        <w:tc>
          <w:tcPr>
            <w:tcW w:type="dxa" w:w="2448"/>
            <w:vAlign w:val="center"/>
          </w:tcPr>
          <w:p>
            <w:pPr>
              <w:spacing w:after="20"/>
            </w:pPr>
            <w:r/>
            <w:r>
              <w:rPr>
                <w:rFonts w:ascii="Aptos" w:hAnsi="Aptos"/>
                <w:b w:val="0"/>
                <w:sz w:val="16"/>
              </w:rPr>
              <w:t>API inventory</w:t>
            </w:r>
          </w:p>
        </w:tc>
        <w:tc>
          <w:tcPr>
            <w:tcW w:type="dxa" w:w="8064"/>
            <w:vAlign w:val="center"/>
          </w:tcPr>
          <w:p>
            <w:pPr>
              <w:spacing w:after="20"/>
            </w:pPr>
            <w:r/>
            <w:r>
              <w:rPr>
                <w:rFonts w:ascii="Aptos" w:hAnsi="Aptos"/>
                <w:b w:val="0"/>
                <w:sz w:val="16"/>
              </w:rPr>
              <w:t>Actual route, method, purpose, DTO, auth requirement, database entities touched.</w:t>
            </w:r>
          </w:p>
        </w:tc>
      </w:tr>
      <w:tr>
        <w:tc>
          <w:tcPr>
            <w:tcW w:type="dxa" w:w="2448"/>
            <w:vAlign w:val="center"/>
            <w:shd w:fill="F1F4FC"/>
          </w:tcPr>
          <w:p>
            <w:pPr>
              <w:spacing w:after="20"/>
            </w:pPr>
            <w:r/>
            <w:r>
              <w:rPr>
                <w:rFonts w:ascii="Aptos" w:hAnsi="Aptos"/>
                <w:b w:val="0"/>
                <w:sz w:val="16"/>
              </w:rPr>
              <w:t>Metric dictionary</w:t>
            </w:r>
          </w:p>
        </w:tc>
        <w:tc>
          <w:tcPr>
            <w:tcW w:type="dxa" w:w="8064"/>
            <w:vAlign w:val="center"/>
            <w:shd w:fill="F1F4FC"/>
          </w:tcPr>
          <w:p>
            <w:pPr>
              <w:spacing w:after="20"/>
            </w:pPr>
            <w:r/>
            <w:r>
              <w:rPr>
                <w:rFonts w:ascii="Aptos" w:hAnsi="Aptos"/>
                <w:b w:val="0"/>
                <w:sz w:val="16"/>
              </w:rPr>
              <w:t>Business definition, source field(s), formula, scope, unit, null rule, refresh time and owner.</w:t>
            </w:r>
          </w:p>
        </w:tc>
      </w:tr>
      <w:tr>
        <w:tc>
          <w:tcPr>
            <w:tcW w:type="dxa" w:w="2448"/>
            <w:vAlign w:val="center"/>
          </w:tcPr>
          <w:p>
            <w:pPr>
              <w:spacing w:after="20"/>
            </w:pPr>
            <w:r/>
            <w:r>
              <w:rPr>
                <w:rFonts w:ascii="Aptos" w:hAnsi="Aptos"/>
                <w:b w:val="0"/>
                <w:sz w:val="16"/>
              </w:rPr>
              <w:t>SQL lineage map</w:t>
            </w:r>
          </w:p>
        </w:tc>
        <w:tc>
          <w:tcPr>
            <w:tcW w:type="dxa" w:w="8064"/>
            <w:vAlign w:val="center"/>
          </w:tcPr>
          <w:p>
            <w:pPr>
              <w:spacing w:after="20"/>
            </w:pPr>
            <w:r/>
            <w:r>
              <w:rPr>
                <w:rFonts w:ascii="Aptos" w:hAnsi="Aptos"/>
                <w:b w:val="0"/>
                <w:sz w:val="16"/>
              </w:rPr>
              <w:t>Dashboard field → API response property → query/entity/view → table/column.</w:t>
            </w:r>
          </w:p>
        </w:tc>
      </w:tr>
      <w:tr>
        <w:tc>
          <w:tcPr>
            <w:tcW w:type="dxa" w:w="2448"/>
            <w:vAlign w:val="center"/>
            <w:shd w:fill="F1F4FC"/>
          </w:tcPr>
          <w:p>
            <w:pPr>
              <w:spacing w:after="20"/>
            </w:pPr>
            <w:r/>
            <w:r>
              <w:rPr>
                <w:rFonts w:ascii="Aptos" w:hAnsi="Aptos"/>
                <w:b w:val="0"/>
                <w:sz w:val="16"/>
              </w:rPr>
              <w:t>Test run report</w:t>
            </w:r>
          </w:p>
        </w:tc>
        <w:tc>
          <w:tcPr>
            <w:tcW w:type="dxa" w:w="8064"/>
            <w:vAlign w:val="center"/>
            <w:shd w:fill="F1F4FC"/>
          </w:tcPr>
          <w:p>
            <w:pPr>
              <w:spacing w:after="20"/>
            </w:pPr>
            <w:r/>
            <w:r>
              <w:rPr>
                <w:rFonts w:ascii="Aptos" w:hAnsi="Aptos"/>
                <w:b w:val="0"/>
                <w:sz w:val="16"/>
              </w:rPr>
              <w:t>Test ID, environment, steps, expected/actual result, status, screenshot/API/SQL evidence and defect link.</w:t>
            </w:r>
          </w:p>
        </w:tc>
      </w:tr>
      <w:tr>
        <w:tc>
          <w:tcPr>
            <w:tcW w:type="dxa" w:w="2448"/>
            <w:vAlign w:val="center"/>
          </w:tcPr>
          <w:p>
            <w:pPr>
              <w:spacing w:after="20"/>
            </w:pPr>
            <w:r/>
            <w:r>
              <w:rPr>
                <w:rFonts w:ascii="Aptos" w:hAnsi="Aptos"/>
                <w:b w:val="0"/>
                <w:sz w:val="16"/>
              </w:rPr>
              <w:t>Environment record</w:t>
            </w:r>
          </w:p>
        </w:tc>
        <w:tc>
          <w:tcPr>
            <w:tcW w:type="dxa" w:w="8064"/>
            <w:vAlign w:val="center"/>
          </w:tcPr>
          <w:p>
            <w:pPr>
              <w:spacing w:after="20"/>
            </w:pPr>
            <w:r/>
            <w:r>
              <w:rPr>
                <w:rFonts w:ascii="Aptos" w:hAnsi="Aptos"/>
                <w:b w:val="0"/>
                <w:sz w:val="16"/>
              </w:rPr>
              <w:t>Frontend build/version, API environment, database environment, date/time, test data identifier.</w:t>
            </w:r>
          </w:p>
        </w:tc>
      </w:tr>
      <w:tr>
        <w:tc>
          <w:tcPr>
            <w:tcW w:type="dxa" w:w="2448"/>
            <w:vAlign w:val="center"/>
            <w:shd w:fill="F1F4FC"/>
          </w:tcPr>
          <w:p>
            <w:pPr>
              <w:spacing w:after="20"/>
            </w:pPr>
            <w:r/>
            <w:r>
              <w:rPr>
                <w:rFonts w:ascii="Aptos" w:hAnsi="Aptos"/>
                <w:b w:val="0"/>
                <w:sz w:val="16"/>
              </w:rPr>
              <w:t>Release approval</w:t>
            </w:r>
          </w:p>
        </w:tc>
        <w:tc>
          <w:tcPr>
            <w:tcW w:type="dxa" w:w="8064"/>
            <w:vAlign w:val="center"/>
            <w:shd w:fill="F1F4FC"/>
          </w:tcPr>
          <w:p>
            <w:pPr>
              <w:spacing w:after="20"/>
            </w:pPr>
            <w:r/>
            <w:r>
              <w:rPr>
                <w:rFonts w:ascii="Aptos" w:hAnsi="Aptos"/>
                <w:b w:val="0"/>
                <w:sz w:val="16"/>
              </w:rPr>
              <w:t>Business formula approval, QA sign-off, security review, performance evidence and rollback plan.</w:t>
            </w:r>
          </w:p>
        </w:tc>
      </w:tr>
    </w:tbl>
    <w:p>
      <w:pPr>
        <w:spacing w:after="20"/>
      </w:pPr>
    </w:p>
    <w:p>
      <w:pPr>
        <w:pStyle w:val="Heading1"/>
      </w:pPr>
      <w:r>
        <w:t>Appendix C. Important implementation caveats</w:t>
      </w:r>
    </w:p>
    <w:p>
      <w:pPr>
        <w:pStyle w:val="ListBullet"/>
        <w:spacing w:after="40"/>
      </w:pPr>
      <w:r>
        <w:t>This document is based on the supplied standalone HTML and screenshots plus the previously supplied technical/testing guide. It is not a source-code audit of the actual Angular repository, .NET API project or SQL Server database.</w:t>
      </w:r>
    </w:p>
    <w:p>
      <w:pPr>
        <w:pStyle w:val="ListBullet"/>
        <w:spacing w:after="40"/>
      </w:pPr>
      <w:r>
        <w:t>The developer-provided technology stack is recorded as supplied; the HTML file itself does not establish that it was built by Angular 22 or Tailwind CSS 4.3.</w:t>
      </w:r>
    </w:p>
    <w:p>
      <w:pPr>
        <w:pStyle w:val="ListBullet"/>
        <w:spacing w:after="40"/>
      </w:pPr>
      <w:r>
        <w:t>The visible sample values and counts are screenshot observations and may represent demo/test data.</w:t>
      </w:r>
    </w:p>
    <w:p>
      <w:pPr>
        <w:pStyle w:val="ListBullet"/>
        <w:spacing w:after="40"/>
      </w:pPr>
      <w:r>
        <w:t>Prototype route names and storage behavior must not be assumed to be production behavior.</w:t>
      </w:r>
    </w:p>
    <w:p>
      <w:pPr>
        <w:pStyle w:val="ListBullet"/>
        <w:spacing w:after="40"/>
      </w:pPr>
      <w:r>
        <w:t>All business calculations should be confirmed with the responsible owner before using the figures for formal reporting, risk decisions or financial commitments.</w:t>
      </w:r>
    </w:p>
    <w:p>
      <w:pPr>
        <w:pStyle w:val="Heading1"/>
      </w:pPr>
      <w:r>
        <w:t>Final takeaway</w:t>
      </w:r>
    </w:p>
    <w:p>
      <w:r>
        <w:t>A360's strongest story is the end-to-end workflow: portfolio visibility → account-level review → structured meeting capture → owned action tracking → master-data governance. The key management assurance is data trust. Demonstrate the interface confidently, but validate formulas, API integration, SQL persistence, refresh semantics and metric ownership before presenting the values as authoritative production reporting.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C"/>
        <w:sz w:val="16"/>
      </w:rPr>
      <w:t>Internal project documentation • Prepared from supplied HTML prototype and UI screenshots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482"/>
        <w:sz w:val="16"/>
      </w:rPr>
      <w:t>A360  |  CONTRACT HEALTH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430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31B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63F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85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22A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