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Architecture, Multi-Tenancy &amp; Security</w:t>
      </w:r>
    </w:p>
    <w:p>
      <w:pPr>
        <w:jc w:val="center"/>
      </w:pPr>
      <w:r>
        <w:t>Technical architecture for the full ecosystem</w:t>
      </w:r>
    </w:p>
    <w:p>
      <w:pPr>
        <w:pStyle w:val="Heading1"/>
      </w:pPr>
      <w:r>
        <w:t>Recommended Stack</w:t>
      </w:r>
    </w:p>
    <w:p>
      <w:pPr>
        <w:spacing w:after="80"/>
      </w:pPr>
      <w:r>
        <w:t>Frontend: Next.js + TypeScript + Tailwind CSS + a consistent component library. Backend: Java + Spring Boot + Spring Security. Database: PostgreSQL. Storage: S3-compatible private object storage. Optional Redis/background worker. Payment/email providers behind service abstractions.</w:t>
      </w:r>
    </w:p>
    <w:p>
      <w:pPr>
        <w:pStyle w:val="Heading1"/>
      </w:pPr>
      <w:r>
        <w:t>Logical Architecture</w:t>
      </w:r>
    </w:p>
    <w:p>
      <w:pPr>
        <w:spacing w:after="80"/>
      </w:pPr>
      <w:r>
        <w:t>Public website → application frontend → backend API → PostgreSQL. Tenant applications share the platform codebase but resolve organization context from hostname/session. Super Admin has separate platform authorization scope. Storage, email, payments and jobs are external/service integrations.</w:t>
      </w:r>
    </w:p>
    <w:p>
      <w:pPr>
        <w:pStyle w:val="Heading1"/>
      </w:pPr>
      <w:r>
        <w:t>Hostnames</w:t>
      </w:r>
    </w:p>
    <w:p>
      <w:pPr>
        <w:spacing w:after="80"/>
      </w:pPr>
      <w:r>
        <w:t>Root: yourdomain.com. Tenant: {tenant-slug}.yourdomain.com. Platform admin: admin.yourdomain.com or a protected /platform-admin route. API: api.yourdomain.com or equivalent. Reserved subdomains must be blocked from tenant registration.</w:t>
      </w:r>
    </w:p>
    <w:p>
      <w:pPr>
        <w:pStyle w:val="Heading1"/>
      </w:pPr>
      <w:r>
        <w:t>Tenant Resolution</w:t>
      </w:r>
    </w:p>
    <w:p>
      <w:pPr>
        <w:spacing w:after="80"/>
      </w:pPr>
      <w:r>
        <w:t>Normalize request hostname → identify root/platform/tenant host → resolve tenant by slug or custom domain → verify tenant status → establish tenant context → authenticate user → verify membership → authorize action. Never trust a browser-supplied tenant_id as the source of truth.</w:t>
      </w:r>
    </w:p>
    <w:p>
      <w:pPr>
        <w:pStyle w:val="Heading1"/>
      </w:pPr>
      <w:r>
        <w:t>Data Isolation</w:t>
      </w:r>
    </w:p>
    <w:p>
      <w:pPr>
        <w:spacing w:after="80"/>
      </w:pPr>
      <w:r>
        <w:t>All tenant-owned records must be tenant-scoped. Repository/service methods must require tenant context. Test IDOR by replacing resource IDs, query parameters and hostnames. Background jobs, notifications, exports, file access and search must also enforce tenant scope.</w:t>
      </w:r>
    </w:p>
    <w:p>
      <w:pPr>
        <w:pStyle w:val="Heading1"/>
      </w:pPr>
      <w:r>
        <w:t>RBAC</w:t>
      </w:r>
    </w:p>
    <w:p>
      <w:pPr>
        <w:spacing w:after="80"/>
      </w:pPr>
      <w:r>
        <w:t>Authentication identifies the user. Authorization checks permissions. Support platform roles and tenant roles, custom roles and optional scopes by department/location/ownership. Every protected endpoint has an explicit permission requirement.</w:t>
      </w:r>
    </w:p>
    <w:p>
      <w:pPr>
        <w:pStyle w:val="Heading1"/>
      </w:pPr>
      <w:r>
        <w:t>Security</w:t>
      </w:r>
    </w:p>
    <w:p>
      <w:pPr>
        <w:spacing w:after="80"/>
      </w:pPr>
      <w:r>
        <w:t>Password hashing, secure cookies/tokens, rate limiting, validation, CSRF protection where applicable, CORS restrictions, security headers, secure file handling, signed URLs, audit logging, secret management and structured logging without sensitive data.</w:t>
      </w:r>
    </w:p>
    <w:p>
      <w:pPr>
        <w:pStyle w:val="Heading1"/>
      </w:pPr>
      <w:r>
        <w:t>Concurrency &amp; Idempotency</w:t>
      </w:r>
    </w:p>
    <w:p>
      <w:pPr>
        <w:spacing w:after="80"/>
      </w:pPr>
      <w:r>
        <w:t>Use optimistic locking/version checks where concurrent approvals or edits matter. Use idempotency keys/event identifiers for retried business operations such as payments, imports and notifications.</w:t>
      </w:r>
    </w:p>
    <w:p>
      <w:pPr>
        <w:pStyle w:val="Heading1"/>
      </w:pPr>
      <w:r>
        <w:t>Background Jobs</w:t>
      </w:r>
    </w:p>
    <w:p>
      <w:pPr>
        <w:spacing w:after="80"/>
      </w:pPr>
      <w:r>
        <w:t>Long-running tasks such as email, exports, document processing, payroll PDF generation and reminders run asynchronously. Jobs are tenant-aware, retry-safe and observable.</w:t>
      </w:r>
    </w:p>
    <w:p>
      <w:pPr>
        <w:pStyle w:val="Heading1"/>
      </w:pPr>
      <w:r>
        <w:t>Configuration</w:t>
      </w:r>
    </w:p>
    <w:p>
      <w:pPr>
        <w:spacing w:after="80"/>
      </w:pPr>
      <w:r>
        <w:t>Feature flags, organization types, module entitlements, labels, fields, workflows and policies are configuration data. Avoid if/else sprawl tied to one customer's name.</w:t>
      </w:r>
    </w:p>
    <w:p>
      <w:pPr>
        <w:pStyle w:val="Heading1"/>
      </w:pPr>
      <w:r>
        <w:t>Environments</w:t>
      </w:r>
    </w:p>
    <w:p>
      <w:pPr>
        <w:spacing w:after="80"/>
      </w:pPr>
      <w:r>
        <w:t>Development, staging and production must be separate. Use environment variables and migrations. Never use production credentials in local development.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