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Database Model &amp; API Contract</w:t>
      </w:r>
    </w:p>
    <w:p>
      <w:pPr>
        <w:jc w:val="center"/>
      </w:pPr>
      <w:r>
        <w:t>Shared core + configurable modules</w:t>
      </w:r>
    </w:p>
    <w:p>
      <w:pPr>
        <w:pStyle w:val="Heading1"/>
      </w:pPr>
      <w:r>
        <w:t>Core Platform Tables</w:t>
      </w:r>
    </w:p>
    <w:p>
      <w:pPr>
        <w:spacing w:after="80"/>
      </w:pPr>
      <w:r>
        <w:t>organizations/tenants; organization_types; organization_settings; domains; subscriptions; plans; plan_entitlements; users; people; memberships; roles; permissions; role_permissions; modules; organization_modules; organization_units; departments; designations; positions; locations; custom_field_definitions; custom_field_values; forms; form_fields; workflows; workflow_states; workflow_transitions; notifications; audit_logs.</w:t>
      </w:r>
    </w:p>
    <w:p>
      <w:pPr>
        <w:pStyle w:val="Heading1"/>
      </w:pPr>
      <w:r>
        <w:t>CRM Tables</w:t>
      </w:r>
    </w:p>
    <w:p>
      <w:pPr>
        <w:spacing w:after="80"/>
      </w:pPr>
      <w:r>
        <w:t>leads; demo_requests; lead_assignments; lead_notes; lead_tasks; lead_activities; sales_users/platform_staff; demo_events; conversion_records.</w:t>
      </w:r>
    </w:p>
    <w:p>
      <w:pPr>
        <w:pStyle w:val="Heading1"/>
      </w:pPr>
      <w:r>
        <w:t>People/HR Tables</w:t>
      </w:r>
    </w:p>
    <w:p>
      <w:pPr>
        <w:spacing w:after="80"/>
      </w:pPr>
      <w:r>
        <w:t>employees/staff profiles; employment_history; attendance_events; attendance_summaries; attendance_corrections; leave_types; leave_balances; leave_ledger; leave_requests; holidays; documents; document_types; tickets; ticket_comments; announcements; recruitment_jobs; candidates; applications; interviews; performance_reviews; assets.</w:t>
      </w:r>
    </w:p>
    <w:p>
      <w:pPr>
        <w:pStyle w:val="Heading1"/>
      </w:pPr>
      <w:r>
        <w:t>Education Tables</w:t>
      </w:r>
    </w:p>
    <w:p>
      <w:pPr>
        <w:spacing w:after="80"/>
      </w:pPr>
      <w:r>
        <w:t>students; student_enrollments; guardians; guardian_relationships; academic_years; terms/semesters; faculties; programs/courses; batches; sections; subjects; class_assignments; student_attendance. Keep education tables modular and tenant-scoped.</w:t>
      </w:r>
    </w:p>
    <w:p>
      <w:pPr>
        <w:pStyle w:val="Heading1"/>
      </w:pPr>
      <w:r>
        <w:t>Payroll Tables</w:t>
      </w:r>
    </w:p>
    <w:p>
      <w:pPr>
        <w:spacing w:after="80"/>
      </w:pPr>
      <w:r>
        <w:t>salary_structures; salary_components; payroll_runs; payroll_items; payroll_adjustments; payslips. Payroll is optional and localized/configurable.</w:t>
      </w:r>
    </w:p>
    <w:p>
      <w:pPr>
        <w:pStyle w:val="Heading1"/>
      </w:pPr>
      <w:r>
        <w:t>Tenant Fields</w:t>
      </w:r>
    </w:p>
    <w:p>
      <w:pPr>
        <w:spacing w:after="80"/>
      </w:pPr>
      <w:r>
        <w:t>Tenant-owned tables generally include id, tenant_id, created_at, updated_at, created_by/updated_by where useful, status where applicable and secure external identifiers. Use foreign keys and indexes, especially tenant_id + common filters.</w:t>
      </w:r>
    </w:p>
    <w:p>
      <w:pPr>
        <w:pStyle w:val="Heading1"/>
      </w:pPr>
      <w:r>
        <w:t>API Versioning</w:t>
      </w:r>
    </w:p>
    <w:p>
      <w:pPr>
        <w:spacing w:after="80"/>
      </w:pPr>
      <w:r>
        <w:t>Use /api/v1. REST resources should use nouns and consistent methods. Example: GET /api/v1/employees, POST /api/v1/employees, GET /api/v1/employees/{id}, PATCH /api/v1/employees/{id}. List endpoints return pagination metadata.</w:t>
      </w:r>
    </w:p>
    <w:p>
      <w:pPr>
        <w:pStyle w:val="Heading1"/>
      </w:pPr>
      <w:r>
        <w:t>Public Website APIs</w:t>
      </w:r>
    </w:p>
    <w:p>
      <w:pPr>
        <w:spacing w:after="80"/>
      </w:pPr>
      <w:r>
        <w:t>Public read APIs for approved CMS content; POST /api/v1/public/demo-requests; POST /api/v1/public/contact; availability/check endpoints for subdomains. Protect forms with validation and rate limiting.</w:t>
      </w:r>
    </w:p>
    <w:p>
      <w:pPr>
        <w:pStyle w:val="Heading1"/>
      </w:pPr>
      <w:r>
        <w:t>Platform Admin APIs</w:t>
      </w:r>
    </w:p>
    <w:p>
      <w:pPr>
        <w:spacing w:after="80"/>
      </w:pPr>
      <w:r>
        <w:t>Organizations, leads, demo requests, plans, subscriptions, CMS content, support and platform analytics. These endpoints require platform permissions and must never be exposed to normal tenant users.</w:t>
      </w:r>
    </w:p>
    <w:p>
      <w:pPr>
        <w:pStyle w:val="Heading1"/>
      </w:pPr>
      <w:r>
        <w:t>Tenant APIs</w:t>
      </w:r>
    </w:p>
    <w:p>
      <w:pPr>
        <w:spacing w:after="80"/>
      </w:pPr>
      <w:r>
        <w:t>Current organization/profile; structure; departments; designations; locations; custom fields/forms; users/roles; people/employees; attendance; leave; documents; tickets; announcements; reports; enabled modules; subscriptions where tenant access is allowed.</w:t>
      </w:r>
    </w:p>
    <w:p>
      <w:pPr>
        <w:pStyle w:val="Heading1"/>
      </w:pPr>
      <w:r>
        <w:t>Error Contract</w:t>
      </w:r>
    </w:p>
    <w:p>
      <w:pPr>
        <w:spacing w:after="80"/>
      </w:pPr>
      <w:r>
        <w:t>Consistent error code, message and validation details. Never return SQL, stack traces, secrets or internal tenant data. Handle 401/403/404/409/422/429/500 consistently.</w:t>
      </w:r>
    </w:p>
    <w:p>
      <w:pPr>
        <w:pStyle w:val="Heading1"/>
      </w:pPr>
      <w:r>
        <w:t>Migration Rule</w:t>
      </w:r>
    </w:p>
    <w:p>
      <w:pPr>
        <w:spacing w:after="80"/>
      </w:pPr>
      <w:r>
        <w:t>Schema changes require versioned migrations. New custom fields must not trigger physical schema migrations; use the custom-field model.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