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加氟活动期间，车次的服务能力在目前的情况下基本满荷运转，以此为基本，平均每辆车在当前情况下满荷运转的服务能力为每日: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3005.614,需要的总车次为 总服务能力 / (26 * 8 ) = 12.8445043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135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