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在保持现有状况的情况下，预计Q3结束后的存量用户为3403,距离目标值有较大差距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考虑注册时间已满60天客户的留存率:0.3079585</w:t>
      </w:r>
    </w:p>
    <w:p>
      <w:pPr>
        <w:pStyle w:val="BodyText"/>
      </w:pPr>
      <w:r>
        <w:t xml:space="preserve">则Q3结束实际存留客户数为: 0.3079585 * 3403 = 1047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BodyText"/>
      </w:pPr>
      <w:r>
        <w:t xml:space="preserve">活动时间为7天，日均服务车辆为3辆的情况下，每个车辆的日均服务客户数为: (196 + 106) / (3*7) = 14 基本达到每辆车次的上限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cc8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