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在保持现有状况的情况下，预计Q3结束后的存量用户为3709,距离目标值有较大差距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考虑注册时间已满60天客户的留存率:0.3107961</w:t>
      </w:r>
    </w:p>
    <w:p>
      <w:pPr>
        <w:pStyle w:val="BodyText"/>
      </w:pPr>
      <w:r>
        <w:t xml:space="preserve">则Q3结束实际存留客户数为: 0.3107961 * 3709 = 1152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实际新增客户为196户，实际唤醒流失客户为28户，唤醒率为 0.06,客户流失严重，而且重新激活的可能性较低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8单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3500 - 1714 = 1786, 根据5月份之前的历史数据来看，新增客户有0.299的可能性在30天内会重新使用服务,为了保证业务的健康发展，需要提升留存到45%，因此总的服务能力需要： 拉新 + 留存 + 拉新激活 = 3005.614,需要的总车次为 总服务能力 / (26 * 8 ) = 12.8445043</w:t>
      </w:r>
    </w:p>
    <w:p>
      <w:pPr>
        <w:pStyle w:val="BodyText"/>
      </w:pPr>
      <w:r>
        <w:t xml:space="preserve">在不增加现有车辆的情况下，提升服务效率为每日10单，那么可以完成的拉新以及留存指标为: 1272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a2e1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