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2 – Data Preprocessing and Feature Engineering Strategy</w:t>
      </w:r>
    </w:p>
    <w:p>
      <w:pPr>
        <w:jc w:val="center"/>
      </w:pPr>
      <w:r>
        <w:rPr>
          <w:i/>
          <w:sz w:val="24"/>
        </w:rPr>
        <w:t>Public-dataset preparation plan</w:t>
      </w:r>
    </w:p>
    <w:p>
      <w:pPr>
        <w:jc w:val="center"/>
      </w:pPr>
      <w:r>
        <w:rPr>
          <w:b/>
        </w:rPr>
        <w:t>YuvaIntern / NSDC – Machine Learning Engineer Internship</w:t>
        <w:br/>
      </w:r>
      <w:r>
        <w:t>Project: Heart Disease Risk Classification using Machine Learning</w:t>
        <w:br/>
      </w:r>
      <w:r>
        <w:t>Prepared for academic/internship submission</w:t>
      </w:r>
    </w:p>
    <w:p>
      <w:r>
        <w:br w:type="page"/>
      </w:r>
    </w:p>
    <w:p>
      <w:pPr>
        <w:pStyle w:val="Heading1"/>
      </w:pPr>
      <w:r>
        <w:t>Table of Contents</w:t>
      </w:r>
    </w:p>
    <w:p>
      <w:pPr>
        <w:ind w:left="288"/>
      </w:pPr>
      <w:r>
        <w:t>1  Introduction</w:t>
      </w:r>
    </w:p>
    <w:p>
      <w:pPr>
        <w:ind w:left="288"/>
      </w:pPr>
      <w:r>
        <w:t>2  Dataset Understanding</w:t>
      </w:r>
    </w:p>
    <w:p>
      <w:pPr>
        <w:ind w:left="288"/>
      </w:pPr>
      <w:r>
        <w:t>3  Data Quality Assessment</w:t>
      </w:r>
    </w:p>
    <w:p>
      <w:pPr>
        <w:ind w:left="288"/>
      </w:pPr>
      <w:r>
        <w:t>4  Cleaning Strategy</w:t>
      </w:r>
    </w:p>
    <w:p>
      <w:pPr>
        <w:ind w:left="288"/>
      </w:pPr>
      <w:r>
        <w:t>5  Feature Engineering</w:t>
      </w:r>
    </w:p>
    <w:p>
      <w:pPr>
        <w:ind w:left="288"/>
      </w:pPr>
      <w:r>
        <w:t>6  Preprocessing Pipeline</w:t>
      </w:r>
    </w:p>
    <w:p>
      <w:pPr>
        <w:ind w:left="288"/>
      </w:pPr>
      <w:r>
        <w:t>7  Step-by-Step Execution</w:t>
      </w:r>
    </w:p>
    <w:p>
      <w:pPr>
        <w:ind w:left="288"/>
      </w:pPr>
      <w:r>
        <w:t>8  Validation of Transformations</w:t>
      </w:r>
    </w:p>
    <w:p>
      <w:pPr>
        <w:ind w:left="288"/>
      </w:pPr>
      <w:r>
        <w:t>9  Risks and Controls</w:t>
      </w:r>
    </w:p>
    <w:p>
      <w:pPr>
        <w:ind w:left="288"/>
      </w:pPr>
      <w:r>
        <w:t>10  Conclusion</w:t>
      </w:r>
    </w:p>
    <w:p>
      <w:pPr>
        <w:ind w:left="288"/>
      </w:pPr>
      <w:r>
        <w:t>11  References</w:t>
      </w:r>
    </w:p>
    <w:p>
      <w:r>
        <w:br w:type="page"/>
      </w:r>
    </w:p>
    <w:p>
      <w:pPr>
        <w:pStyle w:val="Heading1"/>
      </w:pPr>
      <w:r>
        <w:t>1. Introduction</w:t>
      </w:r>
    </w:p>
    <w:p>
      <w:r>
        <w:t>Data preprocessing converts raw observations into a representation that machine learning algorithms can use reliably. The goal is not simply to remove bad rows; it is to preserve useful signal while preventing leakage, inconsistent transformations, and artificial patterns. For this project, the UCI Heart Disease dataset contains mixed feature types and documented missing values, making it appropriate for a structured preprocessing strategy.</w:t>
      </w:r>
    </w:p>
    <w:p>
      <w:pPr>
        <w:pStyle w:val="Heading1"/>
      </w:pPr>
      <w:r>
        <w:t>2. Dataset Understanding</w:t>
      </w:r>
    </w:p>
    <w:p>
      <w:r>
        <w:t>The UCI repository reports 303 Cleveland instances and 13 commonly used features. The target is commonly converted into a binary label: 0 for absence and 1 for presence by mapping original target values 1–4 to presence. The feature set contains numerical, categorical and binary variables.</w:t>
      </w:r>
    </w:p>
    <w:p>
      <w:pPr>
        <w:pStyle w:val="Heading1"/>
      </w:pPr>
      <w:r>
        <w:t>3. Data Quality Assessment</w:t>
      </w:r>
    </w:p>
    <w:p>
      <w:pPr>
        <w:pStyle w:val="ListBullet"/>
      </w:pPr>
      <w:r>
        <w:t>Inspect shape, column names and data types.</w:t>
      </w:r>
    </w:p>
    <w:p>
      <w:pPr>
        <w:pStyle w:val="ListBullet"/>
      </w:pPr>
      <w:r>
        <w:t>Calculate missing-value counts and percentages.</w:t>
      </w:r>
    </w:p>
    <w:p>
      <w:pPr>
        <w:pStyle w:val="ListBullet"/>
      </w:pPr>
      <w:r>
        <w:t>Check duplicate rows and duplicate identifiers if available.</w:t>
      </w:r>
    </w:p>
    <w:p>
      <w:pPr>
        <w:pStyle w:val="ListBullet"/>
      </w:pPr>
      <w:r>
        <w:t>Inspect unique values for categorical fields and confirm expected ranges.</w:t>
      </w:r>
    </w:p>
    <w:p>
      <w:pPr>
        <w:pStyle w:val="ListBullet"/>
      </w:pPr>
      <w:r>
        <w:t>Generate descriptive statistics for numerical variables.</w:t>
      </w:r>
    </w:p>
    <w:p>
      <w:pPr>
        <w:pStyle w:val="ListBullet"/>
      </w:pPr>
      <w:r>
        <w:t>Use histograms and boxplots to identify skew and potential outliers.</w:t>
      </w:r>
    </w:p>
    <w:p>
      <w:pPr>
        <w:pStyle w:val="ListBullet"/>
      </w:pPr>
      <w:r>
        <w:t>Inspect target distribution before selecting evaluation metrics.</w:t>
      </w:r>
    </w:p>
    <w:p>
      <w:pPr>
        <w:pStyle w:val="ListBullet"/>
      </w:pPr>
      <w:r>
        <w:t>Document every transformation in a data dictionary.</w:t>
      </w:r>
    </w:p>
    <w:p>
      <w:pPr>
        <w:pStyle w:val="Heading1"/>
      </w:pPr>
      <w:r>
        <w:t>4. Cleaning Strategy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Issue</w:t>
            </w:r>
          </w:p>
        </w:tc>
        <w:tc>
          <w:tcPr>
            <w:tcW w:type="dxa" w:w="2484"/>
            <w:vAlign w:val="center"/>
            <w:shd w:fill="D9EAF7"/>
          </w:tcPr>
          <w:p>
            <w:r/>
            <w:r>
              <w:rPr>
                <w:b/>
                <w:sz w:val="18"/>
              </w:rPr>
              <w:t>Detection</w:t>
            </w:r>
          </w:p>
        </w:tc>
        <w:tc>
          <w:tcPr>
            <w:tcW w:type="dxa" w:w="2484"/>
            <w:vAlign w:val="center"/>
            <w:shd w:fill="D9EAF7"/>
          </w:tcPr>
          <w:p>
            <w:r/>
            <w:r>
              <w:rPr>
                <w:b/>
                <w:sz w:val="18"/>
              </w:rPr>
              <w:t>Treatment</w:t>
            </w:r>
          </w:p>
        </w:tc>
        <w:tc>
          <w:tcPr>
            <w:tcW w:type="dxa" w:w="2484"/>
            <w:vAlign w:val="center"/>
            <w:shd w:fill="D9EAF7"/>
          </w:tcPr>
          <w:p>
            <w:r/>
            <w:r>
              <w:rPr>
                <w:b/>
                <w:sz w:val="18"/>
              </w:rPr>
              <w:t>Reason</w:t>
            </w:r>
          </w:p>
        </w:tc>
      </w:tr>
      <w:tr>
        <w:tc>
          <w:tcPr>
            <w:tcW w:type="dxa" w:w="2484"/>
            <w:vAlign w:val="center"/>
          </w:tcPr>
          <w:p>
            <w:r/>
            <w:r>
              <w:rPr>
                <w:b w:val="0"/>
                <w:sz w:val="18"/>
              </w:rPr>
              <w:t>Missing numerical values</w:t>
            </w:r>
          </w:p>
        </w:tc>
        <w:tc>
          <w:tcPr>
            <w:tcW w:type="dxa" w:w="2484"/>
            <w:vAlign w:val="center"/>
          </w:tcPr>
          <w:p>
            <w:r/>
            <w:r>
              <w:rPr>
                <w:b w:val="0"/>
                <w:sz w:val="18"/>
              </w:rPr>
              <w:t>isna(), missingness rate</w:t>
            </w:r>
          </w:p>
        </w:tc>
        <w:tc>
          <w:tcPr>
            <w:tcW w:type="dxa" w:w="2484"/>
            <w:vAlign w:val="center"/>
          </w:tcPr>
          <w:p>
            <w:r/>
            <w:r>
              <w:rPr>
                <w:b w:val="0"/>
                <w:sz w:val="18"/>
              </w:rPr>
              <w:t>Median imputation</w:t>
            </w:r>
          </w:p>
        </w:tc>
        <w:tc>
          <w:tcPr>
            <w:tcW w:type="dxa" w:w="2484"/>
            <w:vAlign w:val="center"/>
          </w:tcPr>
          <w:p>
            <w:r/>
            <w:r>
              <w:rPr>
                <w:b w:val="0"/>
                <w:sz w:val="18"/>
              </w:rPr>
              <w:t>Robust to skew and outliers</w:t>
            </w:r>
          </w:p>
        </w:tc>
      </w:tr>
      <w:tr>
        <w:tc>
          <w:tcPr>
            <w:tcW w:type="dxa" w:w="2484"/>
            <w:vAlign w:val="center"/>
          </w:tcPr>
          <w:p>
            <w:r/>
            <w:r>
              <w:rPr>
                <w:b w:val="0"/>
                <w:sz w:val="18"/>
              </w:rPr>
              <w:t>Missing categorical values</w:t>
            </w:r>
          </w:p>
        </w:tc>
        <w:tc>
          <w:tcPr>
            <w:tcW w:type="dxa" w:w="2484"/>
            <w:vAlign w:val="center"/>
          </w:tcPr>
          <w:p>
            <w:r/>
            <w:r>
              <w:rPr>
                <w:b w:val="0"/>
                <w:sz w:val="18"/>
              </w:rPr>
              <w:t>isna()</w:t>
            </w:r>
          </w:p>
        </w:tc>
        <w:tc>
          <w:tcPr>
            <w:tcW w:type="dxa" w:w="2484"/>
            <w:vAlign w:val="center"/>
          </w:tcPr>
          <w:p>
            <w:r/>
            <w:r>
              <w:rPr>
                <w:b w:val="0"/>
                <w:sz w:val="18"/>
              </w:rPr>
              <w:t>Most-frequent imputation</w:t>
            </w:r>
          </w:p>
        </w:tc>
        <w:tc>
          <w:tcPr>
            <w:tcW w:type="dxa" w:w="2484"/>
            <w:vAlign w:val="center"/>
          </w:tcPr>
          <w:p>
            <w:r/>
            <w:r>
              <w:rPr>
                <w:b w:val="0"/>
                <w:sz w:val="18"/>
              </w:rPr>
              <w:t>Simple and reproducible</w:t>
            </w:r>
          </w:p>
        </w:tc>
      </w:tr>
      <w:tr>
        <w:tc>
          <w:tcPr>
            <w:tcW w:type="dxa" w:w="2484"/>
            <w:vAlign w:val="center"/>
          </w:tcPr>
          <w:p>
            <w:r/>
            <w:r>
              <w:rPr>
                <w:b w:val="0"/>
                <w:sz w:val="18"/>
              </w:rPr>
              <w:t>Duplicates</w:t>
            </w:r>
          </w:p>
        </w:tc>
        <w:tc>
          <w:tcPr>
            <w:tcW w:type="dxa" w:w="2484"/>
            <w:vAlign w:val="center"/>
          </w:tcPr>
          <w:p>
            <w:r/>
            <w:r>
              <w:rPr>
                <w:b w:val="0"/>
                <w:sz w:val="18"/>
              </w:rPr>
              <w:t>duplicated()</w:t>
            </w:r>
          </w:p>
        </w:tc>
        <w:tc>
          <w:tcPr>
            <w:tcW w:type="dxa" w:w="2484"/>
            <w:vAlign w:val="center"/>
          </w:tcPr>
          <w:p>
            <w:r/>
            <w:r>
              <w:rPr>
                <w:b w:val="0"/>
                <w:sz w:val="18"/>
              </w:rPr>
              <w:t>Remove exact duplicates after inspection</w:t>
            </w:r>
          </w:p>
        </w:tc>
        <w:tc>
          <w:tcPr>
            <w:tcW w:type="dxa" w:w="2484"/>
            <w:vAlign w:val="center"/>
          </w:tcPr>
          <w:p>
            <w:r/>
            <w:r>
              <w:rPr>
                <w:b w:val="0"/>
                <w:sz w:val="18"/>
              </w:rPr>
              <w:t>Avoid repeated observations</w:t>
            </w:r>
          </w:p>
        </w:tc>
      </w:tr>
      <w:tr>
        <w:tc>
          <w:tcPr>
            <w:tcW w:type="dxa" w:w="2484"/>
            <w:vAlign w:val="center"/>
          </w:tcPr>
          <w:p>
            <w:r/>
            <w:r>
              <w:rPr>
                <w:b w:val="0"/>
                <w:sz w:val="18"/>
              </w:rPr>
              <w:t>Outliers</w:t>
            </w:r>
          </w:p>
        </w:tc>
        <w:tc>
          <w:tcPr>
            <w:tcW w:type="dxa" w:w="2484"/>
            <w:vAlign w:val="center"/>
          </w:tcPr>
          <w:p>
            <w:r/>
            <w:r>
              <w:rPr>
                <w:b w:val="0"/>
                <w:sz w:val="18"/>
              </w:rPr>
              <w:t>IQR/boxplot/domain review</w:t>
            </w:r>
          </w:p>
        </w:tc>
        <w:tc>
          <w:tcPr>
            <w:tcW w:type="dxa" w:w="2484"/>
            <w:vAlign w:val="center"/>
          </w:tcPr>
          <w:p>
            <w:r/>
            <w:r>
              <w:rPr>
                <w:b w:val="0"/>
                <w:sz w:val="18"/>
              </w:rPr>
              <w:t>Review; cap/remove only with justification</w:t>
            </w:r>
          </w:p>
        </w:tc>
        <w:tc>
          <w:tcPr>
            <w:tcW w:type="dxa" w:w="2484"/>
            <w:vAlign w:val="center"/>
          </w:tcPr>
          <w:p>
            <w:r/>
            <w:r>
              <w:rPr>
                <w:b w:val="0"/>
                <w:sz w:val="18"/>
              </w:rPr>
              <w:t>Avoid deleting valid clinical variation</w:t>
            </w:r>
          </w:p>
        </w:tc>
      </w:tr>
      <w:tr>
        <w:tc>
          <w:tcPr>
            <w:tcW w:type="dxa" w:w="2484"/>
            <w:vAlign w:val="center"/>
          </w:tcPr>
          <w:p>
            <w:r/>
            <w:r>
              <w:rPr>
                <w:b w:val="0"/>
                <w:sz w:val="18"/>
              </w:rPr>
              <w:t>Invalid categories</w:t>
            </w:r>
          </w:p>
        </w:tc>
        <w:tc>
          <w:tcPr>
            <w:tcW w:type="dxa" w:w="2484"/>
            <w:vAlign w:val="center"/>
          </w:tcPr>
          <w:p>
            <w:r/>
            <w:r>
              <w:rPr>
                <w:b w:val="0"/>
                <w:sz w:val="18"/>
              </w:rPr>
              <w:t>value_counts()</w:t>
            </w:r>
          </w:p>
        </w:tc>
        <w:tc>
          <w:tcPr>
            <w:tcW w:type="dxa" w:w="2484"/>
            <w:vAlign w:val="center"/>
          </w:tcPr>
          <w:p>
            <w:r/>
            <w:r>
              <w:rPr>
                <w:b w:val="0"/>
                <w:sz w:val="18"/>
              </w:rPr>
              <w:t>Map/flag unexpected values</w:t>
            </w:r>
          </w:p>
        </w:tc>
        <w:tc>
          <w:tcPr>
            <w:tcW w:type="dxa" w:w="2484"/>
            <w:vAlign w:val="center"/>
          </w:tcPr>
          <w:p>
            <w:r/>
            <w:r>
              <w:rPr>
                <w:b w:val="0"/>
                <w:sz w:val="18"/>
              </w:rPr>
              <w:t>Protect schema integrity</w:t>
            </w:r>
          </w:p>
        </w:tc>
      </w:tr>
      <w:tr>
        <w:tc>
          <w:tcPr>
            <w:tcW w:type="dxa" w:w="2484"/>
            <w:vAlign w:val="center"/>
          </w:tcPr>
          <w:p>
            <w:r/>
            <w:r>
              <w:rPr>
                <w:b w:val="0"/>
                <w:sz w:val="18"/>
              </w:rPr>
              <w:t>Target encoding</w:t>
            </w:r>
          </w:p>
        </w:tc>
        <w:tc>
          <w:tcPr>
            <w:tcW w:type="dxa" w:w="2484"/>
            <w:vAlign w:val="center"/>
          </w:tcPr>
          <w:p>
            <w:r/>
            <w:r>
              <w:rPr>
                <w:b w:val="0"/>
                <w:sz w:val="18"/>
              </w:rPr>
              <w:t>Unique target values</w:t>
            </w:r>
          </w:p>
        </w:tc>
        <w:tc>
          <w:tcPr>
            <w:tcW w:type="dxa" w:w="2484"/>
            <w:vAlign w:val="center"/>
          </w:tcPr>
          <w:p>
            <w:r/>
            <w:r>
              <w:rPr>
                <w:b w:val="0"/>
                <w:sz w:val="18"/>
              </w:rPr>
              <w:t>Binary mapping</w:t>
            </w:r>
          </w:p>
        </w:tc>
        <w:tc>
          <w:tcPr>
            <w:tcW w:type="dxa" w:w="2484"/>
            <w:vAlign w:val="center"/>
          </w:tcPr>
          <w:p>
            <w:r/>
            <w:r>
              <w:rPr>
                <w:b w:val="0"/>
                <w:sz w:val="18"/>
              </w:rPr>
              <w:t>Match classification objective</w:t>
            </w:r>
          </w:p>
        </w:tc>
      </w:tr>
    </w:tbl>
    <w:p>
      <w:pPr>
        <w:pStyle w:val="Heading1"/>
      </w:pPr>
      <w:r>
        <w:t>5. Feature Engineering</w:t>
      </w:r>
    </w:p>
    <w:p>
      <w:r>
        <w:t>Feature engineering will focus on transformations that are explainable and reproducible. One-hot encoding will represent nominal categorical variables without imposing false numeric order. StandardScaler will be used for scale-sensitive models such as Logistic Regression. Tree-based models can generally work without scaling, so the pipeline will keep preprocessing model-specific.</w:t>
      </w:r>
    </w:p>
    <w:p>
      <w:pPr>
        <w:pStyle w:val="ListBullet"/>
      </w:pPr>
      <w:r>
        <w:t>One-hot encode nominal categorical features.</w:t>
      </w:r>
    </w:p>
    <w:p>
      <w:pPr>
        <w:pStyle w:val="ListBullet"/>
      </w:pPr>
      <w:r>
        <w:t>Keep binary indicators as numeric 0/1 after validation.</w:t>
      </w:r>
    </w:p>
    <w:p>
      <w:pPr>
        <w:pStyle w:val="ListBullet"/>
      </w:pPr>
      <w:r>
        <w:t>Standardize numerical features for Logistic Regression.</w:t>
      </w:r>
    </w:p>
    <w:p>
      <w:pPr>
        <w:pStyle w:val="ListBullet"/>
      </w:pPr>
      <w:r>
        <w:t>Optionally create clinically interpretable ratios only if justified and tested through cross-validation.</w:t>
      </w:r>
    </w:p>
    <w:p>
      <w:pPr>
        <w:pStyle w:val="ListBullet"/>
      </w:pPr>
      <w:r>
        <w:t>Use feature selection cautiously; avoid selecting features using the test set.</w:t>
      </w:r>
    </w:p>
    <w:p>
      <w:pPr>
        <w:pStyle w:val="ListBullet"/>
      </w:pPr>
      <w:r>
        <w:t>PCA is considered optional because interpretability is valuable for this small feature set.</w:t>
      </w:r>
    </w:p>
    <w:p>
      <w:pPr>
        <w:pStyle w:val="Heading1"/>
      </w:pPr>
      <w:r>
        <w:t>6. Preprocessing Pipeline</w:t>
      </w:r>
    </w:p>
    <w:p>
      <w:pPr>
        <w:pStyle w:val="NoSpacing"/>
        <w:spacing w:after="120"/>
        <w:ind w:left="360"/>
      </w:pPr>
      <w:r>
        <w:rPr>
          <w:rFonts w:ascii="Courier New" w:hAnsi="Courier New"/>
          <w:sz w:val="17"/>
        </w:rPr>
        <w:t>import pandas as pd</w:t>
        <w:br/>
        <w:t>from sklearn.compose import ColumnTransformer</w:t>
        <w:br/>
        <w:t>from sklearn.pipeline import Pipeline</w:t>
        <w:br/>
        <w:t>from sklearn.impute import SimpleImputer</w:t>
        <w:br/>
        <w:t>from sklearn.preprocessing import OneHotEncoder, StandardScaler</w:t>
        <w:br/>
        <w:br/>
        <w:t>numeric_features = ["age","trestbps","chol","thalach","oldpeak"]</w:t>
        <w:br/>
        <w:t>categorical_features = ["cp","restecg","slope","thal"]</w:t>
        <w:br/>
        <w:br/>
        <w:t>numeric_pipe = Pipeline([</w:t>
        <w:br/>
        <w:t xml:space="preserve">    ("imputer", SimpleImputer(strategy="median")),</w:t>
        <w:br/>
        <w:t xml:space="preserve">    ("scaler", StandardScaler())</w:t>
        <w:br/>
        <w:t>])</w:t>
        <w:br/>
        <w:br/>
        <w:t>categorical_pipe = Pipeline([</w:t>
        <w:br/>
        <w:t xml:space="preserve">    ("imputer", SimpleImputer(strategy="most_frequent")),</w:t>
        <w:br/>
        <w:t xml:space="preserve">    ("encoder", OneHotEncoder(handle_unknown="ignore"))</w:t>
        <w:br/>
        <w:t>])</w:t>
        <w:br/>
        <w:br/>
        <w:t>preprocessor = ColumnTransformer([</w:t>
        <w:br/>
        <w:t xml:space="preserve">    ("num", numeric_pipe, numeric_features),</w:t>
        <w:br/>
        <w:t xml:space="preserve">    ("cat", categorical_pipe, categorical_features)</w:t>
        <w:br/>
        <w:t>])</w:t>
      </w:r>
    </w:p>
    <w:p>
      <w:pPr>
        <w:pStyle w:val="Heading1"/>
      </w:pPr>
      <w:r>
        <w:t>7. Step-by-Step Execution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Step</w:t>
            </w:r>
          </w:p>
        </w:tc>
        <w:tc>
          <w:tcPr>
            <w:tcW w:type="dxa" w:w="4968"/>
            <w:vAlign w:val="center"/>
            <w:shd w:fill="D9EAF7"/>
          </w:tcPr>
          <w:p>
            <w:r/>
            <w:r>
              <w:rPr>
                <w:b/>
                <w:sz w:val="18"/>
              </w:rPr>
              <w:t>Action</w:t>
            </w:r>
          </w:p>
        </w:tc>
      </w:tr>
      <w:tr>
        <w:tc>
          <w:tcPr>
            <w:tcW w:type="dxa" w:w="4968"/>
            <w:vAlign w:val="center"/>
          </w:tcPr>
          <w:p>
            <w:r/>
            <w:r>
              <w:rPr>
                <w:b w:val="0"/>
                <w:sz w:val="18"/>
              </w:rPr>
              <w:t>Step 1</w:t>
            </w:r>
          </w:p>
        </w:tc>
        <w:tc>
          <w:tcPr>
            <w:tcW w:type="dxa" w:w="4968"/>
            <w:vAlign w:val="center"/>
          </w:tcPr>
          <w:p>
            <w:r/>
            <w:r>
              <w:rPr>
                <w:b w:val="0"/>
                <w:sz w:val="18"/>
              </w:rPr>
              <w:t>Load data and inspect schema.</w:t>
            </w:r>
          </w:p>
        </w:tc>
      </w:tr>
      <w:tr>
        <w:tc>
          <w:tcPr>
            <w:tcW w:type="dxa" w:w="4968"/>
            <w:vAlign w:val="center"/>
          </w:tcPr>
          <w:p>
            <w:r/>
            <w:r>
              <w:rPr>
                <w:b w:val="0"/>
                <w:sz w:val="18"/>
              </w:rPr>
              <w:t>Step 2</w:t>
            </w:r>
          </w:p>
        </w:tc>
        <w:tc>
          <w:tcPr>
            <w:tcW w:type="dxa" w:w="4968"/>
            <w:vAlign w:val="center"/>
          </w:tcPr>
          <w:p>
            <w:r/>
            <w:r>
              <w:rPr>
                <w:b w:val="0"/>
                <w:sz w:val="18"/>
              </w:rPr>
              <w:t>Replace missing markers such as '?' with NaN.</w:t>
            </w:r>
          </w:p>
        </w:tc>
      </w:tr>
      <w:tr>
        <w:tc>
          <w:tcPr>
            <w:tcW w:type="dxa" w:w="4968"/>
            <w:vAlign w:val="center"/>
          </w:tcPr>
          <w:p>
            <w:r/>
            <w:r>
              <w:rPr>
                <w:b w:val="0"/>
                <w:sz w:val="18"/>
              </w:rPr>
              <w:t>Step 3</w:t>
            </w:r>
          </w:p>
        </w:tc>
        <w:tc>
          <w:tcPr>
            <w:tcW w:type="dxa" w:w="4968"/>
            <w:vAlign w:val="center"/>
          </w:tcPr>
          <w:p>
            <w:r/>
            <w:r>
              <w:rPr>
                <w:b w:val="0"/>
                <w:sz w:val="18"/>
              </w:rPr>
              <w:t>Convert columns to appropriate numeric/categorical types.</w:t>
            </w:r>
          </w:p>
        </w:tc>
      </w:tr>
      <w:tr>
        <w:tc>
          <w:tcPr>
            <w:tcW w:type="dxa" w:w="4968"/>
            <w:vAlign w:val="center"/>
          </w:tcPr>
          <w:p>
            <w:r/>
            <w:r>
              <w:rPr>
                <w:b w:val="0"/>
                <w:sz w:val="18"/>
              </w:rPr>
              <w:t>Step 4</w:t>
            </w:r>
          </w:p>
        </w:tc>
        <w:tc>
          <w:tcPr>
            <w:tcW w:type="dxa" w:w="4968"/>
            <w:vAlign w:val="center"/>
          </w:tcPr>
          <w:p>
            <w:r/>
            <w:r>
              <w:rPr>
                <w:b w:val="0"/>
                <w:sz w:val="18"/>
              </w:rPr>
              <w:t>Map the target to binary absence/presence.</w:t>
            </w:r>
          </w:p>
        </w:tc>
      </w:tr>
      <w:tr>
        <w:tc>
          <w:tcPr>
            <w:tcW w:type="dxa" w:w="4968"/>
            <w:vAlign w:val="center"/>
          </w:tcPr>
          <w:p>
            <w:r/>
            <w:r>
              <w:rPr>
                <w:b w:val="0"/>
                <w:sz w:val="18"/>
              </w:rPr>
              <w:t>Step 5</w:t>
            </w:r>
          </w:p>
        </w:tc>
        <w:tc>
          <w:tcPr>
            <w:tcW w:type="dxa" w:w="4968"/>
            <w:vAlign w:val="center"/>
          </w:tcPr>
          <w:p>
            <w:r/>
            <w:r>
              <w:rPr>
                <w:b w:val="0"/>
                <w:sz w:val="18"/>
              </w:rPr>
              <w:t>Perform train/test split before learning imputation or scaling parameters.</w:t>
            </w:r>
          </w:p>
        </w:tc>
      </w:tr>
      <w:tr>
        <w:tc>
          <w:tcPr>
            <w:tcW w:type="dxa" w:w="4968"/>
            <w:vAlign w:val="center"/>
          </w:tcPr>
          <w:p>
            <w:r/>
            <w:r>
              <w:rPr>
                <w:b w:val="0"/>
                <w:sz w:val="18"/>
              </w:rPr>
              <w:t>Step 6</w:t>
            </w:r>
          </w:p>
        </w:tc>
        <w:tc>
          <w:tcPr>
            <w:tcW w:type="dxa" w:w="4968"/>
            <w:vAlign w:val="center"/>
          </w:tcPr>
          <w:p>
            <w:r/>
            <w:r>
              <w:rPr>
                <w:b w:val="0"/>
                <w:sz w:val="18"/>
              </w:rPr>
              <w:t>Fit the preprocessing transformer only on the training data.</w:t>
            </w:r>
          </w:p>
        </w:tc>
      </w:tr>
      <w:tr>
        <w:tc>
          <w:tcPr>
            <w:tcW w:type="dxa" w:w="4968"/>
            <w:vAlign w:val="center"/>
          </w:tcPr>
          <w:p>
            <w:r/>
            <w:r>
              <w:rPr>
                <w:b w:val="0"/>
                <w:sz w:val="18"/>
              </w:rPr>
              <w:t>Step 7</w:t>
            </w:r>
          </w:p>
        </w:tc>
        <w:tc>
          <w:tcPr>
            <w:tcW w:type="dxa" w:w="4968"/>
            <w:vAlign w:val="center"/>
          </w:tcPr>
          <w:p>
            <w:r/>
            <w:r>
              <w:rPr>
                <w:b w:val="0"/>
                <w:sz w:val="18"/>
              </w:rPr>
              <w:t>Transform validation/test data using the fitted transformer.</w:t>
            </w:r>
          </w:p>
        </w:tc>
      </w:tr>
      <w:tr>
        <w:tc>
          <w:tcPr>
            <w:tcW w:type="dxa" w:w="4968"/>
            <w:vAlign w:val="center"/>
          </w:tcPr>
          <w:p>
            <w:r/>
            <w:r>
              <w:rPr>
                <w:b w:val="0"/>
                <w:sz w:val="18"/>
              </w:rPr>
              <w:t>Step 8</w:t>
            </w:r>
          </w:p>
        </w:tc>
        <w:tc>
          <w:tcPr>
            <w:tcW w:type="dxa" w:w="4968"/>
            <w:vAlign w:val="center"/>
          </w:tcPr>
          <w:p>
            <w:r/>
            <w:r>
              <w:rPr>
                <w:b w:val="0"/>
                <w:sz w:val="18"/>
              </w:rPr>
              <w:t>Verify that no unexpected NaNs or unseen-category errors remain.</w:t>
            </w:r>
          </w:p>
        </w:tc>
      </w:tr>
      <w:tr>
        <w:tc>
          <w:tcPr>
            <w:tcW w:type="dxa" w:w="4968"/>
            <w:vAlign w:val="center"/>
          </w:tcPr>
          <w:p>
            <w:r/>
            <w:r>
              <w:rPr>
                <w:b w:val="0"/>
                <w:sz w:val="18"/>
              </w:rPr>
              <w:t>Step 9</w:t>
            </w:r>
          </w:p>
        </w:tc>
        <w:tc>
          <w:tcPr>
            <w:tcW w:type="dxa" w:w="4968"/>
            <w:vAlign w:val="center"/>
          </w:tcPr>
          <w:p>
            <w:r/>
            <w:r>
              <w:rPr>
                <w:b w:val="0"/>
                <w:sz w:val="18"/>
              </w:rPr>
              <w:t>Save transformation decisions in the README and report.</w:t>
            </w:r>
          </w:p>
        </w:tc>
      </w:tr>
    </w:tbl>
    <w:p>
      <w:pPr>
        <w:pStyle w:val="Heading1"/>
      </w:pPr>
      <w:r>
        <w:t>8. Validation of Transformations</w:t>
      </w:r>
    </w:p>
    <w:p>
      <w:pPr>
        <w:pStyle w:val="NoSpacing"/>
        <w:spacing w:after="120"/>
        <w:ind w:left="360"/>
      </w:pPr>
      <w:r>
        <w:rPr>
          <w:rFonts w:ascii="Courier New" w:hAnsi="Courier New"/>
          <w:sz w:val="17"/>
        </w:rPr>
        <w:t>print(df.shape)</w:t>
        <w:br/>
        <w:t>print(df.isna().sum())</w:t>
        <w:br/>
        <w:t>print(df.duplicated().sum())</w:t>
        <w:br/>
        <w:t>print(y.value_counts(normalize=True))</w:t>
        <w:br/>
        <w:t>print(X_train.shape, X_test.shape)</w:t>
        <w:br/>
        <w:t>X_train_ready = preprocessor.fit_transform(X_train)</w:t>
        <w:br/>
        <w:t>X_test_ready = preprocessor.transform(X_test)</w:t>
        <w:br/>
        <w:t>print(X_train_ready.shape, X_test_ready.shape)</w:t>
      </w:r>
    </w:p>
    <w:p>
      <w:r>
        <w:t>Example expected output: missing values are handled by the pipeline; the transformed training and test matrices have the same number of columns; the test set is never used to estimate imputation medians, category mappings or scaling statistics.</w:t>
      </w:r>
    </w:p>
    <w:p>
      <w:pPr>
        <w:pStyle w:val="Heading1"/>
      </w:pPr>
      <w:r>
        <w:t>9. Risks and Controls</w:t>
      </w:r>
    </w:p>
    <w:p>
      <w:pPr>
        <w:pStyle w:val="ListBullet"/>
      </w:pPr>
      <w:r>
        <w:t>Leakage from fitting transformers before splitting: prevented with Pipeline and train/test separation.</w:t>
      </w:r>
    </w:p>
    <w:p>
      <w:pPr>
        <w:pStyle w:val="ListBullet"/>
      </w:pPr>
      <w:r>
        <w:t>Over-cleaning: every removed or capped observation must have a documented reason.</w:t>
      </w:r>
    </w:p>
    <w:p>
      <w:pPr>
        <w:pStyle w:val="ListBullet"/>
      </w:pPr>
      <w:r>
        <w:t>Encoding mismatch: handle_unknown='ignore' protects inference from unseen categories.</w:t>
      </w:r>
    </w:p>
    <w:p>
      <w:pPr>
        <w:pStyle w:val="ListBullet"/>
      </w:pPr>
      <w:r>
        <w:t>Small-sample instability: use repeated or stratified cross-validation during later modeling.</w:t>
      </w:r>
    </w:p>
    <w:p>
      <w:pPr>
        <w:pStyle w:val="ListBullet"/>
      </w:pPr>
      <w:r>
        <w:t>Feature engineering leakage: calculate any learned transformation only inside training folds.</w:t>
      </w:r>
    </w:p>
    <w:p>
      <w:pPr>
        <w:pStyle w:val="Heading1"/>
      </w:pPr>
      <w:r>
        <w:t>10. Conclusion</w:t>
      </w:r>
    </w:p>
    <w:p>
      <w:r>
        <w:t>The proposed preprocessing strategy creates a repeatable, leakage-aware foundation for Weeks 3–6. It uses pandas and NumPy for inspection and scikit-learn transformers for production-style preprocessing. The emphasis is on traceability: every cleaning decision has a detection method, a rationale and a verification step.</w:t>
      </w:r>
    </w:p>
    <w:p>
      <w:pPr>
        <w:pStyle w:val="Heading1"/>
      </w:pPr>
      <w:r>
        <w:t>References</w:t>
      </w:r>
    </w:p>
    <w:p>
      <w:pPr>
        <w:pStyle w:val="ListBullet"/>
      </w:pPr>
      <w:r>
        <w:t>UCI Machine Learning Repository, Heart Disease dataset, Dataset ID 45, DOI: 10.24432/C52P4X.</w:t>
      </w:r>
    </w:p>
    <w:p>
      <w:pPr>
        <w:pStyle w:val="ListBullet"/>
      </w:pPr>
      <w:r>
        <w:t>scikit-learn documentation, Machine Learning in Python: https://scikit-learn.org/</w:t>
      </w:r>
    </w:p>
    <w:p>
      <w:pPr>
        <w:pStyle w:val="ListBullet"/>
      </w:pPr>
      <w:r>
        <w:t>scikit-learn documentation, Dataset transformations and preprocessing: https://scikit-learn.org/stable/data_transforms.html</w:t>
      </w:r>
    </w:p>
    <w:p>
      <w:pPr>
        <w:pStyle w:val="ListBullet"/>
      </w:pPr>
      <w:r>
        <w:t>scikit-learn documentation, Metrics and scoring: https://scikit-learn.org/stable/api/sklearn.metrics.html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