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Business Case: Aftersales Service No-Show Risk Flagging</w:t>
      </w:r>
    </w:p>
    <w:p>
      <w:pPr>
        <w:spacing w:after="240"/>
      </w:pPr>
      <w:r>
        <w:rPr>
          <w:i/>
          <w:iCs/>
          <w:color w:val="555555"/>
          <w:sz w:val="17"/>
          <w:szCs w:val="17"/>
          <w:rFonts w:ascii="Calibri" w:cs="Calibri" w:eastAsia="Calibri" w:hAnsi="Calibri"/>
        </w:rPr>
        <w:t xml:space="preserve">Illustrative business case on synthetic data.</w:t>
      </w:r>
    </w:p>
    <w:p>
      <w:pPr>
        <w:pBdr>
          <w:bottom w:val="single" w:color="CCCCCC" w:sz="6" w:space="2"/>
        </w:pBdr>
        <w:spacing w:before="200" w:after="10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1. Problem</w:t>
      </w:r>
    </w:p>
    <w:p>
      <w:pPr>
        <w:spacing w:after="120"/>
      </w:pPr>
      <w:r>
        <w:rPr>
          <w:color w:val="222222"/>
          <w:sz w:val="20"/>
          <w:szCs w:val="20"/>
          <w:rFonts w:ascii="Calibri" w:cs="Calibri" w:eastAsia="Calibri" w:hAnsi="Calibri"/>
        </w:rPr>
        <w:t xml:space="preserve">Service departments lose revenue and technician capacity when customers who booked an appointment don't show up. No-show slots can rarely be filled on short notice, so the capacity is simply lost for that day. In this illustrative dataset, service no-shows occur at 27.2% of booked appointments — broadly in line with published aftersales industry ranges.</w:t>
      </w:r>
    </w:p>
    <w:p>
      <w:pPr>
        <w:pBdr>
          <w:bottom w:val="single" w:color="CCCCCC" w:sz="6" w:space="2"/>
        </w:pBdr>
        <w:spacing w:before="200" w:after="10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2. Proposed AI Use Case</w:t>
      </w:r>
    </w:p>
    <w:p>
      <w:pPr>
        <w:spacing w:after="120"/>
      </w:pPr>
      <w:r>
        <w:rPr>
          <w:color w:val="222222"/>
          <w:sz w:val="20"/>
          <w:szCs w:val="20"/>
          <w:rFonts w:ascii="Calibri" w:cs="Calibri" w:eastAsia="Calibri" w:hAnsi="Calibri"/>
        </w:rPr>
        <w:t xml:space="preserve">A no-show risk classifier trained on appointment attributes already captured at booking time (lead time, prior no-show history, reminder status, booking channel, distance to dealer) flags the riskiest appointments in advance, so the service team can intervene — an extra reminder call, a proactive reschedule offer, or light overbooking of that slot — before the appointment window, rather than discovering the no-show after the fact.</w:t>
      </w:r>
    </w:p>
    <w:p>
      <w:pPr>
        <w:pBdr>
          <w:bottom w:val="single" w:color="CCCCCC" w:sz="6" w:space="2"/>
        </w:pBdr>
        <w:spacing w:before="200" w:after="10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3. Evidence: Model Performance (Measured, Not Assumed)</w:t>
      </w:r>
    </w:p>
    <w:p>
      <w:pPr>
        <w:spacing w:after="120"/>
      </w:pPr>
      <w:r>
        <w:rPr>
          <w:color w:val="222222"/>
          <w:sz w:val="20"/>
          <w:szCs w:val="20"/>
          <w:rFonts w:ascii="Calibri" w:cs="Calibri" w:eastAsia="Calibri" w:hAnsi="Calibri"/>
        </w:rPr>
        <w:t xml:space="preserve">A logistic regression classifier was trained and evaluated on a held-out test split: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"/>
        <w:gridCol w:w="50"/>
      </w:tblGrid>
      <w:tr>
        <w:tc>
          <w:tcPr>
            <w:tcW w:type="pct" w:w="0.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Metric</w:t>
            </w:r>
          </w:p>
        </w:tc>
        <w:tc>
          <w:tcPr>
            <w:tcW w:type="pct" w:w="0.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Result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Held-out ROC-AUC</w:t>
            </w:r>
          </w:p>
        </w:tc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0.78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Flagging threshold</w:t>
            </w:r>
          </w:p>
        </w:tc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Top ~25% of appointments by predicted risk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Recall at this threshold</w:t>
            </w:r>
          </w:p>
        </w:tc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50% of true no-shows caught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Precision at this threshold</w:t>
            </w:r>
          </w:p>
        </w:tc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55% (vs. 27% base rate — 2x lift)</w:t>
            </w:r>
          </w:p>
        </w:tc>
      </w:tr>
    </w:tbl>
    <w:p>
      <w:pPr>
        <w:spacing w:before="120" w:after="120"/>
      </w:pPr>
    </w:p>
    <w:p>
      <w:pPr>
        <w:spacing w:after="120"/>
      </w:pPr>
      <w:r>
        <w:rPr>
          <w:i/>
          <w:iCs/>
          <w:color w:val="555555"/>
          <w:sz w:val="18"/>
          <w:szCs w:val="18"/>
          <w:rFonts w:ascii="Calibri" w:cs="Calibri" w:eastAsia="Calibri" w:hAnsi="Calibri"/>
        </w:rPr>
        <w:t xml:space="preserve">0.78 AUC reflects genuine, useful signal — not a suspiciously perfect model. No-show behavior is inherently noisy; this model is not presented as a precise individual predictor, but as a way to prioritize a limited pool of intervention capacity toward higher-risk appointments.</w:t>
      </w:r>
    </w:p>
    <w:p>
      <w:pPr>
        <w:pBdr>
          <w:bottom w:val="single" w:color="CCCCCC" w:sz="6" w:space="2"/>
        </w:pBdr>
        <w:spacing w:before="200" w:after="10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4. Cost-Benefit (Illustrative Assumptions, Stated Explicitly)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"/>
        <w:gridCol w:w="35"/>
      </w:tblGrid>
      <w:tr>
        <w:tc>
          <w:tcPr>
            <w:tcW w:type="pct" w:w="0.6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Assumption</w:t>
            </w:r>
          </w:p>
        </w:tc>
        <w:tc>
          <w:tcPr>
            <w:tcW w:type="pct" w:w="0.3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Value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Illustrative annual appointment volume (single region)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40,000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Value at risk per idle service slot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€180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Cost per intervention (reminder call/SMS)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€3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Share of flagged true no-shows recovered by intervention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35% (headline) — see sensitivity below</w:t>
            </w:r>
          </w:p>
        </w:tc>
      </w:tr>
    </w:tbl>
    <w:p>
      <w:pPr>
        <w:spacing w:before="12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"/>
        <w:gridCol w:w="35"/>
      </w:tblGrid>
      <w:tr>
        <w:tc>
          <w:tcPr>
            <w:tcW w:type="pct" w:w="0.6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Result (at headline assumptions)</w:t>
            </w:r>
          </w:p>
        </w:tc>
        <w:tc>
          <w:tcPr>
            <w:tcW w:type="pct" w:w="0.3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Value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Appointments flagged annually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~9,800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True no-shows caught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~5,400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Appointments recovered by intervention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~1,900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Total intervention cost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€29,400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Value recovered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€342,900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Net benefit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€313,500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ROI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10.6x</w:t>
            </w:r>
          </w:p>
        </w:tc>
      </w:tr>
    </w:tbl>
    <w:p>
      <w:pPr>
        <w:pBdr>
          <w:bottom w:val="single" w:color="CCCCCC" w:sz="6" w:space="2"/>
        </w:pBdr>
        <w:spacing w:before="200" w:after="10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5. Sensitivity — Because the Recovery-Rate Assumption Is the Least Certain Number</w:t>
      </w:r>
    </w:p>
    <w:p>
      <w:pPr>
        <w:spacing w:after="120"/>
      </w:pPr>
      <w:r>
        <w:rPr>
          <w:color w:val="222222"/>
          <w:sz w:val="20"/>
          <w:szCs w:val="20"/>
          <w:rFonts w:ascii="Calibri" w:cs="Calibri" w:eastAsia="Calibri" w:hAnsi="Calibri"/>
        </w:rPr>
        <w:t xml:space="preserve">The intervention recovery rate (35% headline) has no real data behind it and is the most uncertain input. Rather than present a single point estimate, the net benefit is shown across a conservative range: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30"/>
        <w:gridCol w:w="30"/>
      </w:tblGrid>
      <w:tr>
        <w:tc>
          <w:tcPr>
            <w:tcW w:type="pct" w:w="0.4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Recovery rate</w:t>
            </w:r>
          </w:p>
        </w:tc>
        <w:tc>
          <w:tcPr>
            <w:tcW w:type="pct" w:w="0.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Net benefit</w:t>
            </w:r>
          </w:p>
        </w:tc>
        <w:tc>
          <w:tcPr>
            <w:tcW w:type="pct" w:w="0.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ROI</w:t>
            </w:r>
          </w:p>
        </w:tc>
      </w:tr>
      <w:tr>
        <w:tc>
          <w:tcPr>
            <w:tcW w:type="pct" w:w="0.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15% (conservative)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€117,500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4.0x</w:t>
            </w:r>
          </w:p>
        </w:tc>
      </w:tr>
      <w:tr>
        <w:tc>
          <w:tcPr>
            <w:tcW w:type="pct" w:w="0.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25%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€215,500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7.3x</w:t>
            </w:r>
          </w:p>
        </w:tc>
      </w:tr>
      <w:tr>
        <w:tc>
          <w:tcPr>
            <w:tcW w:type="pct" w:w="0.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35% (headline)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€313,500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10.6x</w:t>
            </w:r>
          </w:p>
        </w:tc>
      </w:tr>
      <w:tr>
        <w:tc>
          <w:tcPr>
            <w:tcW w:type="pct" w:w="0.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50% (optimistic)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€460,500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15.6x</w:t>
            </w:r>
          </w:p>
        </w:tc>
      </w:tr>
    </w:tbl>
    <w:p>
      <w:pPr>
        <w:spacing w:before="120" w:after="120"/>
      </w:pPr>
    </w:p>
    <w:p>
      <w:pPr>
        <w:spacing w:after="120"/>
      </w:pPr>
      <w:r>
        <w:rPr>
          <w:color w:val="222222"/>
          <w:sz w:val="20"/>
          <w:szCs w:val="20"/>
          <w:rFonts w:ascii="Calibri" w:cs="Calibri" w:eastAsia="Calibri" w:hAnsi="Calibri"/>
        </w:rPr>
        <w:t xml:space="preserve">Net benefit stays clearly positive even at the conservative end of this range, because the cost asymmetry driving the case — a €3 intervention against a €180 idle slot — is structural, not dependent on an optimistic recovery-rate assumption.</w:t>
      </w:r>
    </w:p>
    <w:p>
      <w:pPr>
        <w:pBdr>
          <w:bottom w:val="single" w:color="CCCCCC" w:sz="6" w:space="2"/>
        </w:pBdr>
        <w:spacing w:before="200" w:after="10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6. KPIs to Track Post-Launch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  <w:rFonts w:ascii="Calibri" w:cs="Calibri" w:eastAsia="Calibri" w:hAnsi="Calibri"/>
        </w:rPr>
        <w:t xml:space="preserve">No-show rate (overall, and specifically within the flagged high-risk segment)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  <w:rFonts w:ascii="Calibri" w:cs="Calibri" w:eastAsia="Calibri" w:hAnsi="Calibri"/>
        </w:rPr>
        <w:t xml:space="preserve">Precision and recall of the flagging model against realized outcomes, tracked monthly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  <w:rFonts w:ascii="Calibri" w:cs="Calibri" w:eastAsia="Calibri" w:hAnsi="Calibri"/>
        </w:rPr>
        <w:t xml:space="preserve">Intervention response rate (share of flagged customers who engage with the outreach)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  <w:rFonts w:ascii="Calibri" w:cs="Calibri" w:eastAsia="Calibri" w:hAnsi="Calibri"/>
        </w:rPr>
        <w:t xml:space="preserve">Net service-bay utilization recovered, in €, vs. the model's projection</w:t>
      </w:r>
    </w:p>
    <w:p>
      <w:pPr>
        <w:pBdr>
          <w:bottom w:val="single" w:color="CCCCCC" w:sz="6" w:space="2"/>
        </w:pBdr>
        <w:spacing w:before="200" w:after="10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7.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c>
          <w:tcPr>
            <w:tcW w:type="pct" w:w="0.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Phase</w:t>
            </w:r>
          </w:p>
        </w:tc>
        <w:tc>
          <w:tcPr>
            <w:tcW w:type="pct" w:w="0.7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Milestone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Phase 1 (Weeks 1–4)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Validate data availability across regions; retrain and calibrate model on real historical data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Phase 2 (Weeks 5–8)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Pilot in one region with a manual intervention workflow; track actual precision/recall vs. projected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Phase 3 (Weeks 9–12)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Evaluate pilot results against KPIs; decide on rollout, threshold tuning, or discontinuation</w:t>
            </w:r>
          </w:p>
        </w:tc>
      </w:tr>
    </w:tbl>
    <w:p>
      <w:pPr>
        <w:pBdr>
          <w:bottom w:val="single" w:color="CCCCCC" w:sz="6" w:space="2"/>
        </w:pBdr>
        <w:spacing w:before="200" w:after="10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8. Scope &amp; Next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  <w:rFonts w:ascii="Calibri" w:cs="Calibri" w:eastAsia="Calibri" w:hAnsi="Calibri"/>
        </w:rPr>
        <w:t xml:space="preserve">All data is synthetic; no real manufacturer, dealer, or customer data was used. Real historical data would very likely show different feature relationships and no-show base rates.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  <w:rFonts w:ascii="Calibri" w:cs="Calibri" w:eastAsia="Calibri" w:hAnsi="Calibri"/>
        </w:rPr>
        <w:t xml:space="preserve">The 35% recovery rate is a planning assumption; pilot data will replace it before the business case is finalized.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  <w:rFonts w:ascii="Calibri" w:cs="Calibri" w:eastAsia="Calibri" w:hAnsi="Calibri"/>
        </w:rPr>
        <w:t xml:space="preserve">The 0.78 AUC model is designed as a prioritization tool that directs limited intervention capacity to the appointments most likely to be missed.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2026-10-05T17:32:12.098Z</dcterms:created>
  <dcterms:modified xsi:type="dcterms:W3CDTF">2026-10-05T17:32:12.098Z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