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D7F" w:rsidRPr="002F324A" w:rsidRDefault="00146D7F" w:rsidP="00146D7F">
      <w:pPr>
        <w:rPr>
          <w:rFonts w:ascii="Arial" w:hAnsi="Arial" w:cs="Arial"/>
          <w:b/>
          <w:sz w:val="24"/>
          <w:szCs w:val="24"/>
        </w:rPr>
      </w:pPr>
      <w:r w:rsidRPr="002F324A">
        <w:rPr>
          <w:rFonts w:ascii="Arial" w:hAnsi="Arial" w:cs="Arial"/>
          <w:b/>
          <w:sz w:val="24"/>
          <w:szCs w:val="24"/>
        </w:rPr>
        <w:t>SWOT-analyysi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146D7F">
        <w:rPr>
          <w:rFonts w:ascii="Arial" w:hAnsi="Arial" w:cs="Arial"/>
          <w:sz w:val="28"/>
          <w:szCs w:val="28"/>
        </w:rPr>
        <w:t>SWOT -analyysi</w:t>
      </w:r>
      <w:r w:rsidRPr="00982C58">
        <w:rPr>
          <w:rFonts w:ascii="Arial" w:hAnsi="Arial" w:cs="Arial"/>
          <w:sz w:val="24"/>
          <w:szCs w:val="24"/>
        </w:rPr>
        <w:t xml:space="preserve"> on yleisesti käytössä oleva yrityksen analysoinnin ja eri vaihtoehtojen arvioinnin perusmenetelmä.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226060</wp:posOffset>
                </wp:positionV>
                <wp:extent cx="2594610" cy="1383030"/>
                <wp:effectExtent l="5715" t="7620" r="9525" b="952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4610" cy="13830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433AB" id="Rectangle 4" o:spid="_x0000_s1026" style="position:absolute;margin-left:25.2pt;margin-top:17.8pt;width:204.3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" o:allowincell="f" filled="f"/>
            </w:pict>
          </mc:Fallback>
        </mc:AlternateConten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  <w:lang w:val="en-US"/>
        </w:rPr>
      </w:pPr>
      <w:r w:rsidRPr="00FC3895">
        <w:rPr>
          <w:rFonts w:ascii="Arial" w:hAnsi="Arial" w:cs="Arial"/>
          <w:sz w:val="24"/>
          <w:szCs w:val="24"/>
        </w:rPr>
        <w:tab/>
      </w:r>
      <w:r w:rsidRPr="00982C58">
        <w:rPr>
          <w:rFonts w:ascii="Arial" w:hAnsi="Arial" w:cs="Arial"/>
          <w:sz w:val="24"/>
          <w:szCs w:val="24"/>
          <w:lang w:val="en-US"/>
        </w:rPr>
        <w:t>S= Strengths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  <w:lang w:val="en-US"/>
        </w:rPr>
      </w:pPr>
      <w:r w:rsidRPr="00982C58">
        <w:rPr>
          <w:rFonts w:ascii="Arial" w:hAnsi="Arial" w:cs="Arial"/>
          <w:sz w:val="24"/>
          <w:szCs w:val="24"/>
          <w:lang w:val="en-US"/>
        </w:rPr>
        <w:tab/>
        <w:t>W= Weaknesses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  <w:lang w:val="en-US"/>
        </w:rPr>
      </w:pPr>
      <w:r w:rsidRPr="00982C58">
        <w:rPr>
          <w:rFonts w:ascii="Arial" w:hAnsi="Arial" w:cs="Arial"/>
          <w:sz w:val="24"/>
          <w:szCs w:val="24"/>
          <w:lang w:val="en-US"/>
        </w:rPr>
        <w:tab/>
        <w:t>O= Opportunities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  <w:lang w:val="en-US"/>
        </w:rPr>
        <w:tab/>
      </w:r>
      <w:r w:rsidRPr="00982C58">
        <w:rPr>
          <w:rFonts w:ascii="Arial" w:hAnsi="Arial" w:cs="Arial"/>
          <w:sz w:val="24"/>
          <w:szCs w:val="24"/>
        </w:rPr>
        <w:t xml:space="preserve">T= </w:t>
      </w:r>
      <w:proofErr w:type="spellStart"/>
      <w:r w:rsidRPr="00982C58">
        <w:rPr>
          <w:rFonts w:ascii="Arial" w:hAnsi="Arial" w:cs="Arial"/>
          <w:sz w:val="24"/>
          <w:szCs w:val="24"/>
        </w:rPr>
        <w:t>Threats</w:t>
      </w:r>
      <w:proofErr w:type="spellEnd"/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i/>
          <w:sz w:val="24"/>
          <w:szCs w:val="24"/>
        </w:rPr>
        <w:t xml:space="preserve">Yrityksen </w:t>
      </w:r>
      <w:r w:rsidRPr="00982C58">
        <w:rPr>
          <w:rFonts w:ascii="Arial" w:hAnsi="Arial" w:cs="Arial"/>
          <w:sz w:val="24"/>
          <w:szCs w:val="24"/>
        </w:rPr>
        <w:t>osa-alueet ja ominaisuudet luokitellaan vahvuuksiin ja heikkouksiin sen mukaan, kuinka ne yrityksessä ovat suhteessa kilpailijoihin. Kysymys ei siis ole niinkään absoluuttisista, vaan suhteellisista vahvuuksista ja heikkouksista.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</w:rPr>
        <w:t xml:space="preserve">Yrityksen </w:t>
      </w:r>
      <w:r w:rsidRPr="00982C58">
        <w:rPr>
          <w:rFonts w:ascii="Arial" w:hAnsi="Arial" w:cs="Arial"/>
          <w:i/>
          <w:sz w:val="24"/>
          <w:szCs w:val="24"/>
        </w:rPr>
        <w:t>toiminta-ympäristö</w:t>
      </w:r>
      <w:r w:rsidRPr="00982C58">
        <w:rPr>
          <w:rFonts w:ascii="Arial" w:hAnsi="Arial" w:cs="Arial"/>
          <w:sz w:val="24"/>
          <w:szCs w:val="24"/>
        </w:rPr>
        <w:t xml:space="preserve"> ja siellä olevat seikat tarjoavat mahdollisuuksia ja toisaalta muodostavat myös uhkatekijöitä. Samoin tulevaisuuteen liittyy mahdollisuuksia ja uhkia.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</w:rPr>
        <w:t xml:space="preserve">Sama asia saattaa osaltaan olla </w:t>
      </w:r>
      <w:r w:rsidRPr="00982C58">
        <w:rPr>
          <w:rFonts w:ascii="Arial" w:hAnsi="Arial" w:cs="Arial"/>
          <w:i/>
          <w:sz w:val="24"/>
          <w:szCs w:val="24"/>
        </w:rPr>
        <w:t>yrityksen vahvuus</w:t>
      </w:r>
      <w:r w:rsidRPr="00982C58">
        <w:rPr>
          <w:rFonts w:ascii="Arial" w:hAnsi="Arial" w:cs="Arial"/>
          <w:sz w:val="24"/>
          <w:szCs w:val="24"/>
        </w:rPr>
        <w:t xml:space="preserve"> ja osaltaan</w:t>
      </w:r>
      <w:r w:rsidRPr="00982C58">
        <w:rPr>
          <w:rFonts w:ascii="Arial" w:hAnsi="Arial" w:cs="Arial"/>
          <w:i/>
          <w:sz w:val="24"/>
          <w:szCs w:val="24"/>
        </w:rPr>
        <w:t xml:space="preserve"> heikkous</w:t>
      </w:r>
      <w:r w:rsidRPr="00982C58">
        <w:rPr>
          <w:rFonts w:ascii="Arial" w:hAnsi="Arial" w:cs="Arial"/>
          <w:sz w:val="24"/>
          <w:szCs w:val="24"/>
        </w:rPr>
        <w:t>!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Toiminna</w:t>
      </w:r>
      <w:r>
        <w:rPr>
          <w:rFonts w:ascii="Arial" w:hAnsi="Arial" w:cs="Arial"/>
          <w:sz w:val="24"/>
          <w:szCs w:val="24"/>
        </w:rPr>
        <w:t xml:space="preserve">n fyysiset puitteet </w:t>
      </w:r>
      <w:r w:rsidRPr="0019087F">
        <w:rPr>
          <w:rFonts w:ascii="Arial" w:hAnsi="Arial" w:cs="Arial"/>
          <w:sz w:val="24"/>
          <w:szCs w:val="24"/>
        </w:rPr>
        <w:t>(sijainti, toimitilat, konekanta)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Taloudellinen asema (maksuvalmius, vakavaraisuus, vakuudet jne.)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Yrityksessä oleva osaaminen (markkinointitaito, tuotanto-osaaminen, materiaalihallinnon osaaminen, tuotekehitys-osaaminen, taloushallinnon osaaminen, johtamist</w:t>
      </w:r>
      <w:r>
        <w:rPr>
          <w:rFonts w:ascii="Arial" w:hAnsi="Arial" w:cs="Arial"/>
          <w:sz w:val="24"/>
          <w:szCs w:val="24"/>
        </w:rPr>
        <w:t>aito, lakiasioiden hallinta, henkilö</w:t>
      </w:r>
      <w:r w:rsidRPr="0019087F">
        <w:rPr>
          <w:rFonts w:ascii="Arial" w:hAnsi="Arial" w:cs="Arial"/>
          <w:sz w:val="24"/>
          <w:szCs w:val="24"/>
        </w:rPr>
        <w:t>asioiden hallinta)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Yrityksen ilmapiiri (usko yritykseen, kehittymishalu ja -kyky, motivoituneisuus, myönteisyys, sitoutuneisuus, vastuullisuus)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Tuotteet/Palvelut (ajanmukaisuus, tekninen valmius, muodikkuus, soveltuvuus asiakkaiden tarpeisiin jne.)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Markkinointi (asema markkinoilla, tieto markkinoista, myyntiorganisaatio, jakelutie, myynnin apuvälineet, myynnin edistäminen, suhdetoiminta, markkinoinnin suunnittelu)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Tuotekehitys (tuotekehityksen asema ja merkitys, käytettävissä olevat resurssit, jatkuvuus jne.)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Tuotanto (lay</w:t>
      </w:r>
      <w:r w:rsidRPr="0019087F">
        <w:rPr>
          <w:rFonts w:ascii="Arial" w:hAnsi="Arial" w:cs="Arial"/>
          <w:sz w:val="24"/>
          <w:szCs w:val="24"/>
        </w:rPr>
        <w:t>out, tuotannonsuunnittelu, tuotannon ohjaus ja valvonta, työmenetelmät, välineet, apulaitteet, huolto, kunnossapito jne.)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Materiaalitoiminnot (ostot (ostopaikat, ostomäärät, -sopimukset ja -ehdot, organisointi jne.), varastointi (varastojen hoito, koko, palvelukyky, varastoseuranta, jne.), kuljetukset (kuljetuskalusto, -tapa, kuljetusten suunnittelu)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lastRenderedPageBreak/>
        <w:t>Talous/hallinto (kirjanpito, palkanlaskenta, veroasiat, hinnoittelu, tarjouslaskenta, jälkilaskenta, budjetointi, toimistorutiinit, perintä, sopimusasiat, tuotekohtainen laskenta jne.)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Henkilöstöasiat (h</w:t>
      </w:r>
      <w:r>
        <w:rPr>
          <w:rFonts w:ascii="Arial" w:hAnsi="Arial" w:cs="Arial"/>
          <w:sz w:val="24"/>
          <w:szCs w:val="24"/>
        </w:rPr>
        <w:t>enki</w:t>
      </w:r>
      <w:r w:rsidRPr="0019087F">
        <w:rPr>
          <w:rFonts w:ascii="Arial" w:hAnsi="Arial" w:cs="Arial"/>
          <w:sz w:val="24"/>
          <w:szCs w:val="24"/>
        </w:rPr>
        <w:t>löstöpolitiikka, -suunnittelu, h</w:t>
      </w:r>
      <w:r>
        <w:rPr>
          <w:rFonts w:ascii="Arial" w:hAnsi="Arial" w:cs="Arial"/>
          <w:sz w:val="24"/>
          <w:szCs w:val="24"/>
        </w:rPr>
        <w:t>enki</w:t>
      </w:r>
      <w:r w:rsidRPr="0019087F">
        <w:rPr>
          <w:rFonts w:ascii="Arial" w:hAnsi="Arial" w:cs="Arial"/>
          <w:sz w:val="24"/>
          <w:szCs w:val="24"/>
        </w:rPr>
        <w:t>löstön hankinta, perehdyttäminen, h</w:t>
      </w:r>
      <w:r>
        <w:rPr>
          <w:rFonts w:ascii="Arial" w:hAnsi="Arial" w:cs="Arial"/>
          <w:sz w:val="24"/>
          <w:szCs w:val="24"/>
        </w:rPr>
        <w:t>enki</w:t>
      </w:r>
      <w:r w:rsidRPr="0019087F">
        <w:rPr>
          <w:rFonts w:ascii="Arial" w:hAnsi="Arial" w:cs="Arial"/>
          <w:sz w:val="24"/>
          <w:szCs w:val="24"/>
        </w:rPr>
        <w:t>löstöpalvelut, tiedottaminen, palkkaus, kehittäminen)</w:t>
      </w:r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Johto/organisaatio</w:t>
      </w:r>
      <w:proofErr w:type="gramStart"/>
      <w:r w:rsidRPr="0019087F">
        <w:rPr>
          <w:rFonts w:ascii="Arial" w:hAnsi="Arial" w:cs="Arial"/>
          <w:sz w:val="24"/>
          <w:szCs w:val="24"/>
        </w:rPr>
        <w:t xml:space="preserve"> (johto-/avainh</w:t>
      </w:r>
      <w:r>
        <w:rPr>
          <w:rFonts w:ascii="Arial" w:hAnsi="Arial" w:cs="Arial"/>
          <w:sz w:val="24"/>
          <w:szCs w:val="24"/>
        </w:rPr>
        <w:t>enki</w:t>
      </w:r>
      <w:r w:rsidRPr="0019087F">
        <w:rPr>
          <w:rFonts w:ascii="Arial" w:hAnsi="Arial" w:cs="Arial"/>
          <w:sz w:val="24"/>
          <w:szCs w:val="24"/>
        </w:rPr>
        <w:t>löiden tausta, organisaation toimivuus, näkemys yrityksestä ja sen tulevaisuudesta, ajankäyttö, yrityssuunnittelu, johtamisote jne.</w:t>
      </w:r>
      <w:proofErr w:type="gramEnd"/>
    </w:p>
    <w:p w:rsidR="00146D7F" w:rsidRPr="0019087F" w:rsidRDefault="00146D7F" w:rsidP="00146D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Yrityskuva/imago; yrityksen toimituskyky; laatu (tekninen/toiminnallinen)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82C58">
        <w:rPr>
          <w:rFonts w:ascii="Arial" w:hAnsi="Arial" w:cs="Arial"/>
          <w:sz w:val="24"/>
          <w:szCs w:val="24"/>
        </w:rPr>
        <w:t xml:space="preserve">Yrityksen </w:t>
      </w:r>
      <w:r w:rsidRPr="00982C58">
        <w:rPr>
          <w:rFonts w:ascii="Arial" w:hAnsi="Arial" w:cs="Arial"/>
          <w:i/>
          <w:sz w:val="24"/>
          <w:szCs w:val="24"/>
        </w:rPr>
        <w:t>toimintaympäristön mahdollisuudet ja uhkatekijät</w:t>
      </w:r>
      <w:r w:rsidRPr="00982C58">
        <w:rPr>
          <w:rFonts w:ascii="Arial" w:hAnsi="Arial" w:cs="Arial"/>
          <w:sz w:val="24"/>
          <w:szCs w:val="24"/>
        </w:rPr>
        <w:t>.</w:t>
      </w:r>
      <w:proofErr w:type="gramEnd"/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Kysynnän ja yleensä toimialan kehitys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Lainsäädäntö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Yleinen mielipide, arvostusten muutokset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Uusien kilpailijoiden ilmestyminen, nykyisten lopettaminen, omistajan vaihdokset jne.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Muoti ja sen muutokset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Uudet markkina-alueet tai käyttäjäryhmät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Uudet tuotteet/palvelut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Markkina-asema, kilpailijoiden toimenpiteet, asiakassuhteet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Suhteet rahoittajiin, tavarantoimittajiin, julkiseen valtaan jne.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Työvoima: saatavuus, pysyvyys jne.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Teknologian kehittyminen: uudet tekniikat, automaatio jne.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Yrityksen johto/avainh</w:t>
      </w:r>
      <w:r>
        <w:rPr>
          <w:rFonts w:ascii="Arial" w:hAnsi="Arial" w:cs="Arial"/>
          <w:sz w:val="24"/>
          <w:szCs w:val="24"/>
        </w:rPr>
        <w:t>enki</w:t>
      </w:r>
      <w:r w:rsidRPr="0019087F">
        <w:rPr>
          <w:rFonts w:ascii="Arial" w:hAnsi="Arial" w:cs="Arial"/>
          <w:sz w:val="24"/>
          <w:szCs w:val="24"/>
        </w:rPr>
        <w:t>löt: terveys, lähtö yrityksestä, onnettomuudet - yleensä h</w:t>
      </w:r>
      <w:r>
        <w:rPr>
          <w:rFonts w:ascii="Arial" w:hAnsi="Arial" w:cs="Arial"/>
          <w:sz w:val="24"/>
          <w:szCs w:val="24"/>
        </w:rPr>
        <w:t>enki</w:t>
      </w:r>
      <w:r w:rsidRPr="0019087F">
        <w:rPr>
          <w:rFonts w:ascii="Arial" w:hAnsi="Arial" w:cs="Arial"/>
          <w:sz w:val="24"/>
          <w:szCs w:val="24"/>
        </w:rPr>
        <w:t>löriskit</w:t>
      </w:r>
    </w:p>
    <w:p w:rsidR="00146D7F" w:rsidRPr="0019087F" w:rsidRDefault="00146D7F" w:rsidP="00146D7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Toimittajien ja tuotteiden laatu sekä toimituskyky suhteessa kilpailijoihin</w:t>
      </w:r>
    </w:p>
    <w:p w:rsidR="00146D7F" w:rsidRPr="0019087F" w:rsidRDefault="00146D7F" w:rsidP="00146D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Yrityskuva</w:t>
      </w:r>
    </w:p>
    <w:p w:rsidR="00146D7F" w:rsidRPr="0019087F" w:rsidRDefault="00146D7F" w:rsidP="00146D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Asiakkaan neuvotteluvoima: onko asiakas onnistuttu sitomaan vai toisinpäin, onko riippuvuuden aikaansaaminen mahdollista?</w:t>
      </w:r>
    </w:p>
    <w:p w:rsidR="00146D7F" w:rsidRPr="0019087F" w:rsidRDefault="00146D7F" w:rsidP="00146D7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9087F">
        <w:rPr>
          <w:rFonts w:ascii="Arial" w:hAnsi="Arial" w:cs="Arial"/>
          <w:sz w:val="24"/>
          <w:szCs w:val="24"/>
        </w:rPr>
        <w:t>Tavarantoimittajien neuvotteluvoima: ollaanko riippuvaisia jostain tai joistain toimittajista, onko vaihtoehtoisia toimittajia?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</w:rPr>
        <w:lastRenderedPageBreak/>
        <w:t>Vastaukset kootaan esim. nelikenttään.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</w:rPr>
        <w:tab/>
        <w:t>Yritys:</w:t>
      </w: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46D7F" w:rsidTr="00146D7F">
        <w:tc>
          <w:tcPr>
            <w:tcW w:w="4814" w:type="dxa"/>
          </w:tcPr>
          <w:p w:rsidR="00146D7F" w:rsidRDefault="00146D7F" w:rsidP="00146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Vahvuudet</w:t>
            </w:r>
          </w:p>
          <w:p w:rsidR="00146D7F" w:rsidRDefault="00146D7F" w:rsidP="00146D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käytä hyväksesi</w:t>
            </w:r>
          </w:p>
          <w:p w:rsidR="00146D7F" w:rsidRPr="00146D7F" w:rsidRDefault="00146D7F" w:rsidP="00146D7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vahvista</w:t>
            </w:r>
          </w:p>
        </w:tc>
        <w:tc>
          <w:tcPr>
            <w:tcW w:w="4814" w:type="dxa"/>
          </w:tcPr>
          <w:p w:rsidR="00146D7F" w:rsidRDefault="00146D7F" w:rsidP="00146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Heikkoudet</w:t>
            </w:r>
          </w:p>
          <w:p w:rsidR="00146D7F" w:rsidRDefault="00146D7F" w:rsidP="00146D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vältä</w:t>
            </w:r>
          </w:p>
          <w:p w:rsidR="00146D7F" w:rsidRDefault="00146D7F" w:rsidP="00146D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lievennä</w:t>
            </w:r>
          </w:p>
          <w:p w:rsidR="00146D7F" w:rsidRDefault="00146D7F" w:rsidP="00146D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poista</w:t>
            </w:r>
          </w:p>
          <w:p w:rsidR="00146D7F" w:rsidRPr="00146D7F" w:rsidRDefault="00146D7F" w:rsidP="00146D7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korjaa/kehitä</w:t>
            </w:r>
          </w:p>
        </w:tc>
      </w:tr>
      <w:tr w:rsidR="00146D7F" w:rsidTr="00146D7F">
        <w:tc>
          <w:tcPr>
            <w:tcW w:w="4814" w:type="dxa"/>
          </w:tcPr>
          <w:p w:rsidR="00146D7F" w:rsidRDefault="00146D7F" w:rsidP="00146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Mahdollisuudet</w:t>
            </w:r>
          </w:p>
          <w:p w:rsidR="00146D7F" w:rsidRPr="00146D7F" w:rsidRDefault="00146D7F" w:rsidP="00146D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varmista näiden hyödyntäminen</w:t>
            </w:r>
          </w:p>
        </w:tc>
        <w:tc>
          <w:tcPr>
            <w:tcW w:w="4814" w:type="dxa"/>
          </w:tcPr>
          <w:p w:rsidR="00146D7F" w:rsidRDefault="00146D7F" w:rsidP="00146D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Uhkatekijät</w:t>
            </w:r>
          </w:p>
          <w:p w:rsidR="00146D7F" w:rsidRDefault="00146D7F" w:rsidP="00146D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kierrä</w:t>
            </w:r>
          </w:p>
          <w:p w:rsidR="00146D7F" w:rsidRDefault="00146D7F" w:rsidP="00146D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lievennä</w:t>
            </w:r>
          </w:p>
          <w:p w:rsidR="00146D7F" w:rsidRPr="00146D7F" w:rsidRDefault="00146D7F" w:rsidP="00146D7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poista</w:t>
            </w:r>
          </w:p>
        </w:tc>
      </w:tr>
    </w:tbl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Pr="00146D7F" w:rsidRDefault="00146D7F" w:rsidP="00400B5D">
      <w:pPr>
        <w:spacing w:before="150" w:after="300" w:line="336" w:lineRule="auto"/>
        <w:outlineLvl w:val="3"/>
        <w:rPr>
          <w:rFonts w:ascii="Arial" w:eastAsia="Times New Roman" w:hAnsi="Arial" w:cs="Arial"/>
          <w:b/>
          <w:bCs/>
          <w:color w:val="333333"/>
          <w:sz w:val="27"/>
          <w:szCs w:val="27"/>
          <w:lang w:eastAsia="fi-FI"/>
        </w:rPr>
      </w:pPr>
      <w:r w:rsidRPr="00146D7F">
        <w:rPr>
          <w:rFonts w:ascii="Verdana" w:eastAsia="Times New Roman" w:hAnsi="Verdana" w:cs="Arial"/>
          <w:b/>
          <w:bCs/>
          <w:i/>
          <w:iCs/>
          <w:color w:val="333333"/>
          <w:sz w:val="27"/>
          <w:szCs w:val="27"/>
          <w:lang w:eastAsia="fi-FI"/>
        </w:rPr>
        <w:t>PESTE- analyysi</w:t>
      </w:r>
      <w:r w:rsidR="00400B5D">
        <w:rPr>
          <w:rFonts w:ascii="Verdana" w:eastAsia="Times New Roman" w:hAnsi="Verdana" w:cs="Arial"/>
          <w:b/>
          <w:bCs/>
          <w:i/>
          <w:iCs/>
          <w:color w:val="333333"/>
          <w:sz w:val="27"/>
          <w:szCs w:val="27"/>
          <w:lang w:eastAsia="fi-FI"/>
        </w:rPr>
        <w:t xml:space="preserve"> Ulkoisen ympäristön analysointi (mahdollisuudet/uhkatekijät)</w:t>
      </w:r>
    </w:p>
    <w:p w:rsidR="00146D7F" w:rsidRPr="00146D7F" w:rsidRDefault="00146D7F" w:rsidP="00146D7F">
      <w:pPr>
        <w:numPr>
          <w:ilvl w:val="0"/>
          <w:numId w:val="7"/>
        </w:numPr>
        <w:spacing w:before="150" w:after="150" w:line="336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146D7F">
        <w:rPr>
          <w:rFonts w:ascii="Arial" w:eastAsia="Times New Roman" w:hAnsi="Arial" w:cs="Arial"/>
          <w:sz w:val="20"/>
          <w:szCs w:val="20"/>
          <w:lang w:eastAsia="fi-FI"/>
        </w:rPr>
        <w:t xml:space="preserve">Poliittisia: lainsäädännön rajoitukset, kansainväliset sopimukset, rikollisuus, yhdentyminen esim. EU, tutkimus-, </w:t>
      </w:r>
      <w:proofErr w:type="spellStart"/>
      <w:r w:rsidRPr="00146D7F">
        <w:rPr>
          <w:rFonts w:ascii="Arial" w:eastAsia="Times New Roman" w:hAnsi="Arial" w:cs="Arial"/>
          <w:sz w:val="20"/>
          <w:szCs w:val="20"/>
          <w:lang w:eastAsia="fi-FI"/>
        </w:rPr>
        <w:t>kehittämis</w:t>
      </w:r>
      <w:proofErr w:type="spellEnd"/>
      <w:r w:rsidRPr="00146D7F">
        <w:rPr>
          <w:rFonts w:ascii="Arial" w:eastAsia="Times New Roman" w:hAnsi="Arial" w:cs="Arial"/>
          <w:sz w:val="20"/>
          <w:szCs w:val="20"/>
          <w:lang w:eastAsia="fi-FI"/>
        </w:rPr>
        <w:t>-, alue-, matkailu-, yms. politiikka;</w:t>
      </w:r>
    </w:p>
    <w:p w:rsidR="00146D7F" w:rsidRPr="00146D7F" w:rsidRDefault="00146D7F" w:rsidP="00146D7F">
      <w:pPr>
        <w:numPr>
          <w:ilvl w:val="0"/>
          <w:numId w:val="7"/>
        </w:numPr>
        <w:spacing w:before="150" w:after="150" w:line="336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146D7F">
        <w:rPr>
          <w:rFonts w:ascii="Arial" w:eastAsia="Times New Roman" w:hAnsi="Arial" w:cs="Arial"/>
          <w:sz w:val="20"/>
          <w:szCs w:val="20"/>
          <w:lang w:eastAsia="fi-FI"/>
        </w:rPr>
        <w:t xml:space="preserve">Ekonomisia: maailman, Euroopan, alueen talouskehitys, talouskriisit ja lamat, kilpailurajoitukset, julkinen rahoitus ja tuet, ostovoima; </w:t>
      </w:r>
    </w:p>
    <w:p w:rsidR="00146D7F" w:rsidRPr="00146D7F" w:rsidRDefault="00146D7F" w:rsidP="00146D7F">
      <w:pPr>
        <w:numPr>
          <w:ilvl w:val="0"/>
          <w:numId w:val="7"/>
        </w:numPr>
        <w:spacing w:before="150" w:after="150" w:line="336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146D7F">
        <w:rPr>
          <w:rFonts w:ascii="Arial" w:eastAsia="Times New Roman" w:hAnsi="Arial" w:cs="Arial"/>
          <w:sz w:val="20"/>
          <w:szCs w:val="20"/>
          <w:lang w:eastAsia="fi-FI"/>
        </w:rPr>
        <w:t xml:space="preserve">Teknologisia: informaatio- ja tietoliikenne, </w:t>
      </w:r>
      <w:proofErr w:type="spellStart"/>
      <w:r w:rsidRPr="00146D7F">
        <w:rPr>
          <w:rFonts w:ascii="Arial" w:eastAsia="Times New Roman" w:hAnsi="Arial" w:cs="Arial"/>
          <w:sz w:val="20"/>
          <w:szCs w:val="20"/>
          <w:lang w:eastAsia="fi-FI"/>
        </w:rPr>
        <w:t>bio</w:t>
      </w:r>
      <w:proofErr w:type="spellEnd"/>
      <w:r w:rsidRPr="00146D7F">
        <w:rPr>
          <w:rFonts w:ascii="Arial" w:eastAsia="Times New Roman" w:hAnsi="Arial" w:cs="Arial"/>
          <w:sz w:val="20"/>
          <w:szCs w:val="20"/>
          <w:lang w:eastAsia="fi-FI"/>
        </w:rPr>
        <w:t xml:space="preserve">-, nano-, energiateknologiat, verkkokauppa, </w:t>
      </w:r>
      <w:proofErr w:type="spellStart"/>
      <w:r w:rsidRPr="00146D7F">
        <w:rPr>
          <w:rFonts w:ascii="Arial" w:eastAsia="Times New Roman" w:hAnsi="Arial" w:cs="Arial"/>
          <w:sz w:val="20"/>
          <w:szCs w:val="20"/>
          <w:lang w:eastAsia="fi-FI"/>
        </w:rPr>
        <w:t>virtuaalimaailma</w:t>
      </w:r>
      <w:proofErr w:type="spellEnd"/>
      <w:r w:rsidRPr="00146D7F">
        <w:rPr>
          <w:rFonts w:ascii="Arial" w:eastAsia="Times New Roman" w:hAnsi="Arial" w:cs="Arial"/>
          <w:sz w:val="20"/>
          <w:szCs w:val="20"/>
          <w:lang w:eastAsia="fi-FI"/>
        </w:rPr>
        <w:t>;</w:t>
      </w:r>
    </w:p>
    <w:p w:rsidR="00146D7F" w:rsidRPr="00146D7F" w:rsidRDefault="00146D7F" w:rsidP="00146D7F">
      <w:pPr>
        <w:numPr>
          <w:ilvl w:val="0"/>
          <w:numId w:val="7"/>
        </w:numPr>
        <w:spacing w:before="150" w:after="150" w:line="336" w:lineRule="auto"/>
        <w:rPr>
          <w:rFonts w:ascii="Arial" w:eastAsia="Times New Roman" w:hAnsi="Arial" w:cs="Arial"/>
          <w:sz w:val="20"/>
          <w:szCs w:val="20"/>
          <w:lang w:eastAsia="fi-FI"/>
        </w:rPr>
      </w:pPr>
      <w:r w:rsidRPr="00146D7F">
        <w:rPr>
          <w:rFonts w:ascii="Arial" w:eastAsia="Times New Roman" w:hAnsi="Arial" w:cs="Arial"/>
          <w:sz w:val="20"/>
          <w:szCs w:val="20"/>
          <w:lang w:eastAsia="fi-FI"/>
        </w:rPr>
        <w:t>Sosiaalisia: arvot, kulutuskäyttäytyminen, ikärakenne, muuttoliike, syntyvyys ja</w:t>
      </w:r>
    </w:p>
    <w:p w:rsidR="00146D7F" w:rsidRPr="00146D7F" w:rsidRDefault="00146D7F" w:rsidP="00146D7F">
      <w:pPr>
        <w:numPr>
          <w:ilvl w:val="0"/>
          <w:numId w:val="7"/>
        </w:numPr>
        <w:spacing w:before="150" w:line="336" w:lineRule="auto"/>
        <w:rPr>
          <w:rFonts w:ascii="Arial" w:eastAsia="Times New Roman" w:hAnsi="Arial" w:cs="Arial"/>
          <w:sz w:val="20"/>
          <w:szCs w:val="20"/>
          <w:lang w:eastAsia="fi-FI"/>
        </w:rPr>
      </w:pPr>
      <w:proofErr w:type="gramStart"/>
      <w:r w:rsidRPr="00146D7F">
        <w:rPr>
          <w:rFonts w:ascii="Arial" w:eastAsia="Times New Roman" w:hAnsi="Arial" w:cs="Arial"/>
          <w:sz w:val="20"/>
          <w:szCs w:val="20"/>
          <w:lang w:eastAsia="fi-FI"/>
        </w:rPr>
        <w:t>Ekologisia: kasvihuoneilmiö, ilmaston muutos, saastuminen, jäteongelmat, liikarakentaminen, ympäristötietoisuus, infrastruktuurin muutos.</w:t>
      </w:r>
      <w:proofErr w:type="gramEnd"/>
      <w:r w:rsidRPr="00146D7F">
        <w:rPr>
          <w:rFonts w:ascii="Arial" w:eastAsia="Times New Roman" w:hAnsi="Arial" w:cs="Arial"/>
          <w:sz w:val="20"/>
          <w:szCs w:val="20"/>
          <w:lang w:eastAsia="fi-FI"/>
        </w:rPr>
        <w:t xml:space="preserve"> </w:t>
      </w:r>
    </w:p>
    <w:p w:rsidR="00146D7F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  <w:r w:rsidRPr="00982C58">
        <w:rPr>
          <w:rFonts w:ascii="Arial" w:hAnsi="Arial" w:cs="Arial"/>
          <w:sz w:val="24"/>
          <w:szCs w:val="24"/>
        </w:rPr>
        <w:tab/>
        <w:t xml:space="preserve"> </w:t>
      </w:r>
    </w:p>
    <w:p w:rsidR="00146D7F" w:rsidRPr="00982C58" w:rsidRDefault="00146D7F" w:rsidP="00146D7F">
      <w:pPr>
        <w:rPr>
          <w:rFonts w:ascii="Arial" w:hAnsi="Arial" w:cs="Arial"/>
          <w:sz w:val="24"/>
          <w:szCs w:val="24"/>
        </w:rPr>
      </w:pPr>
    </w:p>
    <w:sectPr w:rsidR="00146D7F" w:rsidRPr="00982C5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3FE6"/>
    <w:multiLevelType w:val="hybridMultilevel"/>
    <w:tmpl w:val="4C0CC76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4918"/>
    <w:multiLevelType w:val="hybridMultilevel"/>
    <w:tmpl w:val="B0CE6EC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85408"/>
    <w:multiLevelType w:val="hybridMultilevel"/>
    <w:tmpl w:val="F01ADBC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478A2"/>
    <w:multiLevelType w:val="hybridMultilevel"/>
    <w:tmpl w:val="248EE40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C6F92"/>
    <w:multiLevelType w:val="multilevel"/>
    <w:tmpl w:val="0464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970ED3"/>
    <w:multiLevelType w:val="hybridMultilevel"/>
    <w:tmpl w:val="C6B23A5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0C1"/>
    <w:multiLevelType w:val="hybridMultilevel"/>
    <w:tmpl w:val="0F742C6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D7F"/>
    <w:rsid w:val="00146D7F"/>
    <w:rsid w:val="00400B5D"/>
    <w:rsid w:val="00E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,"/>
  <w:listSeparator w:val=";"/>
  <w15:chartTrackingRefBased/>
  <w15:docId w15:val="{8081A509-46CF-4BEA-AE4F-2E967896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D7F"/>
    <w:pPr>
      <w:spacing w:after="200" w:line="276" w:lineRule="auto"/>
    </w:pPr>
    <w:rPr>
      <w:rFonts w:ascii="Calibri" w:eastAsia="Calibri" w:hAnsi="Calibri" w:cs="Times New Roman"/>
    </w:rPr>
  </w:style>
  <w:style w:type="paragraph" w:styleId="Heading4">
    <w:name w:val="heading 4"/>
    <w:basedOn w:val="Normal"/>
    <w:link w:val="Heading4Char"/>
    <w:uiPriority w:val="9"/>
    <w:qFormat/>
    <w:rsid w:val="00146D7F"/>
    <w:pPr>
      <w:spacing w:before="150" w:after="300" w:line="240" w:lineRule="auto"/>
      <w:outlineLvl w:val="3"/>
    </w:pPr>
    <w:rPr>
      <w:rFonts w:ascii="Times New Roman" w:eastAsia="Times New Roman" w:hAnsi="Times New Roman"/>
      <w:b/>
      <w:bCs/>
      <w:color w:val="333333"/>
      <w:sz w:val="27"/>
      <w:szCs w:val="2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7F"/>
    <w:pPr>
      <w:ind w:left="720"/>
      <w:contextualSpacing/>
    </w:pPr>
  </w:style>
  <w:style w:type="table" w:styleId="TableGrid">
    <w:name w:val="Table Grid"/>
    <w:basedOn w:val="TableNormal"/>
    <w:uiPriority w:val="39"/>
    <w:rsid w:val="00146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146D7F"/>
    <w:rPr>
      <w:rFonts w:ascii="Times New Roman" w:eastAsia="Times New Roman" w:hAnsi="Times New Roman" w:cs="Times New Roman"/>
      <w:b/>
      <w:bCs/>
      <w:color w:val="333333"/>
      <w:sz w:val="27"/>
      <w:szCs w:val="27"/>
      <w:lang w:eastAsia="fi-FI"/>
    </w:rPr>
  </w:style>
  <w:style w:type="paragraph" w:styleId="NormalWeb">
    <w:name w:val="Normal (Web)"/>
    <w:basedOn w:val="Normal"/>
    <w:uiPriority w:val="99"/>
    <w:semiHidden/>
    <w:unhideWhenUsed/>
    <w:rsid w:val="00146D7F"/>
    <w:pPr>
      <w:spacing w:before="150" w:after="150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character" w:styleId="Emphasis">
    <w:name w:val="Emphasis"/>
    <w:basedOn w:val="DefaultParagraphFont"/>
    <w:uiPriority w:val="20"/>
    <w:qFormat/>
    <w:rsid w:val="00146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9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9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8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69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59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32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65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44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80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481</Words>
  <Characters>3902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OAMK</Company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Raija Westerlund</dc:creator>
  <cp:keywords/>
  <dc:description/>
  <cp:lastModifiedBy>Raija Westerlund</cp:lastModifiedBy>
  <cp:revision>1</cp:revision>
  <dcterms:created xsi:type="dcterms:W3CDTF">2016-09-28T13:04:00Z</dcterms:created>
  <dcterms:modified xsi:type="dcterms:W3CDTF">2016-09-28T13:20:00Z</dcterms:modified>
</cp:coreProperties>
</file>