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3C5E" w:sz="4" w:space="4"/>
        </w:pBdr>
        <w:spacing w:after="40"/>
        <w:jc w:val="left"/>
      </w:pPr>
      <w:r>
        <w:rPr>
          <w:rFonts w:ascii="Arial" w:cs="Arial" w:eastAsia="Arial" w:hAnsi="Arial"/>
          <w:b/>
          <w:bCs/>
          <w:color w:val="1A3C5E"/>
          <w:sz w:val="24"/>
          <w:szCs w:val="24"/>
        </w:rPr>
        <w:t xml:space="preserve">Resumen Ejecutivo — Director de Siniestros</w:t>
      </w:r>
    </w:p>
    <w:p>
      <w:pPr>
        <w:spacing w:after="20"/>
      </w:pPr>
      <w:r>
        <w:rPr>
          <w:i/>
          <w:iCs/>
          <w:color w:val="777777"/>
          <w:sz w:val="15"/>
          <w:szCs w:val="15"/>
        </w:rPr>
        <w:t xml:space="preserve">Challenge Data &amp; AI  |  Insurance Claims Fraud Detection  |  Santiago Pereyra  |  Abril 2026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0"/>
            </w:pPr>
            <w:r>
              <w:rPr>
                <w:b/>
                <w:bCs/>
                <w:color w:val="1A3C5E"/>
                <w:sz w:val="18"/>
                <w:szCs w:val="18"/>
              </w:rPr>
              <w:t xml:space="preserve">Lectura ejecutiva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•  </w:t>
            </w:r>
            <w:r>
              <w:rPr>
                <w:sz w:val="17"/>
                <w:szCs w:val="17"/>
              </w:rPr>
              <w:t xml:space="preserve">10.000 claims analizados (May 2020 – Jun 2021). Volumen estable, pero exposición económica no homogénea entre líneas.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•  </w:t>
            </w:r>
            <w:r>
              <w:rPr>
                <w:sz w:val="17"/>
                <w:szCs w:val="17"/>
              </w:rPr>
              <w:t xml:space="preserve">Life concentra la principal alerta: claim promedio ~USD 54k vs ~USD 9k en el resto, loss ratio 728x y la </w:t>
            </w:r>
            <w:r>
              <w:rPr>
                <w:b/>
                <w:bCs/>
                <w:sz w:val="17"/>
                <w:szCs w:val="17"/>
              </w:rPr>
              <w:t xml:space="preserve">menor</w:t>
            </w:r>
            <w:r>
              <w:rPr>
                <w:sz w:val="17"/>
                <w:szCs w:val="17"/>
              </w:rPr>
              <w:t xml:space="preserve"> tasa de rechazo (4,6%).</w:t>
            </w:r>
          </w:p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•  </w:t>
            </w:r>
            <w:r>
              <w:rPr>
                <w:sz w:val="17"/>
                <w:szCs w:val="17"/>
              </w:rPr>
              <w:t xml:space="preserve">Claims con 3+ red flags no se rechazan más que el promedio (5%). No hay triaje por acumulación de señales.</w:t>
            </w:r>
          </w:p>
        </w:tc>
      </w:tr>
    </w:tbl>
    <w:p>
      <w:pPr>
        <w:spacing w:after="0" w:before="80"/>
      </w:pPr>
    </w:p>
    <w:p>
      <w:pPr>
        <w:spacing w:after="40" w:before="0"/>
      </w:pPr>
      <w:r>
        <w:rPr>
          <w:b/>
          <w:bCs/>
          <w:color w:val="1A3C5E"/>
          <w:sz w:val="19"/>
          <w:szCs w:val="19"/>
        </w:rPr>
        <w:t xml:space="preserve">Indicadores clave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3520"/>
        <w:gridCol w:w="3520"/>
      </w:tblGrid>
      <w:tr>
        <w:tc>
          <w:tcPr>
            <w:tcW w:type="dxa" w:w="2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KPI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  <w:tc>
          <w:tcPr>
            <w:tcW w:type="dxa" w:w="35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Lectura</w:t>
            </w:r>
          </w:p>
        </w:tc>
        <w:tc>
          <w:tcPr>
            <w:tcW w:type="dxa" w:w="35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Alerta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Tasa de rechazo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5,03%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Muy baja. Uniforme entre líneas.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Posible subdetección de fraude.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Loss Ratio (Life)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C0000"/>
                <w:sz w:val="17"/>
                <w:szCs w:val="17"/>
              </w:rPr>
              <w:t xml:space="preserve">728x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3,5x superior al promedio del portafolio (199x).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Mayor exposición con menor escrutinio.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Tiempo de reporte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3,2 días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15,7% reporta el mismo día. 50% cae en exactamente 5 días.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Patrón artificial; cautela como señal de fraude.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Segmentación riesgo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H: 4,1%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Alto riesgo tiene la menor tasa de rechazo.</w:t>
            </w:r>
          </w:p>
        </w:tc>
        <w:tc>
          <w:tcPr>
            <w:tcW w:type="dxa" w:w="352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Criterio H/M/L no alineado con outcome real.</w:t>
            </w:r>
          </w:p>
        </w:tc>
      </w:tr>
    </w:tbl>
    <w:p>
      <w:pPr>
        <w:spacing w:after="0" w:before="100"/>
      </w:pPr>
    </w:p>
    <w:p>
      <w:pPr>
        <w:spacing w:after="40" w:before="0"/>
      </w:pPr>
      <w:r>
        <w:rPr>
          <w:b/>
          <w:bCs/>
          <w:color w:val="1A3C5E"/>
          <w:sz w:val="19"/>
          <w:szCs w:val="19"/>
        </w:rPr>
        <w:t xml:space="preserve">Principales riesgos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70"/>
        <w:gridCol w:w="4670"/>
      </w:tblGrid>
      <w:tr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467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Alerta</w:t>
            </w:r>
          </w:p>
        </w:tc>
        <w:tc>
          <w:tcPr>
            <w:tcW w:type="dxa" w:w="467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Implicancia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17"/>
                <w:szCs w:val="17"/>
              </w:rPr>
              <w:t xml:space="preserve">Alta</w:t>
            </w:r>
          </w:p>
        </w:tc>
        <w:tc>
          <w:tcPr>
            <w:tcW w:type="dxa" w:w="467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Desbalance en Life: primas bajas, claims altos, menor rechazo.</w:t>
            </w:r>
          </w:p>
        </w:tc>
        <w:tc>
          <w:tcPr>
            <w:tcW w:type="dxa" w:w="467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Riesgo de pagos con presión económica desproporcionada o métricas mal calibradas.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17"/>
                <w:szCs w:val="17"/>
              </w:rPr>
              <w:t xml:space="preserve">Alta</w:t>
            </w:r>
          </w:p>
        </w:tc>
        <w:tc>
          <w:tcPr>
            <w:tcW w:type="dxa" w:w="467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Sin triaje por acumulación de señales de riesgo.</w:t>
            </w:r>
          </w:p>
        </w:tc>
        <w:tc>
          <w:tcPr>
            <w:tcW w:type="dxa" w:w="467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Casos sospechosos mezclados en la cola general sin priorización.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E68A00"/>
                <w:sz w:val="17"/>
                <w:szCs w:val="17"/>
              </w:rPr>
              <w:t xml:space="preserve">Media</w:t>
            </w:r>
          </w:p>
        </w:tc>
        <w:tc>
          <w:tcPr>
            <w:tcW w:type="dxa" w:w="467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32,5% de claims sin vendor; quienes no tienen muestran mayor rechazo.</w:t>
            </w:r>
          </w:p>
        </w:tc>
        <w:tc>
          <w:tcPr>
            <w:tcW w:type="dxa" w:w="467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Capacidad investigativa limitada en los casos que más la necesitan.</w:t>
            </w:r>
          </w:p>
        </w:tc>
      </w:tr>
    </w:tbl>
    <w:p>
      <w:pPr>
        <w:spacing w:after="0" w:before="100"/>
      </w:pPr>
    </w:p>
    <w:p>
      <w:pPr>
        <w:spacing w:after="40" w:before="0"/>
      </w:pPr>
      <w:r>
        <w:rPr>
          <w:b/>
          <w:bCs/>
          <w:color w:val="1A3C5E"/>
          <w:sz w:val="19"/>
          <w:szCs w:val="19"/>
        </w:rPr>
        <w:t xml:space="preserve">Recomendaciones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40"/>
        <w:gridCol w:w="4000"/>
      </w:tblGrid>
      <w:tr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Horizonte</w:t>
            </w:r>
          </w:p>
        </w:tc>
        <w:tc>
          <w:tcPr>
            <w:tcW w:type="dxa" w:w="5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A3C5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 esperado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 – 30 días</w:t>
            </w:r>
          </w:p>
        </w:tc>
        <w:tc>
          <w:tcPr>
            <w:tcW w:type="dxa" w:w="504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Revisión dirigida de Life: validar prima, cobertura y obligar revisión para claims &gt; USD 30k.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Confirmar si el desbalance es de dato, pricing o control operativo.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 – 60 días</w:t>
            </w:r>
          </w:p>
        </w:tc>
        <w:tc>
          <w:tcPr>
            <w:tcW w:type="dxa" w:w="504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Implementar suspicion score ponderado y derivar automáticamente a investigación los claims con score alto.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Focalizar vendors en casos de alto riesgo. Subir cobertura del 68% al 90%.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30 – 60 días</w:t>
            </w:r>
          </w:p>
        </w:tc>
        <w:tc>
          <w:tcPr>
            <w:tcW w:type="dxa" w:w="504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Recalibrar segmentación de riesgo H/M/L usando outcomes reales de claims.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Alinear clasificación con el desenlace operativo real.</w:t>
            </w:r>
          </w:p>
        </w:tc>
      </w:tr>
      <w:tr>
        <w:tc>
          <w:tcPr>
            <w:tcW w:type="dxa" w:w="1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60 – 90 días</w:t>
            </w:r>
          </w:p>
        </w:tc>
        <w:tc>
          <w:tcPr>
            <w:tcW w:type="dxa" w:w="504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Pilotear auditor asistido por LLM que genere notas de auditoría con prioridad sugerida.</w:t>
            </w:r>
          </w:p>
        </w:tc>
        <w:tc>
          <w:tcPr>
            <w:tcW w:type="dxa" w:w="4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8EFF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Reducir tiempo de triaje y uniformar criterio narrativo. Costo: ~USD 0,01/claim.</w:t>
            </w:r>
          </w:p>
        </w:tc>
      </w:tr>
    </w:tbl>
    <w:p>
      <w:pPr>
        <w:spacing w:after="0" w:before="120"/>
      </w:pPr>
      <w:r>
        <w:rPr>
          <w:b/>
          <w:bCs/>
          <w:i/>
          <w:iCs/>
          <w:color w:val="888888"/>
          <w:sz w:val="15"/>
          <w:szCs w:val="15"/>
        </w:rPr>
        <w:t xml:space="preserve">Nota: </w:t>
      </w:r>
      <w:r>
        <w:rPr>
          <w:i/>
          <w:iCs/>
          <w:color w:val="888888"/>
          <w:sz w:val="15"/>
          <w:szCs w:val="15"/>
        </w:rPr>
        <w:t xml:space="preserve">Análisis basado en 10.000 registros históricos. Se recomienda validar hallazgos con el equipo actuarial antes de implementar cambios. Disponible para presentación al equipo.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2026-04-14T04:21:15.470Z</dcterms:created>
  <dcterms:modified xsi:type="dcterms:W3CDTF">2026-04-14T04:21:15.471Z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