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 w:eastAsia="Aptos Display"/>
          <w:b/>
          <w:color w:val="193354"/>
          <w:sz w:val="36"/>
        </w:rPr>
        <w:t>Resumen Ejecutivo — Director de Siniestros</w:t>
      </w:r>
    </w:p>
    <w:p>
      <w:pPr>
        <w:spacing w:after="160"/>
        <w:jc w:val="center"/>
      </w:pPr>
      <w:r>
        <w:rPr>
          <w:color w:val="5F6368"/>
          <w:sz w:val="19"/>
        </w:rPr>
        <w:t>Challenge Data &amp; AI | Insurance Claims Fraud Detection | Santiago Pereyra | Abril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080"/>
            <w:shd w:fill="EAF2F8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93354"/>
              </w:rPr>
              <w:t xml:space="preserve">Síntesis ejecutiva: </w:t>
            </w:r>
            <w:r>
              <w:rPr>
                <w:color w:val="2D2D2D"/>
              </w:rPr>
              <w:t>el portafolio muestra volumen estable, pero no una exposición homogénea al riesgo. La principal alerta se concentra en Life, donde conviven montos promedio significativamente más altos, una tasa de rechazo baja y señales de priorización insuficiente frente a casos potencialmente más sensibles.</w:t>
            </w:r>
          </w:p>
        </w:tc>
      </w:tr>
    </w:tbl>
    <w:p>
      <w:pPr>
        <w:spacing w:after="60"/>
      </w:pPr>
    </w:p>
    <w:p>
      <w:pPr>
        <w:spacing w:before="120" w:after="60"/>
      </w:pPr>
      <w:r>
        <w:rPr>
          <w:b/>
          <w:color w:val="193354"/>
          <w:sz w:val="23"/>
        </w:rPr>
        <w:t>Hallazgos principales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Se analizaron 10.000 claims entre mayo de 2020 y junio de 2021. El volumen se mantiene relativamente estable en el período, pero la exposición económica difiere con fuerza entre líneas.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Life concentra la principal señal de desbalance: registra un claim promedio cercano a USD 54 mil, frente a valores del orden de USD 9 mil en el resto del portafolio, y presenta la menor tasa de rechazo observada.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La acumulación de señales de riesgo no parece traducirse en una mayor intervención operativa: los casos con múltiples red flags no muestran una tasa de rechazo materialmente superior al promedio.</w:t>
      </w:r>
    </w:p>
    <w:p>
      <w:pPr>
        <w:spacing w:before="120" w:after="60"/>
      </w:pPr>
      <w:r>
        <w:rPr>
          <w:b/>
          <w:color w:val="193354"/>
          <w:sz w:val="23"/>
        </w:rPr>
        <w:t>Principales riesgos o alertas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Desbalance en la línea Life. La combinación de primas bajas, claims altos y bajo rechazo sugiere revisar si el problema responde a calidad de datos, pricing, reglas de control o una mezcla de estos factores.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Priorización insuficiente de casos sensibles. No se observa evidencia consistente de un triaje reforzado cuando se acumulan señales de riesgo, lo que puede diluir la capacidad investigativa.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Cobertura incompleta de apoyo investigativo. Un 32,5% de los claims no registra vendor asociado; esto limita la trazabilidad del proceso y reduce capacidad de profundizar revisión en los casos que más lo requieren.</w:t>
      </w:r>
    </w:p>
    <w:p>
      <w:pPr>
        <w:spacing w:before="120" w:after="60"/>
      </w:pPr>
      <w:r>
        <w:rPr>
          <w:b/>
          <w:color w:val="193354"/>
          <w:sz w:val="23"/>
        </w:rPr>
        <w:t>Recomendaciones de próximos pasos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0–30 días: realizar una revisión dirigida de Life para validar prima, cobertura, reglas de autorización y consistencia del dato en claims de mayor monto.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0–60 días: implementar un score de sospecha operativo para priorizar revisión humana e investigación en casos con mayor acumulación de señales.</w:t>
      </w:r>
    </w:p>
    <w:p>
      <w:pPr>
        <w:spacing w:after="40"/>
        <w:ind w:left="216" w:hanging="216"/>
      </w:pPr>
      <w:r>
        <w:rPr>
          <w:b/>
        </w:rPr>
        <w:t xml:space="preserve">• </w:t>
      </w:r>
      <w:r>
        <w:t>60–90 días: pilotear un auditor asistido por LLM que genere notas de revisión estandarizadas y ayude a reducir tiempos de triaje, siempre con validación humana.</w:t>
      </w:r>
    </w:p>
    <w:p>
      <w:pPr>
        <w:spacing w:before="120" w:after="0"/>
      </w:pPr>
      <w:r>
        <w:rPr>
          <w:b/>
        </w:rPr>
        <w:t xml:space="preserve">Nota: </w:t>
      </w:r>
      <w:r>
        <w:t>este resumen se basa en 10.000 registros históricos y busca orientar decisiones iniciales. Se recomienda validar los hallazgos con el equipo actuarial y de operaciones antes de implementar cambios permanentes.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