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RESUMEN EJECUTIVO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Análisis de Siniestros — Insurance Claims Fraud Detection</w:t>
      </w:r>
    </w:p>
    <w:p>
      <w:pPr>
        <w:pBdr>
          <w:bottom w:val="single" w:color="2E75B6" w:sz="6" w:space="8"/>
        </w:pBdr>
        <w:spacing w:after="300"/>
        <w:jc w:val="center"/>
      </w:pPr>
      <w:r>
        <w:rPr>
          <w:color w:val="777777"/>
          <w:sz w:val="22"/>
          <w:szCs w:val="22"/>
        </w:rPr>
        <w:t xml:space="preserve">Santiago Pereyra — Abril 2026</w:t>
      </w:r>
    </w:p>
    <w:p>
      <w:pPr>
        <w:spacing w:after="60" w:before="200"/>
      </w:pPr>
      <w:r>
        <w:rPr>
          <w:b/>
          <w:bCs/>
        </w:rPr>
        <w:t xml:space="preserve">Para: </w:t>
      </w:r>
      <w:r>
        <w:t xml:space="preserve">Director de Siniestros</w:t>
      </w:r>
    </w:p>
    <w:p>
      <w:pPr>
        <w:spacing w:after="60"/>
      </w:pPr>
      <w:r>
        <w:rPr>
          <w:b/>
          <w:bCs/>
        </w:rPr>
        <w:t xml:space="preserve">De: </w:t>
      </w:r>
      <w:r>
        <w:t xml:space="preserve">Santiago Pereyra — Analista de Datos</w:t>
      </w:r>
    </w:p>
    <w:p>
      <w:pPr>
        <w:spacing w:after="200"/>
      </w:pPr>
      <w:r>
        <w:rPr>
          <w:b/>
          <w:bCs/>
        </w:rPr>
        <w:t xml:space="preserve">Período analizado: </w:t>
      </w:r>
      <w:r>
        <w:t xml:space="preserve">Junio 2020 – Junio 2021 (10.000 claims)</w:t>
      </w:r>
    </w:p>
    <w:p>
      <w:pPr>
        <w:pStyle w:val="Heading1"/>
      </w:pPr>
      <w:r>
        <w:t xml:space="preserve">Hallazgos principales</w:t>
      </w:r>
    </w:p>
    <w:p>
      <w:pPr>
        <w:spacing w:after="120"/>
      </w:pPr>
      <w:r>
        <w:t xml:space="preserve">Se analizaron 10.000 claims integrando datos de clientes, agentes y vendors investigadores. Los hallazgos más relevantes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Tasa de rechazo global del 5%: </w:t>
      </w:r>
      <w:r>
        <w:t xml:space="preserve">un nivel muy bajo que podría indicar subdetección de casos fraudulentos. Motor y Travel presentan las tasas más altas (5.4% y 5.3%).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Loss ratio promedio de 199x: </w:t>
      </w:r>
      <w:r>
        <w:t xml:space="preserve">la aseguradora paga en promedio 199 veces la prima cobrada por claim. Existen casos extremos (&gt;1000x) que no están siendo filtrados.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15.6% de claims reportados el mismo día: </w:t>
      </w:r>
      <w:r>
        <w:t xml:space="preserve">patrón que en la industria se asocia a preparación previa del reclamo y merece revisión adicional.</w:t>
      </w:r>
    </w:p>
    <w:p>
      <w:pPr>
        <w:pStyle w:val="Heading1"/>
      </w:pPr>
      <w:r>
        <w:t xml:space="preserve">Principales riesgos y alertas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Claims de alto loss ratio sin revisión: </w:t>
      </w:r>
      <w:r>
        <w:t xml:space="preserve">existen claims donde el monto supera 500 veces la prima y su tasa de rechazo no es mayor al promedio.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Cobertura insuficiente de vendors: </w:t>
      </w:r>
      <w:r>
        <w:t xml:space="preserve">el 32% de los claims no tiene vendor investigador asignado, lo que limita la capacidad de detección.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Total Loss sin reporte policial: </w:t>
      </w:r>
      <w:r>
        <w:t xml:space="preserve">una proporción significativa de siniestros con severidad máxima no cuenta con respaldo policial.</w:t>
      </w:r>
    </w:p>
    <w:p>
      <w:pPr>
        <w:pStyle w:val="Heading1"/>
      </w:pPr>
      <w:r>
        <w:t xml:space="preserve">Recomendaciones de próximos pasos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Implementar reglas automáticas de triaje </w:t>
      </w:r>
      <w:r>
        <w:t xml:space="preserve">que deriven a investigación obligatoria los claims con loss ratio &gt; 500x y/o reporte el mismo día sin reporte policial.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Ampliar la cobertura de vendors </w:t>
      </w:r>
      <w:r>
        <w:t xml:space="preserve">para que al menos los claims de alto monto tengan investigación asignada.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Pilotear un auditor basado en IA (LLM) </w:t>
      </w:r>
      <w:r>
        <w:t xml:space="preserve">que genere evaluaciones preliminares de riesgo para cada claim, priorizando la cola de trabajo de los ajustadores.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Construir un dashboard de monitoreo </w:t>
      </w:r>
      <w:r>
        <w:t xml:space="preserve">con tres KPIs clave: tasa de rechazo, loss ratio y tiempo de reporte, para seguimiento mensual.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2026-04-12T15:35:07.406Z</dcterms:created>
  <dcterms:modified xsi:type="dcterms:W3CDTF">2026-04-12T15:35:07.407Z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