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Challenge TEKNE</w:t>
      </w:r>
    </w:p>
    <w:p>
      <w:pPr>
        <w:jc w:val="center"/>
      </w:pPr>
      <w:r>
        <w:rPr>
          <w:rFonts w:ascii="Aptos" w:hAnsi="Aptos"/>
          <w:b/>
          <w:color w:val="2E5496"/>
          <w:sz w:val="36"/>
        </w:rPr>
        <w:t>Punto 1 · Data Engineering &amp; Quality</w:t>
      </w:r>
    </w:p>
    <w:p>
      <w:pPr>
        <w:jc w:val="center"/>
      </w:pPr>
      <w:r>
        <w:rPr>
          <w:color w:val="5A5A5A"/>
          <w:sz w:val="23"/>
        </w:rPr>
        <w:t>Documento de apoyo basado en los contenidos explicativos de la notebook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Objetivo</w:t>
            </w:r>
          </w:p>
        </w:tc>
        <w:tc>
          <w:tcPr>
            <w:tcW w:type="dxa" w:w="65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Dejar lista una base de datos local, limpia, normalizada y reutilizable para los siguientes puntos del challenge.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Entrada</w:t>
            </w:r>
          </w:p>
        </w:tc>
        <w:tc>
          <w:tcPr>
            <w:tcW w:type="dxa" w:w="65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Archivo único archive.zip, que contiene los CSV de claims, employees y vendors.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Salida</w:t>
            </w:r>
          </w:p>
        </w:tc>
        <w:tc>
          <w:tcPr>
            <w:tcW w:type="dxa" w:w="65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Tablas sólidas en Parquet, más una base DuckDB para consultas SQL reutilizables.</w:t>
            </w:r>
          </w:p>
        </w:tc>
      </w:tr>
      <w:tr>
        <w:tc>
          <w:tcPr>
            <w:tcW w:type="dxa" w:w="238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Enfoque</w:t>
            </w:r>
          </w:p>
        </w:tc>
        <w:tc>
          <w:tcPr>
            <w:tcW w:type="dxa" w:w="65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Documentar la lógica de diseño, calidad, normalización, persistencia e integración.</w:t>
            </w:r>
          </w:p>
        </w:tc>
      </w:tr>
    </w:tbl>
    <w:p>
      <w:pPr>
        <w:pStyle w:val="Callout"/>
        <w:spacing w:before="160" w:after="0"/>
        <w:shd w:fill="F7FBFF"/>
      </w:pPr>
      <w:r>
        <w:rPr>
          <w:b/>
        </w:rPr>
        <w:t xml:space="preserve">Nota. </w:t>
      </w:r>
      <w:r>
        <w:t>Este documento resume lo explicado en las celdas markdown del notebook del Punto 1 y sirve como memoria técnica complementaria.</w:t>
      </w:r>
    </w:p>
    <w:p>
      <w:r>
        <w:br w:type="page"/>
      </w:r>
    </w:p>
    <w:p>
      <w:pPr>
        <w:pStyle w:val="Heading1"/>
      </w:pPr>
      <w:r>
        <w:t>1. Objetivo y alcance</w:t>
      </w:r>
    </w:p>
    <w:p>
      <w:pPr>
        <w:spacing w:after="120"/>
      </w:pPr>
      <w:r>
        <w:t>El Punto 1 del challenge tiene como propósito construir la base analítica y reproducible que va a sostener los puntos siguientes. No se trata solamente de leer archivos, sino de dejar una instancia local consistente, entendible y reutilizable para analytics, modelado simple, explotación con SQL y un posible caso de uso con LLM.</w:t>
      </w:r>
    </w:p>
    <w:p>
      <w:pPr>
        <w:spacing w:after="120"/>
      </w:pPr>
      <w:r>
        <w:t>El flujo completo toma archive.zip como fuente de entrada única, extrae y carga las tres tablas del challenge, tipifica y normaliza los datos, documenta el modelo de entidades, registra problemas de calidad y deja persistidas tablas sólidas para reutilización posterior.</w:t>
      </w:r>
    </w:p>
    <w:p>
      <w:pPr>
        <w:spacing w:after="120"/>
      </w:pPr>
      <w:r>
        <w:t>De esta manera, el entregable del Punto 1 actúa como una base técnica para el resto del trabajo y no como una resolución aislada.</w:t>
      </w:r>
    </w:p>
    <w:p>
      <w:pPr>
        <w:pStyle w:val="Heading1"/>
      </w:pPr>
      <w:r>
        <w:t>2. Decisión técnica de diseño</w:t>
      </w:r>
    </w:p>
    <w:p>
      <w:pPr>
        <w:spacing w:after="120"/>
      </w:pPr>
      <w:r>
        <w:t>Se eligió una arquitectura local, simple y profesional, inspirada en el enfoque medallion, para separar claramente materia prima, tablas curadas e integración analítica.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Capa</w:t>
            </w:r>
          </w:p>
        </w:tc>
        <w:tc>
          <w:tcPr>
            <w:tcW w:type="dxa" w:w="30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Formato / ubicación</w:t>
            </w:r>
          </w:p>
        </w:tc>
        <w:tc>
          <w:tcPr>
            <w:tcW w:type="dxa" w:w="430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Propósito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Bronze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CSV raw extraídos desde archive.zip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Preservar la fuente original para trazabilidad y reproceso.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Silver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Parquet por tabla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Dejar cada entidad limpia, tipada y normalizada.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Gold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Parquet integrado más features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Construir el dataset analítico para los puntos siguientes.</w:t>
            </w:r>
          </w:p>
        </w:tc>
      </w:tr>
    </w:tbl>
    <w:p>
      <w:pPr>
        <w:spacing w:after="120"/>
      </w:pPr>
      <w:r>
        <w:t>La elección de Parquet responde a una necesidad de formato sólido, columnar y reutilizable. La elección de DuckDB responde a la necesidad de consultar esos Parquet con SQL de manera simple, local y persistida.</w:t>
      </w:r>
    </w:p>
    <w:p>
      <w:pPr>
        <w:pStyle w:val="ListBullet"/>
      </w:pPr>
      <w:r>
        <w:t>Parquet preserva tipos, comprime bien y es adecuado para procesos analíticos.</w:t>
      </w:r>
    </w:p>
    <w:p>
      <w:pPr>
        <w:pStyle w:val="ListBullet"/>
      </w:pPr>
      <w:r>
        <w:t>DuckDB permite trabajar con SQL sin instalar un motor externo.</w:t>
      </w:r>
    </w:p>
    <w:p>
      <w:pPr>
        <w:pStyle w:val="ListBullet"/>
      </w:pPr>
      <w:r>
        <w:t>La combinación evita reingestar CSV en cada notebook y mejora la reproducibilidad.</w:t>
      </w:r>
    </w:p>
    <w:p>
      <w:pPr>
        <w:pStyle w:val="Heading1"/>
      </w:pPr>
      <w:r>
        <w:t>3. Preparación del entorno</w:t>
      </w:r>
    </w:p>
    <w:p>
      <w:pPr>
        <w:spacing w:after="120"/>
      </w:pPr>
      <w:r>
        <w:t>La notebook deja documentada la preparación del entorno desde el inicio, para que cualquier revisor pueda reproducir el flujo completo. La recomendación es trabajar con un entorno virtual dentro del proyecto.</w:t>
      </w:r>
    </w:p>
    <w:p>
      <w:pPr>
        <w:pStyle w:val="CodeBlock"/>
        <w:spacing w:after="0" w:before="0"/>
        <w:ind w:left="198" w:right="85"/>
        <w:shd w:fill="F4F7FB"/>
      </w:pPr>
      <w:r>
        <w:t>py -m venv .venv</w:t>
      </w:r>
    </w:p>
    <w:p>
      <w:pPr>
        <w:pStyle w:val="CodeBlock"/>
        <w:spacing w:after="0" w:before="0"/>
        <w:ind w:left="198" w:right="85"/>
        <w:shd w:fill="F4F7FB"/>
      </w:pPr>
      <w:r>
        <w:t>.\.venv\Scripts\Activate.ps1</w:t>
      </w:r>
    </w:p>
    <w:p>
      <w:pPr>
        <w:pStyle w:val="CodeBlock"/>
        <w:spacing w:after="0" w:before="0"/>
        <w:ind w:left="198" w:right="85"/>
        <w:shd w:fill="F4F7FB"/>
      </w:pPr>
      <w:r>
        <w:t>python -m pip install --upgrade pip</w:t>
      </w:r>
    </w:p>
    <w:p>
      <w:pPr>
        <w:pStyle w:val="CodeBlock"/>
        <w:spacing w:after="0" w:before="0"/>
        <w:ind w:left="198" w:right="85"/>
        <w:shd w:fill="F4F7FB"/>
      </w:pPr>
      <w:r>
        <w:t>python -m pip install pandas numpy pyarrow duckdb matplotlib seaborn jupyter ipykernel scikit-learn openpyxl</w:t>
      </w:r>
    </w:p>
    <w:p>
      <w:pPr>
        <w:pStyle w:val="CodeBlock"/>
        <w:spacing w:after="0" w:before="0"/>
        <w:ind w:left="198" w:right="85"/>
        <w:shd w:fill="F4F7FB"/>
      </w:pPr>
      <w:r>
        <w:t>python -m ipykernel install --user --name challenge-tekne --display-name "Python (.venv) Challenge TEKNE"</w:t>
      </w:r>
    </w:p>
    <w:p/>
    <w:p>
      <w:pPr>
        <w:pStyle w:val="Callout"/>
        <w:shd w:fill="F7FBFF"/>
      </w:pPr>
      <w:r>
        <w:rPr>
          <w:b/>
        </w:rPr>
        <w:t xml:space="preserve">Librerías principales. </w:t>
      </w:r>
      <w:r>
        <w:t>pandas y numpy para transformación; pyarrow para Parquet; duckdb para SQL local; matplotlib y seaborn para visualización; scikit-learn queda instalado para las etapas siguientes.</w:t>
      </w:r>
    </w:p>
    <w:p>
      <w:pPr>
        <w:pStyle w:val="Heading1"/>
      </w:pPr>
      <w:r>
        <w:t>4. Parámetros y estructura de carpetas</w:t>
      </w:r>
    </w:p>
    <w:p>
      <w:pPr>
        <w:spacing w:after="120"/>
      </w:pPr>
      <w:r>
        <w:t>El notebook define una estructura portable y mínima. Si cambia la ubicación del ZIP, el flujo se ajusta a partir de una sola variable de entrada.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Carpeta / archivo</w:t>
            </w:r>
          </w:p>
        </w:tc>
        <w:tc>
          <w:tcPr>
            <w:tcW w:type="dxa" w:w="600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Rol dentro del flujo</w:t>
            </w:r>
          </w:p>
        </w:tc>
      </w:tr>
      <w:tr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archive.zip</w:t>
            </w:r>
          </w:p>
        </w:tc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Fuente de entrada única.</w:t>
            </w:r>
          </w:p>
        </w:tc>
      </w:tr>
      <w:tr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data/bronze</w:t>
            </w:r>
          </w:p>
        </w:tc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Zona raw con los CSV extraídos sin transformación.</w:t>
            </w:r>
          </w:p>
        </w:tc>
      </w:tr>
      <w:tr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data/silver</w:t>
            </w:r>
          </w:p>
        </w:tc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Tablas individuales limpias y normalizadas en Parquet.</w:t>
            </w:r>
          </w:p>
        </w:tc>
      </w:tr>
      <w:tr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data/gold</w:t>
            </w:r>
          </w:p>
        </w:tc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Dataset integrado con joins y features analíticas.</w:t>
            </w:r>
          </w:p>
        </w:tc>
      </w:tr>
      <w:tr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db/tekne_claims.duckdb</w:t>
            </w:r>
          </w:p>
        </w:tc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Base local para consultas SQL reutilizables.</w:t>
            </w:r>
          </w:p>
        </w:tc>
      </w:tr>
    </w:tbl>
    <w:p>
      <w:pPr>
        <w:pStyle w:val="Heading1"/>
      </w:pPr>
      <w:r>
        <w:t>5. Extracción del ZIP y carga inicial</w:t>
      </w:r>
    </w:p>
    <w:p>
      <w:pPr>
        <w:spacing w:after="120"/>
      </w:pPr>
      <w:r>
        <w:t>La consigna se trabaja siempre desde archive.zip. El flujo lista el contenido del archivo, extrae los CSV a bronze y recién después los carga en memoria. Esto ordena la ingesta y mantiene una separación clara entre fuente de entrada y transformación.</w:t>
      </w:r>
    </w:p>
    <w:p>
      <w:pPr>
        <w:pStyle w:val="ListNumber"/>
      </w:pPr>
      <w:r>
        <w:t>Listar el contenido del ZIP para validar qué archivos están disponibles.</w:t>
      </w:r>
    </w:p>
    <w:p>
      <w:pPr>
        <w:pStyle w:val="ListNumber"/>
      </w:pPr>
      <w:r>
        <w:t>Extraer los CSV a data/bronze.</w:t>
      </w:r>
    </w:p>
    <w:p>
      <w:pPr>
        <w:pStyle w:val="ListNumber"/>
      </w:pPr>
      <w:r>
        <w:t>Cargar insurance_data, employee_data y vendor_data en DataFrames sin transformar todavía.</w:t>
      </w:r>
    </w:p>
    <w:p>
      <w:pPr>
        <w:pStyle w:val="Heading1"/>
      </w:pPr>
      <w:r>
        <w:t>6. Entendimiento del modelo de datos</w:t>
      </w:r>
    </w:p>
    <w:p>
      <w:pPr>
        <w:spacing w:after="120"/>
      </w:pPr>
      <w:r>
        <w:t>A partir de la estructura del dataset se identifican tres entidades principales:</w:t>
      </w:r>
    </w:p>
    <w:p>
      <w:pPr>
        <w:pStyle w:val="ListBullet"/>
      </w:pPr>
      <w:r>
        <w:t>insurance_data: tabla transaccional principal. Cada fila representa un siniestro o claim reportado.</w:t>
      </w:r>
    </w:p>
    <w:p>
      <w:pPr>
        <w:pStyle w:val="ListBullet"/>
      </w:pPr>
      <w:r>
        <w:t>employee_data: tabla maestra de agentes o ajustadores.</w:t>
      </w:r>
    </w:p>
    <w:p>
      <w:pPr>
        <w:pStyle w:val="ListBullet"/>
      </w:pPr>
      <w:r>
        <w:t>vendor_data: tabla maestra de proveedores externos.</w:t>
      </w:r>
    </w:p>
    <w:p>
      <w:pPr>
        <w:spacing w:after="120"/>
      </w:pPr>
      <w:r>
        <w:t>Desde el punto de vista lógico, insurance_data se trata como tabla central o tabla de hechos. employee_data y vendor_data se incorporan luego como dimensiones maestras.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Tabla</w:t>
            </w:r>
          </w:p>
        </w:tc>
        <w:tc>
          <w:tcPr>
            <w:tcW w:type="dxa" w:w="198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Clave</w:t>
            </w:r>
          </w:p>
        </w:tc>
        <w:tc>
          <w:tcPr>
            <w:tcW w:type="dxa" w:w="470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Relación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employee_data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agent_id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Se relaciona uno a muchos con insurance_data.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insurance_data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grano claim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Tabla base con agent_id y vendor_id como claves de vínculo.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vendor_data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vendor_id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Se relaciona uno a muchos con insurance_data y su asignación es opcional.</w:t>
            </w:r>
          </w:p>
        </w:tc>
      </w:tr>
    </w:tbl>
    <w:p>
      <w:pPr>
        <w:pStyle w:val="Heading1"/>
      </w:pPr>
      <w:r>
        <w:t>7. Perfilado inicial</w:t>
      </w:r>
    </w:p>
    <w:p>
      <w:pPr>
        <w:spacing w:after="120"/>
      </w:pPr>
      <w:r>
        <w:t>Antes de normalizar, se realiza un perfilado inicial para revisar tipos, nulls, duplicados y cardinalidades. Este paso evita tomar decisiones a ciegas y permite documentar con evidencia la condición real de llegada de los datos.</w:t>
      </w:r>
    </w:p>
    <w:p>
      <w:pPr>
        <w:pStyle w:val="Heading1"/>
      </w:pPr>
      <w:r>
        <w:t>8. Problemas de calidad detectados y estrategia de resolución</w:t>
      </w:r>
    </w:p>
    <w:p>
      <w:pPr>
        <w:spacing w:after="120"/>
      </w:pPr>
      <w:r>
        <w:t>La consigna pide documentar al menos tres problemas de calidad. En la notebook se dejan explicitados cinco, con la lógica de tratamiento adoptada en cada caso.</w:t>
      </w:r>
    </w:p>
    <w:p>
      <w:pPr>
        <w:pStyle w:val="Heading2"/>
      </w:pPr>
      <w:r>
        <w:t>8.1 Fechas cargadas como texto</w:t>
      </w:r>
    </w:p>
    <w:p>
      <w:pPr>
        <w:spacing w:after="120"/>
      </w:pPr>
      <w:r>
        <w:t>Las columnas temporales llegan como texto, lo que impide calcular diferencias de tiempo, ordenar cronológicamente y derivar componentes como mes o año.</w:t>
      </w:r>
    </w:p>
    <w:p>
      <w:pPr>
        <w:spacing w:after="100"/>
      </w:pPr>
      <w:r>
        <w:rPr>
          <w:b/>
        </w:rPr>
        <w:t xml:space="preserve">Tratamiento: </w:t>
      </w:r>
      <w:r>
        <w:t>Se convierten explícitamente a datetime con errors='coerce', para detectar valores no parseables sin romper la ejecución.</w:t>
      </w:r>
    </w:p>
    <w:p>
      <w:pPr>
        <w:pStyle w:val="Heading2"/>
      </w:pPr>
      <w:r>
        <w:t>8.2 Identificadores leídos como números</w:t>
      </w:r>
    </w:p>
    <w:p>
      <w:pPr>
        <w:spacing w:after="120"/>
      </w:pPr>
      <w:r>
        <w:t>Campos como postal_code y routing_number fueron inferidos como enteros, aunque semánticamente son identificadores.</w:t>
      </w:r>
    </w:p>
    <w:p>
      <w:pPr>
        <w:spacing w:after="100"/>
      </w:pPr>
      <w:r>
        <w:rPr>
          <w:b/>
        </w:rPr>
        <w:t xml:space="preserve">Tratamiento: </w:t>
      </w:r>
      <w:r>
        <w:t>Se convierten a texto con padding fijo para preservar ceros a la izquierda y su naturaleza no cuantitativa.</w:t>
      </w:r>
    </w:p>
    <w:p>
      <w:pPr>
        <w:pStyle w:val="Heading2"/>
      </w:pPr>
      <w:r>
        <w:t>8.3 Faltantes relevantes en claves y atributos</w:t>
      </w:r>
    </w:p>
    <w:p>
      <w:pPr>
        <w:spacing w:after="120"/>
      </w:pPr>
      <w:r>
        <w:t>Existen nulos en vendor_id y en otros atributos descriptivos. No todos representan el mismo tipo de ausencia.</w:t>
      </w:r>
    </w:p>
    <w:p>
      <w:pPr>
        <w:spacing w:after="100"/>
      </w:pPr>
      <w:r>
        <w:rPr>
          <w:b/>
        </w:rPr>
        <w:t xml:space="preserve">Tratamiento: </w:t>
      </w:r>
      <w:r>
        <w:t>Se preserva vendor_id como null y se crea has_vendor; otros campos se imputan como 'None' o 'Unknown' solo cuando eso mejora la explotación posterior.</w:t>
      </w:r>
    </w:p>
    <w:p>
      <w:pPr>
        <w:pStyle w:val="Heading2"/>
      </w:pPr>
      <w:r>
        <w:t>8.4 Claim amount con pocos valores únicos</w:t>
      </w:r>
    </w:p>
    <w:p>
      <w:pPr>
        <w:spacing w:after="120"/>
      </w:pPr>
      <w:r>
        <w:t>El monto del claim presenta una cantidad llamativamente acotada de valores distintos, lo que sugiere bucketing o discretización previa.</w:t>
      </w:r>
    </w:p>
    <w:p>
      <w:pPr>
        <w:spacing w:after="100"/>
      </w:pPr>
      <w:r>
        <w:rPr>
          <w:b/>
        </w:rPr>
        <w:t xml:space="preserve">Tratamiento: </w:t>
      </w:r>
      <w:r>
        <w:t>No se corrige artificialmente. Se documenta como hallazgo para no distorsionar el dato original.</w:t>
      </w:r>
    </w:p>
    <w:p>
      <w:pPr>
        <w:pStyle w:val="Heading2"/>
      </w:pPr>
      <w:r>
        <w:t>8.5 Tenure inconsistente con otras temporalidades</w:t>
      </w:r>
    </w:p>
    <w:p>
      <w:pPr>
        <w:spacing w:after="120"/>
      </w:pPr>
      <w:r>
        <w:t>La variable tenure no muestra una correlación razonable con la antigüedad de póliza u otros tiempos derivados.</w:t>
      </w:r>
    </w:p>
    <w:p>
      <w:pPr>
        <w:spacing w:after="100"/>
      </w:pPr>
      <w:r>
        <w:rPr>
          <w:b/>
        </w:rPr>
        <w:t xml:space="preserve">Tratamiento: </w:t>
      </w:r>
      <w:r>
        <w:t>Se registra como hallazgo de consistencia y se evita asumir que representa directamente la antigüedad real del vínculo.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2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Problema</w:t>
            </w:r>
          </w:p>
        </w:tc>
        <w:tc>
          <w:tcPr>
            <w:tcW w:type="dxa" w:w="1474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Tipo</w:t>
            </w:r>
          </w:p>
        </w:tc>
        <w:tc>
          <w:tcPr>
            <w:tcW w:type="dxa" w:w="260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Impacto</w:t>
            </w:r>
          </w:p>
        </w:tc>
        <w:tc>
          <w:tcPr>
            <w:tcW w:type="dxa" w:w="255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Tratamiento</w:t>
            </w:r>
          </w:p>
        </w:tc>
      </w:tr>
      <w:tr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Fechas como texto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Parsing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Bloquea diferencias temporales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Conversión a datetime</w:t>
            </w:r>
          </w:p>
        </w:tc>
      </w:tr>
      <w:tr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IDs numéricos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Tipado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Pierde formato y semántica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Texto con padding</w:t>
            </w:r>
          </w:p>
        </w:tc>
      </w:tr>
      <w:tr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Nulos relevantes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Completitud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Puede distorsionar joins o lectura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Preservar, imputar o flaggear según caso</w:t>
            </w:r>
          </w:p>
        </w:tc>
      </w:tr>
      <w:tr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Claim amount bucketeado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Distribución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Sesga análisis de monto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Se documenta, no se corrige</w:t>
            </w:r>
          </w:p>
        </w:tc>
      </w:tr>
      <w:tr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Tenure inconsistente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Consistencia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Puede inducir interpretaciones erróneas</w:t>
            </w:r>
          </w:p>
        </w:tc>
        <w:tc>
          <w:tcPr>
            <w:tcW w:type="dxa" w:w="2353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Se registra como hallazgo</w:t>
            </w:r>
          </w:p>
        </w:tc>
      </w:tr>
    </w:tbl>
    <w:p>
      <w:pPr>
        <w:pStyle w:val="Heading1"/>
      </w:pPr>
      <w:r>
        <w:t>9. Criterios de normalización</w:t>
      </w:r>
    </w:p>
    <w:p>
      <w:pPr>
        <w:spacing w:after="120"/>
      </w:pPr>
      <w:r>
        <w:t>La normalización no busca rearmar el modelo hacia una tercera forma normal completa. El objetivo operativo es dejar tablas sólidas, tipadas y consistentes para análisis y reutilización.</w:t>
      </w:r>
    </w:p>
    <w:p>
      <w:pPr>
        <w:pStyle w:val="ListBullet"/>
      </w:pPr>
      <w:r>
        <w:t>Estandarización de nombres de columnas a snake_case.</w:t>
      </w:r>
    </w:p>
    <w:p>
      <w:pPr>
        <w:pStyle w:val="ListBullet"/>
      </w:pPr>
      <w:r>
        <w:t>Conversión explícita de fechas a datetime64[ns].</w:t>
      </w:r>
    </w:p>
    <w:p>
      <w:pPr>
        <w:pStyle w:val="ListBullet"/>
      </w:pPr>
      <w:r>
        <w:t>Corrección de identificadores mal inferidos como numéricos.</w:t>
      </w:r>
    </w:p>
    <w:p>
      <w:pPr>
        <w:pStyle w:val="ListBullet"/>
      </w:pPr>
      <w:r>
        <w:t>Preservación de nulos cuando representan ausencia legítima.</w:t>
      </w:r>
    </w:p>
    <w:p>
      <w:pPr>
        <w:pStyle w:val="ListBullet"/>
      </w:pPr>
      <w:r>
        <w:t>Imputación controlada cuando mejora la explotación posterior.</w:t>
      </w:r>
    </w:p>
    <w:p>
      <w:pPr>
        <w:pStyle w:val="ListBullet"/>
      </w:pPr>
      <w:r>
        <w:t>Generación de flags útiles para analytics.</w:t>
      </w:r>
    </w:p>
    <w:p>
      <w:pPr>
        <w:pStyle w:val="Heading1"/>
      </w:pPr>
      <w:r>
        <w:t>10. Feature engineering temporal</w:t>
      </w:r>
    </w:p>
    <w:p>
      <w:pPr>
        <w:spacing w:after="120"/>
      </w:pPr>
      <w:r>
        <w:t>Además de cumplir la consigna de features temporales, la notebook deja derivadas complementarias para explotación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72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Feature</w:t>
            </w:r>
          </w:p>
        </w:tc>
        <w:tc>
          <w:tcPr>
            <w:tcW w:type="dxa" w:w="3345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Definición</w:t>
            </w:r>
          </w:p>
        </w:tc>
        <w:tc>
          <w:tcPr>
            <w:tcW w:type="dxa" w:w="28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7"/>
              </w:rPr>
              <w:t>Utilidad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days_report_delay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Días entre loss_dt y report_dt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Velocidad de reporte del siniestro.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policy_age_days_at_loss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Antigüedad de póliza al momento del siniestro, en días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Madurez del vínculo asegurado-póliza.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policy_age_years_at_loss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La misma antigüedad expresada en años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Mayor interpretabilidad para negocio.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loss_ratio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claim_amount dividido premium_amount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Desproporción entre reclamo y prima.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out_of_state_incident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Flag si el incidente ocurre fuera del estado del cliente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Perfil de riesgo o anomalía.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incident_time_category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Franja horaria del incidente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Análisis por momento del día.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loss_year_month / report_year_month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Período mensual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Series de tiempo y evolución mensual.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agent_tenure_days_at_report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Antigüedad del agente al reportar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Feature generada luego del join con employees.</w:t>
            </w:r>
          </w:p>
        </w:tc>
      </w:tr>
    </w:tbl>
    <w:p>
      <w:pPr>
        <w:pStyle w:val="Heading1"/>
      </w:pPr>
      <w:r>
        <w:t>11. Integración de tablas maestras con claims</w:t>
      </w:r>
    </w:p>
    <w:p>
      <w:pPr>
        <w:spacing w:after="120"/>
      </w:pPr>
      <w:r>
        <w:t>Una vez normalizadas las tres entidades, se arma una base integrada de nivel gold. Esta tabla no reemplaza a las maestras, sino que funciona como dataset analítico de trabajo para los siguientes puntos.</w:t>
      </w:r>
    </w:p>
    <w:p>
      <w:pPr>
        <w:pStyle w:val="ListBullet"/>
      </w:pPr>
      <w:r>
        <w:t>Claims se mantiene como tabla base y preserva su granularidad original.</w:t>
      </w:r>
    </w:p>
    <w:p>
      <w:pPr>
        <w:pStyle w:val="ListBullet"/>
      </w:pPr>
      <w:r>
        <w:t>Employees se incorpora mediante left join por agent_id.</w:t>
      </w:r>
    </w:p>
    <w:p>
      <w:pPr>
        <w:pStyle w:val="ListBullet"/>
      </w:pPr>
      <w:r>
        <w:t>Vendors se incorpora mediante left join por vendor_id.</w:t>
      </w:r>
    </w:p>
    <w:p>
      <w:pPr>
        <w:pStyle w:val="ListBullet"/>
      </w:pPr>
      <w:r>
        <w:t>Se agregan features derivadas como agent_tenure_days_at_report.</w:t>
      </w:r>
    </w:p>
    <w:p>
      <w:pPr>
        <w:spacing w:after="120"/>
      </w:pPr>
      <w:r>
        <w:t>La elección de left join permite no perder claims durante la integración y preservar la completitud de la tabla central.</w:t>
      </w:r>
    </w:p>
    <w:p>
      <w:pPr>
        <w:pStyle w:val="Heading1"/>
      </w:pPr>
      <w:r>
        <w:t>12. Persistencia de tablas sólidas</w:t>
      </w:r>
    </w:p>
    <w:p>
      <w:pPr>
        <w:spacing w:after="120"/>
      </w:pPr>
      <w:r>
        <w:t>El proceso deja persistidos archivos reutilizables para que los siguientes notebooks trabajen sobre una base curada y no sobre CSV crudo.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Archivo</w:t>
            </w:r>
          </w:p>
        </w:tc>
        <w:tc>
          <w:tcPr>
            <w:tcW w:type="dxa" w:w="136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Capa</w:t>
            </w:r>
          </w:p>
        </w:tc>
        <w:tc>
          <w:tcPr>
            <w:tcW w:type="dxa" w:w="3798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Contenido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data/bronze/*.csv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Bronze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CSVs raw extraídos desde el ZIP.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data/silver/claims_silver.parquet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Silver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Claims normalizados más features base.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data/silver/employees_silver.parquet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Silver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Maestro de agentes limpio.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data/silver/vendors_silver.parquet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Silver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Maestro de vendors limpio.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data/gold/claims_enriched_gold.parquet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Gold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Dataset integrado listo para explotación analítica.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db/tekne_claims.duckdb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SQL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Base DuckDB con vistas sobre las tablas sólidas.</w:t>
            </w:r>
          </w:p>
        </w:tc>
      </w:tr>
    </w:tbl>
    <w:p>
      <w:pPr>
        <w:pStyle w:val="Heading1"/>
      </w:pPr>
      <w:r>
        <w:t>13. Capa SQL sobre las tablas sólidas</w:t>
      </w:r>
    </w:p>
    <w:p>
      <w:pPr>
        <w:spacing w:after="120"/>
      </w:pPr>
      <w:r>
        <w:t>Sobre los Parquet curados se monta una base DuckDB local. Esto permite consultar con SQL directamente y desacopla la explotación analítica de la etapa de limpieza.</w:t>
      </w:r>
    </w:p>
    <w:p>
      <w:pPr>
        <w:spacing w:after="120"/>
      </w:pPr>
      <w:r>
        <w:t>La notebook deja consultas SQL de validación y explotación base para usar luego en KPIs, evolución mensual y detección de anomalías.</w:t>
      </w:r>
    </w:p>
    <w:p>
      <w:pPr>
        <w:pStyle w:val="CodeBlock"/>
        <w:spacing w:after="0" w:before="0"/>
        <w:ind w:left="198" w:right="85"/>
        <w:shd w:fill="F4F7FB"/>
      </w:pPr>
      <w:r>
        <w:t>SELECT *</w:t>
      </w:r>
    </w:p>
    <w:p>
      <w:pPr>
        <w:pStyle w:val="CodeBlock"/>
        <w:spacing w:after="0" w:before="0"/>
        <w:ind w:left="198" w:right="85"/>
        <w:shd w:fill="F4F7FB"/>
      </w:pPr>
      <w:r>
        <w:t>FROM claims_enriched_gold</w:t>
      </w:r>
    </w:p>
    <w:p>
      <w:pPr>
        <w:pStyle w:val="CodeBlock"/>
        <w:spacing w:after="0" w:before="0"/>
        <w:ind w:left="198" w:right="85"/>
        <w:shd w:fill="F4F7FB"/>
      </w:pPr>
      <w:r>
        <w:t>LIMIT 10;</w:t>
      </w:r>
    </w:p>
    <w:p/>
    <w:p>
      <w:pPr>
        <w:pStyle w:val="Heading1"/>
      </w:pPr>
      <w:r>
        <w:t>14. Resumen técnico de decisiones tomadas</w:t>
      </w:r>
    </w:p>
    <w:p>
      <w:pPr>
        <w:spacing w:after="120"/>
      </w:pPr>
      <w:r>
        <w:t>A nivel de modelado, insurance_data se toma como tabla central del proceso, mientras que employee_data y vendor_data se tratan como dimensiones maestras.</w:t>
      </w:r>
    </w:p>
    <w:p>
      <w:pPr>
        <w:spacing w:after="120"/>
      </w:pPr>
      <w:r>
        <w:t>A nivel de calidad, se corrigen tipos, se preserva el formato de identificadores y se trata cada faltante según su semántica. Además, se documentan hallazgos que no corresponde alterar artificialmente.</w:t>
      </w:r>
    </w:p>
    <w:p>
      <w:pPr>
        <w:spacing w:after="120"/>
      </w:pPr>
      <w:r>
        <w:t>A nivel de persistencia, se elige Parquet como formato sólido y DuckDB como motor SQL local para favorecer portabilidad, trazabilidad y reutilización entre notebooks.</w:t>
      </w:r>
    </w:p>
    <w:p>
      <w:pPr>
        <w:pStyle w:val="Callout"/>
        <w:shd w:fill="F7FBFF"/>
      </w:pPr>
      <w:r>
        <w:rPr>
          <w:b/>
        </w:rPr>
        <w:t xml:space="preserve">Resultado del Punto 1. </w:t>
      </w:r>
      <w:r>
        <w:t>Al finalizar este flujo, queda preparada una base local limpia y reusable para KPIs, evolución mensual, anomalías, modelo simple, demo con LLM y resumen ejecutivo.</w:t>
      </w:r>
    </w:p>
    <w:p>
      <w:pPr>
        <w:pStyle w:val="Heading1"/>
      </w:pPr>
      <w:r>
        <w:t>15. Checklist de cobertura de la consigna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Requisito</w:t>
            </w:r>
          </w:p>
        </w:tc>
        <w:tc>
          <w:tcPr>
            <w:tcW w:type="dxa" w:w="11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Estado</w:t>
            </w:r>
          </w:p>
        </w:tc>
        <w:tc>
          <w:tcPr>
            <w:tcW w:type="dxa" w:w="2891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DCEBFA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8"/>
              </w:rPr>
              <w:t>Cobertura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Integrar las tres tablas y describir el modelo de datos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Cumplido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Se documentan entidades, relaciones y base gold integrada.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Documentar al menos tres problemas de calidad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Cumplido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Se explicitan cinco problemas con tratamiento o criterio de lectura.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Calcular al menos dos features temporales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Cumplido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Se construyen tres principales y varias derivadas complementarias.</w:t>
            </w:r>
          </w:p>
        </w:tc>
      </w:tr>
      <w:tr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BFF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Entregar código reproducible y comentado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Cumplido</w:t>
            </w:r>
          </w:p>
        </w:tc>
        <w:tc>
          <w:tcPr>
            <w:tcW w:type="dxa" w:w="3137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8"/>
              </w:rPr>
              <w:t>Se documenta instalación, setup, ingesta, normalización, persistencia y SQL base.</w:t>
            </w:r>
          </w:p>
        </w:tc>
      </w:tr>
    </w:tbl>
    <w:p>
      <w:pPr>
        <w:jc w:val="center"/>
      </w:pPr>
      <w:r>
        <w:rPr>
          <w:i/>
          <w:color w:val="646464"/>
        </w:rPr>
        <w:t>Fin del documento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7"/>
      </w:rPr>
      <w:t>Memoria técnica de la notebook · Data Engineering &amp; Quality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7"/>
      </w:rPr>
      <w:t>Challenge TEKNE · Punto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7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 w:eastAsia="Consolas"/>
      <w:sz w:val="18"/>
    </w:rPr>
  </w:style>
  <w:style w:type="paragraph" w:customStyle="1" w:styleId="Callout">
    <w:name w:val="Callout"/>
    <w:basedOn w:val="Normal"/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