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0"/>
        </w:rPr>
        <w:t xml:space="preserve">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Análisis de Siniestros — Insurance Claims Fraud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8" w:sz="6" w:val="single"/>
        </w:pBdr>
        <w:spacing w:after="360" w:lineRule="auto"/>
        <w:jc w:val="center"/>
        <w:rPr/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Santiago Pereyra — Abril 2026 — Challenge Tekne Data 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Para: </w:t>
      </w:r>
      <w:r w:rsidDel="00000000" w:rsidR="00000000" w:rsidRPr="00000000">
        <w:rPr>
          <w:sz w:val="22"/>
          <w:szCs w:val="22"/>
          <w:rtl w:val="0"/>
        </w:rPr>
        <w:t xml:space="preserve">Director de Siniestros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De: </w:t>
      </w:r>
      <w:r w:rsidDel="00000000" w:rsidR="00000000" w:rsidRPr="00000000">
        <w:rPr>
          <w:sz w:val="22"/>
          <w:szCs w:val="22"/>
          <w:rtl w:val="0"/>
        </w:rPr>
        <w:t xml:space="preserve">Santiago Pereyra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Período analizado: </w:t>
      </w:r>
      <w:r w:rsidDel="00000000" w:rsidR="00000000" w:rsidRPr="00000000">
        <w:rPr>
          <w:sz w:val="22"/>
          <w:szCs w:val="22"/>
          <w:rtl w:val="0"/>
        </w:rPr>
        <w:t xml:space="preserve">Mayo 2020 – Junio 2021 (10.000 claims)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Se analizaron </w:t>
      </w:r>
      <w:r w:rsidDel="00000000" w:rsidR="00000000" w:rsidRPr="00000000">
        <w:rPr>
          <w:b w:val="1"/>
          <w:bCs w:val="1"/>
          <w:rtl w:val="0"/>
        </w:rPr>
        <w:t xml:space="preserve">10.000 siniestros</w:t>
      </w:r>
      <w:r w:rsidDel="00000000" w:rsidR="00000000" w:rsidRPr="00000000">
        <w:rPr>
          <w:rtl w:val="0"/>
        </w:rPr>
        <w:t xml:space="preserve"> del período mayo 2020 a junio 2021, integrando datos de clientes, 1.200 agentes y 600 vendors investigadores. El análisis cubrió 6 líneas de seguro: Life, Property, Health, Motor, Mobile y Travel.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Hallazgos principales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60"/>
        <w:gridCol w:w="5600"/>
        <w:tblGridChange w:id="0">
          <w:tblGrid>
            <w:gridCol w:w="2200"/>
            <w:gridCol w:w="156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Tasa de rechazo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5,03%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Muy baja para la industria. Podría indicar subdetección de fraude.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Loss Ratio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199x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La aseguradora paga en promedio 199 veces la prima por claim.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Loss Ratio Life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c0000"/>
                <w:sz w:val="20"/>
                <w:szCs w:val="20"/>
                <w:rtl w:val="0"/>
              </w:rPr>
              <w:t xml:space="preserve">728x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3,5 veces superior al promedio del portafolio. Línea con mayor exposición económica.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Tiempo de reporte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3,2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15,7% se reporta el mismo día. Patrón que en la industria se asocia a preparación previa.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Principales riesgos y alertas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1. Life Insurance concentra presión económica desproporcionada</w:t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  <w:t xml:space="preserve">Los claims de Life promedian </w:t>
      </w:r>
      <w:r w:rsidDel="00000000" w:rsidR="00000000" w:rsidRPr="00000000">
        <w:rPr>
          <w:b w:val="1"/>
          <w:bCs w:val="1"/>
          <w:rtl w:val="0"/>
        </w:rPr>
        <w:t xml:space="preserve">USD 54.386</w:t>
      </w:r>
      <w:r w:rsidDel="00000000" w:rsidR="00000000" w:rsidRPr="00000000">
        <w:rPr>
          <w:rtl w:val="0"/>
        </w:rPr>
        <w:t xml:space="preserve"> (6 veces el promedio del resto), con primas de solo USD 75. A pesar de esto, su tasa de rechazo (4,6%) es </w:t>
      </w:r>
      <w:r w:rsidDel="00000000" w:rsidR="00000000" w:rsidRPr="00000000">
        <w:rPr>
          <w:b w:val="1"/>
          <w:bCs w:val="1"/>
          <w:rtl w:val="0"/>
        </w:rPr>
        <w:t xml:space="preserve">la más baja de todas las líneas</w:t>
      </w:r>
      <w:r w:rsidDel="00000000" w:rsidR="00000000" w:rsidRPr="00000000">
        <w:rPr>
          <w:rtl w:val="0"/>
        </w:rPr>
        <w:t xml:space="preserve">. Los claims más costosos están recibiendo el menor escrutinio.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2. No existe triaje por acumulación de señales de alerta</w:t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tl w:val="0"/>
        </w:rPr>
        <w:t xml:space="preserve">Se construyó un indicador de sospecha que combina 8 señales de riesgo (reporte inmediato, sin policía, Total Loss sin lesiones, sin vendor, póliza nueva, incidente nocturno, etc.). Los claims que acumulan </w:t>
      </w:r>
      <w:r w:rsidDel="00000000" w:rsidR="00000000" w:rsidRPr="00000000">
        <w:rPr>
          <w:b w:val="1"/>
          <w:bCs w:val="1"/>
          <w:rtl w:val="0"/>
        </w:rPr>
        <w:t xml:space="preserve">3 o más señales simultáneas no se rechazan más que el promedio</w:t>
      </w:r>
      <w:r w:rsidDel="00000000" w:rsidR="00000000" w:rsidRPr="00000000">
        <w:rPr>
          <w:rtl w:val="0"/>
        </w:rPr>
        <w:t xml:space="preserve">. El proceso actual no diferencia entre un claim con cero alertas y uno con cinco.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3. Cobertura insuficiente de investigación</w:t>
      </w:r>
    </w:p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32,5% de los claims no tiene vendor investigador asignado</w:t>
      </w:r>
      <w:r w:rsidDel="00000000" w:rsidR="00000000" w:rsidRPr="00000000">
        <w:rPr>
          <w:rtl w:val="0"/>
        </w:rPr>
        <w:t xml:space="preserve">. Los claims sin vendor presentan mayor tasa de rechazo (5,7% vs 4,7% con vendor), lo que sugiere que la asignación temprana de vendor mejora la calidad de la evaluación.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4. La segmentación de riesgo actual no funciona</w:t>
      </w:r>
    </w:p>
    <w:p w:rsidR="00000000" w:rsidDel="00000000" w:rsidP="00000000" w:rsidRDefault="00000000" w:rsidRPr="00000000" w14:paraId="00000022">
      <w:pPr>
        <w:spacing w:after="80" w:lineRule="auto"/>
        <w:rPr/>
      </w:pPr>
      <w:r w:rsidDel="00000000" w:rsidR="00000000" w:rsidRPr="00000000">
        <w:rPr>
          <w:rtl w:val="0"/>
        </w:rPr>
        <w:t xml:space="preserve">El segmento </w:t>
      </w:r>
      <w:r w:rsidDel="00000000" w:rsidR="00000000" w:rsidRPr="00000000">
        <w:rPr>
          <w:b w:val="1"/>
          <w:bCs w:val="1"/>
          <w:rtl w:val="0"/>
        </w:rPr>
        <w:t xml:space="preserve">H (alto riesgo) tiene la menor tasa de rechazo (4,1%)</w:t>
      </w:r>
      <w:r w:rsidDel="00000000" w:rsidR="00000000" w:rsidRPr="00000000">
        <w:rPr>
          <w:rtl w:val="0"/>
        </w:rPr>
        <w:t xml:space="preserve">, por debajo de los segmentos M (5,3%) y L (5,1%). Si la segmentación fuera efectiva, se esperaría lo contrario. Esto indica que los criterios actuales de clasificación no están alineados con el desenlace real de los claims.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Recomendaciones de próximos pasos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Revisión prioritaria de la línea Life.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Implementar un umbral de revisión obligatoria para claims Life superiores a USD 30.000, con asignación automática de vendor investigador. Validar además si la métrica de prima y claim está comparando magnitudes homogéneas.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Implementar scoring de sospecha automatizado.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 propone un indicador ponderado que combine 8 señales de riesgo. Claims con puntaje alto deberían derivarse automáticamente a investigación. Esto permite focalizar los recursos de vendor (limitados) en los casos con mayor probabilidad de fraude.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Ampliar la cobertura de vendors.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Subir del 68% actual al 90% en claims de alto riesgo. La evidencia muestra que la presencia de vendor se asocia con menor tasa de rechazo, lo que indica evaluaciones de mejor calidad.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Recalibrar la segmentación de riesgo.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Revisar los criterios actuales de clasificación H/M/L usando outcomes reales de claims en lugar del criterio vigente, que no muestra alineación con el desenlace operativo.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Pilotear un auditor asistido por IA.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 desarrolló un prototipo funcional que analiza cada claim y genera una nota de auditoría en lenguaje natural con nivel de riesgo, señales detectadas y recomendación operativa. El costo estimado es inferior a USD 0,01 por claim y el tiempo de procesamiento es de segundos. Recomendamos un piloto de 30 días sobre los claims de score alto.</w:t>
      </w:r>
    </w:p>
    <w:p w:rsidR="00000000" w:rsidDel="00000000" w:rsidP="00000000" w:rsidRDefault="00000000" w:rsidRPr="00000000" w14:paraId="00000029">
      <w:pPr>
        <w:pBdr>
          <w:top w:color="1f4e79" w:space="8" w:sz="4" w:val="single"/>
        </w:pBd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8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Nota metodológica: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Este análisis se basó en 10.000 registros históricos. Las conclusiones son indicativas y se recomienda validar los hallazgos con el equipo actuarial antes de implementar cambios operativos.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Contacto: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Santiago Pereyra — Disponible para presentar estos hallazgos al equipo de siniestros.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