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body>
    <w:p>
      <w:pPr>
        <w:pStyle w:val="Heading3"/>
        <w:jc w:val="center"/>
        <w:spacing w:line="360" w:lineRule="auto" w:before="200" w:after="40"/>
        <w:rPr>
          <w:rFonts w:ascii="Times New Roman" w:hAnsi="Times New Roman" w:cs="Times New Roman"/>
          <w:sz w:val="28"/>
          <w:szCs w:val="28"/>
          <w:b/>
        </w:rPr>
      </w:pPr>
      <w:r>
        <w:rPr>
          <w:rFonts w:ascii="Times New Roman" w:hAnsi="Times New Roman" w:cs="Times New Roman"/>
          <w:sz w:val="28"/>
          <w:szCs w:val="28"/>
          <w:b/>
        </w:rPr>
        <w:t xml:space="preserve">MAR BASELIOS INSTITUTE OF TECHNOLOGY AND SCIENCE</w:t>
      </w:r>
    </w:p>
    <w:p>
      <w:pPr>
        <w:pStyle w:val="Normal"/>
        <w:jc w:val="center"/>
        <w:spacing w:line="360" w:lineRule="auto" w:before="0" w:after="20"/>
        <w:rPr>
          <w:rFonts w:ascii="Times New Roman" w:hAnsi="Times New Roman" w:cs="Times New Roman"/>
          <w:sz w:val="24"/>
          <w:szCs w:val="24"/>
          <w:b/>
        </w:rPr>
      </w:pPr>
      <w:r>
        <w:rPr>
          <w:rFonts w:ascii="Times New Roman" w:hAnsi="Times New Roman" w:cs="Times New Roman"/>
          <w:sz w:val="24"/>
          <w:szCs w:val="24"/>
          <w:b/>
        </w:rPr>
        <w:t xml:space="preserve">Nellimattom, Kothamangalam</w:t>
      </w:r>
    </w:p>
    <w:p>
      <w:pPr>
        <w:pStyle w:val="Normal"/>
        <w:jc w:val="center"/>
        <w:spacing w:line="360" w:lineRule="auto" w:before="0" w:after="180"/>
        <w:rPr>
          <w:rFonts w:ascii="Times New Roman" w:hAnsi="Times New Roman" w:cs="Times New Roman"/>
          <w:sz w:val="20"/>
          <w:szCs w:val="20"/>
          <w:i/>
        </w:rPr>
      </w:pPr>
      <w:r>
        <w:rPr>
          <w:rFonts w:ascii="Times New Roman" w:hAnsi="Times New Roman" w:cs="Times New Roman"/>
          <w:sz w:val="20"/>
          <w:szCs w:val="20"/>
          <w:i/>
        </w:rPr>
        <w:t xml:space="preserve">(Affiliated to APJ Abdul Kalam Technological University, TVM)</w:t>
      </w:r>
    </w:p>
    <w:p>
      <w:pPr>
        <w:jc w:val="center"/>
        <w:spacing w:line="240" w:before="120" w:after="60"/>
      </w:pPr>
      <w:r>
        <w:drawing>
          <wp:inline distT="0" distB="0" distL="0" distR="0">
            <wp:extent cx="3259455" cy="2172970"/>
            <wp:docPr id="100" name="MBITS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ITS Crest"/>
                    <pic:cNvPicPr>
                      <a:picLocks noChangeAspect="1" noChangeArrowheads="1"/>
                    </pic:cNvPicPr>
                  </pic:nvPicPr>
                  <pic:blipFill>
                    <a:blip r:embed="rId7" cstate="print"/>
                    <a:stretch>
                      <a:fillRect/>
                    </a:stretch>
                  </pic:blipFill>
                  <pic:spPr>
                    <a:xfrm>
                      <a:off x="0" y="0"/>
                      <a:ext cx="3259455" cy="2172970"/>
                    </a:xfrm>
                    <a:prstGeom prst="rect">
                      <a:avLst/>
                    </a:prstGeom>
                    <a:noFill/>
                    <a:ln>
                      <a:noFill/>
                    </a:ln>
                  </pic:spPr>
                </pic:pic>
              </a:graphicData>
            </a:graphic>
          </wp:inline>
        </w:drawing>
      </w:r>
    </w:p>
    <w:p>
      <w:pPr>
        <w:pStyle w:val="Normal"/>
        <w:jc w:val="center"/>
        <w:spacing w:line="360" w:lineRule="auto" w:before="160" w:after="60"/>
        <w:rPr>
          <w:rFonts w:ascii="Times New Roman" w:hAnsi="Times New Roman" w:cs="Times New Roman"/>
          <w:sz w:val="26"/>
          <w:szCs w:val="26"/>
          <w:b/>
        </w:rPr>
      </w:pPr>
      <w:r>
        <w:rPr>
          <w:rFonts w:ascii="Times New Roman" w:hAnsi="Times New Roman" w:cs="Times New Roman"/>
          <w:sz w:val="26"/>
          <w:szCs w:val="26"/>
          <w:b/>
        </w:rPr>
        <w:t xml:space="preserve">Department of Computer Applications</w:t>
      </w:r>
    </w:p>
    <w:p>
      <w:pPr>
        <w:pStyle w:val="Normal"/>
        <w:jc w:val="center"/>
        <w:spacing w:line="360" w:lineRule="auto" w:before="0" w:after="140"/>
        <w:rPr>
          <w:rFonts w:ascii="Times New Roman" w:hAnsi="Times New Roman" w:cs="Times New Roman"/>
          <w:sz w:val="24"/>
          <w:szCs w:val="24"/>
          <w:b/>
        </w:rPr>
      </w:pPr>
      <w:r>
        <w:rPr>
          <w:rFonts w:ascii="Times New Roman" w:hAnsi="Times New Roman" w:cs="Times New Roman"/>
          <w:sz w:val="24"/>
          <w:szCs w:val="24"/>
          <w:b/>
        </w:rPr>
        <w:t xml:space="preserve">Mini Project Report</w:t>
      </w:r>
    </w:p>
    <w:p>
      <w:pPr>
        <w:pStyle w:val="Heading1"/>
        <w:jc w:val="center"/>
        <w:spacing w:line="360" w:lineRule="auto" w:before="100" w:after="140"/>
        <w:rPr>
          <w:rFonts w:ascii="Times New Roman" w:hAnsi="Times New Roman" w:cs="Times New Roman"/>
          <w:sz w:val="34"/>
          <w:szCs w:val="34"/>
          <w:b/>
        </w:rPr>
      </w:pPr>
      <w:r>
        <w:rPr>
          <w:rFonts w:ascii="Times New Roman" w:hAnsi="Times New Roman" w:cs="Times New Roman"/>
          <w:sz w:val="34"/>
          <w:szCs w:val="34"/>
          <w:b/>
        </w:rPr>
        <w:t xml:space="preserve">SKIN DISEASE PREDICTION</w:t>
      </w:r>
    </w:p>
    <w:p>
      <w:pPr>
        <w:pStyle w:val="Normal"/>
        <w:jc w:val="center"/>
        <w:spacing w:line="360" w:lineRule="auto" w:before="60" w:after="40"/>
        <w:rPr>
          <w:rFonts w:ascii="Times New Roman" w:hAnsi="Times New Roman" w:cs="Times New Roman"/>
          <w:sz w:val="22"/>
          <w:szCs w:val="22"/>
          <w:i/>
        </w:rPr>
      </w:pPr>
      <w:r>
        <w:rPr>
          <w:rFonts w:ascii="Times New Roman" w:hAnsi="Times New Roman" w:cs="Times New Roman"/>
          <w:sz w:val="22"/>
          <w:szCs w:val="22"/>
          <w:i/>
        </w:rPr>
        <w:t xml:space="preserve">Done by</w:t>
      </w:r>
    </w:p>
    <w:p>
      <w:pPr>
        <w:pStyle w:val="Normal"/>
        <w:jc w:val="center"/>
        <w:spacing w:line="360" w:lineRule="auto" w:before="0" w:after="20"/>
        <w:rPr>
          <w:rFonts w:ascii="Times New Roman" w:hAnsi="Times New Roman" w:cs="Times New Roman"/>
          <w:sz w:val="24"/>
          <w:szCs w:val="24"/>
          <w:b/>
        </w:rPr>
      </w:pPr>
      <w:r>
        <w:rPr>
          <w:rFonts w:ascii="Times New Roman" w:hAnsi="Times New Roman" w:cs="Times New Roman"/>
          <w:sz w:val="24"/>
          <w:szCs w:val="24"/>
          <w:b/>
        </w:rPr>
        <w:t xml:space="preserve">Name</w:t>
      </w:r>
    </w:p>
    <w:p>
      <w:pPr>
        <w:pStyle w:val="Normal"/>
        <w:jc w:val="center"/>
        <w:spacing w:line="360" w:lineRule="auto" w:before="0" w:after="140"/>
        <w:rPr>
          <w:rFonts w:ascii="Times New Roman" w:hAnsi="Times New Roman" w:cs="Times New Roman"/>
          <w:sz w:val="22"/>
          <w:szCs w:val="22"/>
          <w:b/>
        </w:rPr>
      </w:pPr>
      <w:r>
        <w:rPr>
          <w:rFonts w:ascii="Times New Roman" w:hAnsi="Times New Roman" w:cs="Times New Roman"/>
          <w:sz w:val="22"/>
          <w:szCs w:val="22"/>
          <w:b/>
        </w:rPr>
        <w:t xml:space="preserve">Reg No: ---------</w:t>
      </w:r>
    </w:p>
    <w:p>
      <w:pPr>
        <w:pStyle w:val="Normal"/>
        <w:jc w:val="center"/>
        <w:spacing w:line="360" w:lineRule="auto" w:before="40" w:after="20"/>
        <w:rPr>
          <w:rFonts w:ascii="Times New Roman" w:hAnsi="Times New Roman" w:cs="Times New Roman"/>
          <w:sz w:val="22"/>
          <w:szCs w:val="22"/>
          <w:i/>
        </w:rPr>
      </w:pPr>
      <w:r>
        <w:rPr>
          <w:rFonts w:ascii="Times New Roman" w:hAnsi="Times New Roman" w:cs="Times New Roman"/>
          <w:sz w:val="22"/>
          <w:szCs w:val="22"/>
          <w:i/>
        </w:rPr>
        <w:t xml:space="preserve">Under the guidance of</w:t>
      </w:r>
    </w:p>
    <w:p>
      <w:pPr>
        <w:pStyle w:val="Normal"/>
        <w:jc w:val="center"/>
        <w:spacing w:line="360" w:lineRule="auto" w:before="0" w:after="180"/>
        <w:rPr>
          <w:rFonts w:ascii="Times New Roman" w:hAnsi="Times New Roman" w:cs="Times New Roman"/>
          <w:sz w:val="24"/>
          <w:szCs w:val="24"/>
          <w:b/>
        </w:rPr>
      </w:pPr>
      <w:r>
        <w:rPr>
          <w:rFonts w:ascii="Times New Roman" w:hAnsi="Times New Roman" w:cs="Times New Roman"/>
          <w:sz w:val="24"/>
          <w:szCs w:val="24"/>
          <w:b/>
        </w:rPr>
        <w:t xml:space="preserve">Prof. ---------</w:t>
      </w:r>
    </w:p>
    <w:p>
      <w:pPr>
        <w:pStyle w:val="Normal"/>
        <w:jc w:val="center"/>
        <w:spacing w:line="360" w:lineRule="auto" w:before="100" w:after="100"/>
        <w:rPr>
          <w:rFonts w:ascii="Times New Roman" w:hAnsi="Times New Roman" w:cs="Times New Roman"/>
          <w:sz w:val="24"/>
          <w:szCs w:val="24"/>
          <w:b/>
        </w:rPr>
      </w:pPr>
      <w:r>
        <w:rPr>
          <w:rFonts w:ascii="Times New Roman" w:hAnsi="Times New Roman" w:cs="Times New Roman"/>
          <w:sz w:val="24"/>
          <w:szCs w:val="24"/>
          <w:b/>
        </w:rPr>
        <w:t xml:space="preserve">2025-2027</w:t>
      </w:r>
    </w:p>
    <w:p>
      <w:pPr>
        <w:sectPr>
          <w:pgSz w:w="11910" w:h="16840"/>
          <w:pgMar w:top="1580" w:right="740" w:bottom="1820" w:left="740" w:header="749" w:footer="1627" w:gutter="0"/>
          <w:cols w:space="720"/>
        </w:sectPr>
      </w:pPr>
    </w:p>
    <w:p>
      <w:pPr>
        <w:pStyle w:val="Heading3"/>
        <w:jc w:val="center"/>
        <w:spacing w:line="360" w:lineRule="auto" w:before="100" w:after="40"/>
        <w:rPr>
          <w:rFonts w:ascii="Times New Roman" w:hAnsi="Times New Roman" w:cs="Times New Roman"/>
          <w:sz w:val="28"/>
          <w:szCs w:val="28"/>
          <w:b/>
        </w:rPr>
      </w:pPr>
      <w:r>
        <w:rPr>
          <w:rFonts w:ascii="Times New Roman" w:hAnsi="Times New Roman" w:cs="Times New Roman"/>
          <w:sz w:val="28"/>
          <w:szCs w:val="28"/>
          <w:b/>
        </w:rPr>
        <w:t xml:space="preserve">MAR BASELIOS INSTITUTE OF TECHNOLOGY AND SCIENCE</w:t>
      </w:r>
    </w:p>
    <w:p>
      <w:pPr>
        <w:pStyle w:val="Normal"/>
        <w:jc w:val="center"/>
        <w:spacing w:line="360" w:lineRule="auto" w:before="0" w:after="100"/>
        <w:rPr>
          <w:rFonts w:ascii="Times New Roman" w:hAnsi="Times New Roman" w:cs="Times New Roman"/>
          <w:sz w:val="22"/>
          <w:szCs w:val="22"/>
          <w:b/>
        </w:rPr>
      </w:pPr>
      <w:r>
        <w:rPr>
          <w:rFonts w:ascii="Times New Roman" w:hAnsi="Times New Roman" w:cs="Times New Roman"/>
          <w:sz w:val="22"/>
          <w:szCs w:val="22"/>
          <w:b/>
        </w:rPr>
        <w:t xml:space="preserve">Nellimattom, Kothamangalam</w:t>
      </w:r>
    </w:p>
    <w:p>
      <w:pPr>
        <w:jc w:val="center"/>
        <w:spacing w:line="240" w:before="120" w:after="60"/>
      </w:pPr>
      <w:r>
        <w:drawing>
          <wp:inline distT="0" distB="0" distL="0" distR="0">
            <wp:extent cx="2607564" cy="1738376"/>
            <wp:docPr id="100" name="MBITS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ITS Crest"/>
                    <pic:cNvPicPr>
                      <a:picLocks noChangeAspect="1" noChangeArrowheads="1"/>
                    </pic:cNvPicPr>
                  </pic:nvPicPr>
                  <pic:blipFill>
                    <a:blip r:embed="rId14" cstate="print"/>
                    <a:stretch>
                      <a:fillRect/>
                    </a:stretch>
                  </pic:blipFill>
                  <pic:spPr>
                    <a:xfrm>
                      <a:off x="0" y="0"/>
                      <a:ext cx="2607564" cy="1738376"/>
                    </a:xfrm>
                    <a:prstGeom prst="rect">
                      <a:avLst/>
                    </a:prstGeom>
                    <a:noFill/>
                    <a:ln>
                      <a:noFill/>
                    </a:ln>
                  </pic:spPr>
                </pic:pic>
              </a:graphicData>
            </a:graphic>
          </wp:inline>
        </w:drawing>
      </w:r>
    </w:p>
    <w:p>
      <w:pPr>
        <w:pStyle w:val="Heading1"/>
        <w:jc w:val="center"/>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CERTIFICATE</w:t>
      </w:r>
    </w:p>
    <w:p>
      <w:pPr>
        <w:pStyle w:val="Normal"/>
        <w:jc w:val="center"/>
        <w:spacing w:line="360" w:lineRule="auto" w:before="80" w:after="160"/>
        <w:rPr>
          <w:rFonts w:ascii="Times New Roman" w:hAnsi="Times New Roman" w:cs="Times New Roman"/>
          <w:sz w:val="26"/>
          <w:szCs w:val="26"/>
          <w:b/>
        </w:rPr>
      </w:pPr>
      <w:r>
        <w:rPr>
          <w:rFonts w:ascii="Times New Roman" w:hAnsi="Times New Roman" w:cs="Times New Roman"/>
          <w:sz w:val="26"/>
          <w:szCs w:val="26"/>
          <w:b/>
        </w:rPr>
        <w:t xml:space="preserve">SKIN DISEASE PREDICTION</w:t>
      </w:r>
    </w:p>
    <w:p>
      <w:pPr>
        <w:pStyle w:val="Normal"/>
        <w:jc w:val="both"/>
        <w:spacing w:line="360" w:lineRule="auto" w:before="100" w:after="300"/>
        <w:rPr>
          <w:rFonts w:ascii="Times New Roman" w:hAnsi="Times New Roman" w:cs="Times New Roman"/>
          <w:sz w:val="24"/>
          <w:szCs w:val="24"/>
        </w:rPr>
      </w:pPr>
      <w:r>
        <w:rPr>
          <w:rFonts w:ascii="Times New Roman" w:hAnsi="Times New Roman" w:cs="Times New Roman"/>
          <w:sz w:val="24"/>
          <w:szCs w:val="24"/>
        </w:rPr>
        <w:t xml:space="preserve">Certified that this is the bonafide record of project work done by Name (Reg No: ---------) during the academic year 2025-2027, in partial fulfillment of the requirements for the award of the degree of Master of Computer Applications of APJ Abdul Kalam Technological University, Thiruvananthapuram.</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475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Faculty Guide</w:t>
            </w:r>
          </w:p>
        </w:tc>
        <w:tc>
          <w:tcPr>
            <w:tcW w:w="475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Head of the Department</w:t>
            </w:r>
          </w:p>
        </w:tc>
      </w:tr>
      <w:tr>
        <w:tc>
          <w:tcPr>
            <w:tcW w:w="475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_______________________
Prof. ---------
Assistant Professor
Dept. of Computer Applications</w:t>
            </w:r>
          </w:p>
        </w:tc>
        <w:tc>
          <w:tcPr>
            <w:tcW w:w="475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_______________________
Prof. ---------
Head of Department
Dept. of Computer Applications</w:t>
            </w:r>
          </w:p>
        </w:tc>
      </w:tr>
    </w:tbl>
    <w:p>
      <w:pPr>
        <w:pStyle w:val="Normal"/>
        <w:jc w:val="both"/>
        <w:spacing w:line="360" w:lineRule="auto" w:before="200" w:after="200"/>
        <w:rPr>
          <w:rFonts w:ascii="Times New Roman" w:hAnsi="Times New Roman" w:cs="Times New Roman"/>
          <w:sz w:val="24"/>
          <w:szCs w:val="24"/>
        </w:rPr>
      </w:pPr>
      <w:r>
        <w:rPr>
          <w:rFonts w:ascii="Times New Roman" w:hAnsi="Times New Roman" w:cs="Times New Roman"/>
          <w:sz w:val="24"/>
          <w:szCs w:val="24"/>
        </w:rPr>
        <w:t xml:space="preserve"/>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475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Project Coordinator</w:t>
            </w:r>
          </w:p>
        </w:tc>
        <w:tc>
          <w:tcPr>
            <w:tcW w:w="475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Internal Examiner</w:t>
            </w:r>
          </w:p>
        </w:tc>
      </w:tr>
      <w:tr>
        <w:tc>
          <w:tcPr>
            <w:tcW w:w="475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_______________________
Prof. ---------
Project Coordinator
Dept. of Computer Applications</w:t>
            </w:r>
          </w:p>
        </w:tc>
        <w:tc>
          <w:tcPr>
            <w:tcW w:w="475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_______________________
Prof. ---------
Internal Examiner
MBITS</w:t>
            </w:r>
          </w:p>
        </w:tc>
      </w:tr>
    </w:tbl>
    <w:p>
      <w:pPr>
        <w:sectPr>
          <w:pgSz w:w="11910" w:h="16840"/>
          <w:pgMar w:top="1580" w:right="740" w:bottom="1820" w:left="740" w:header="749" w:footer="1627" w:gutter="0"/>
          <w:cols w:space="720"/>
        </w:sectPr>
      </w:pPr>
    </w:p>
    <w:p>
      <w:pPr>
        <w:pStyle w:val="Heading1"/>
        <w:jc w:val="center"/>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ACKNOWLEDGEMENT</w:t>
      </w:r>
    </w:p>
    <w:p>
      <w:pPr>
        <w:pStyle w:val="Normal"/>
        <w:jc w:val="both"/>
        <w:spacing w:line="360" w:lineRule="auto" w:before="60" w:after="140"/>
        <w:rPr>
          <w:rFonts w:ascii="Times New Roman" w:hAnsi="Times New Roman" w:cs="Times New Roman"/>
          <w:sz w:val="24"/>
          <w:szCs w:val="24"/>
        </w:rPr>
      </w:pPr>
      <w:r>
        <w:rPr>
          <w:rFonts w:ascii="Times New Roman" w:hAnsi="Times New Roman" w:cs="Times New Roman"/>
          <w:sz w:val="24"/>
          <w:szCs w:val="24"/>
        </w:rPr>
        <w:t xml:space="preserve">First and foremost, I thank God Almighty for his divine grace and abundant blessings in making this mini project a success. May his continuous wisdom guide me in all my future endeavors. No words can express my deepest gratitude to my beloved parents, whose unconditional love, moral encouragement, and selfless sacrifices have been the true pillar of my academic journey.</w:t>
      </w:r>
    </w:p>
    <w:p>
      <w:pPr>
        <w:pStyle w:val="Normal"/>
        <w:jc w:val="both"/>
        <w:spacing w:line="360" w:lineRule="auto" w:before="60" w:after="140"/>
        <w:rPr>
          <w:rFonts w:ascii="Times New Roman" w:hAnsi="Times New Roman" w:cs="Times New Roman"/>
          <w:sz w:val="24"/>
          <w:szCs w:val="24"/>
        </w:rPr>
      </w:pPr>
      <w:r>
        <w:rPr>
          <w:rFonts w:ascii="Times New Roman" w:hAnsi="Times New Roman" w:cs="Times New Roman"/>
          <w:sz w:val="24"/>
          <w:szCs w:val="24"/>
        </w:rPr>
        <w:t xml:space="preserve">I express my sincere gratitude to Prof. --------, Head of the Department of Computer Applications, and Prof. --------, Project Coordinator, for their visionary leadership, valuable guidance, and constructive suggestions, as well as for providing all necessary institutional facilities and computing resources throughout the development of this project.</w:t>
      </w:r>
    </w:p>
    <w:p>
      <w:pPr>
        <w:pStyle w:val="Normal"/>
        <w:jc w:val="both"/>
        <w:spacing w:line="360" w:lineRule="auto" w:before="60" w:after="140"/>
        <w:rPr>
          <w:rFonts w:ascii="Times New Roman" w:hAnsi="Times New Roman" w:cs="Times New Roman"/>
          <w:sz w:val="24"/>
          <w:szCs w:val="24"/>
        </w:rPr>
      </w:pPr>
      <w:r>
        <w:rPr>
          <w:rFonts w:ascii="Times New Roman" w:hAnsi="Times New Roman" w:cs="Times New Roman"/>
          <w:sz w:val="24"/>
          <w:szCs w:val="24"/>
        </w:rPr>
        <w:t xml:space="preserve">I would like to extend my heartfelt thanks and deep indebtedness to my Project Guide, Prof. --------, Assistant Professor, Department of Computer Applications, for giving me dedicated attention, technical insights, and continuous inspiration during every phase of this work. His expertise in deep learning, computer vision, and software engineering was instrumental in navigating complex technical challenges.</w:t>
      </w:r>
    </w:p>
    <w:p>
      <w:pPr>
        <w:pStyle w:val="Normal"/>
        <w:jc w:val="both"/>
        <w:spacing w:line="360" w:lineRule="auto" w:before="60" w:after="140"/>
        <w:rPr>
          <w:rFonts w:ascii="Times New Roman" w:hAnsi="Times New Roman" w:cs="Times New Roman"/>
          <w:sz w:val="24"/>
          <w:szCs w:val="24"/>
        </w:rPr>
      </w:pPr>
      <w:r>
        <w:rPr>
          <w:rFonts w:ascii="Times New Roman" w:hAnsi="Times New Roman" w:cs="Times New Roman"/>
          <w:sz w:val="24"/>
          <w:szCs w:val="24"/>
        </w:rPr>
        <w:t xml:space="preserve">I profusely thank all other esteemed professors and non-teaching staff members of the Department of Computer Applications and MBITS for their continuous assistance, valuable advice, and motivation throughout my course of study. Finally, my heartfelt thanks go out to my fellow classmates and friends who readily offered their constructive feedback, creative ideas, and assistance whenever needed.</w:t>
      </w:r>
    </w:p>
    <w:p>
      <w:pPr>
        <w:sectPr>
          <w:pgSz w:w="11910" w:h="16840"/>
          <w:pgMar w:top="1580" w:right="740" w:bottom="1820" w:left="740" w:header="749" w:footer="1627" w:gutter="0"/>
          <w:cols w:space="720"/>
        </w:sectPr>
      </w:pPr>
    </w:p>
    <w:p>
      <w:pPr>
        <w:pStyle w:val="Heading1"/>
        <w:jc w:val="center"/>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ABSTRACT</w:t>
      </w:r>
    </w:p>
    <w:p>
      <w:pPr>
        <w:pStyle w:val="Normal"/>
        <w:jc w:val="both"/>
        <w:spacing w:line="360" w:lineRule="auto" w:before="60" w:after="140"/>
        <w:rPr>
          <w:rFonts w:ascii="Times New Roman" w:hAnsi="Times New Roman" w:cs="Times New Roman"/>
          <w:sz w:val="24"/>
          <w:szCs w:val="24"/>
        </w:rPr>
      </w:pPr>
      <w:r>
        <w:rPr>
          <w:rFonts w:ascii="Times New Roman" w:hAnsi="Times New Roman" w:cs="Times New Roman"/>
          <w:sz w:val="24"/>
          <w:szCs w:val="24"/>
        </w:rPr>
        <w:t xml:space="preserve">Skin conditions represent one of the most common causes of human morbidity, affecting over 1.9 billion individuals across the globe at any given point in time. From benign cosmetic concerns such as acne and mild dermatitis to aggressive, life-threatening malignancies like melanoma and basal cell carcinoma, early and precise dermatological diagnosis is pivotal to successful clinical outcomes and patient survival. However, worldwide healthcare systems face a critical bottleneck: a severe shortage of certified dermatologists, particularly across rural, underserved, and primary-care community health centers. General practitioners and community healthcare workers frequently misdiagnose fine-grained lesions due to subtle morphological overlaps between visually congruent erythematous, scaling, and pigmented cutaneous disorders.</w:t>
      </w:r>
    </w:p>
    <w:p>
      <w:pPr>
        <w:pStyle w:val="Normal"/>
        <w:jc w:val="both"/>
        <w:spacing w:line="360" w:lineRule="auto" w:before="60" w:after="140"/>
        <w:rPr>
          <w:rFonts w:ascii="Times New Roman" w:hAnsi="Times New Roman" w:cs="Times New Roman"/>
          <w:sz w:val="24"/>
          <w:szCs w:val="24"/>
        </w:rPr>
      </w:pPr>
      <w:r>
        <w:rPr>
          <w:rFonts w:ascii="Times New Roman" w:hAnsi="Times New Roman" w:cs="Times New Roman"/>
          <w:sz w:val="24"/>
          <w:szCs w:val="24"/>
        </w:rPr>
        <w:t xml:space="preserve">To address this critical healthcare challenge, this project develops and implements SkinCare AI, an intelligent, end-to-end computer-aided dermatological diagnostic and telemedicine recommendation system. The core artificial intelligence engine leverages Deep Transfer Learning using the lightweight and highly optimized MobileNetV2 architecture featuring inverted residuals and linear depthwise separable convolutions. The model is systematically trained and benchmarked across 23 distinct dermatological disease categories utilizing the comprehensive DermNet clinical dataset comprising 19,559 high-resolution images (15,557 training images and 4,002 independent test images). To overcome the vulnerability of medical computer vision models to out-of-distribution inputs, a dedicated pre-inference Skin Image Validator module was developed, filtering out non-skin objects (such as vehicles, animals, consumer electronics, and natural landscapes) using zero-shot semantic gating.</w:t>
      </w:r>
    </w:p>
    <w:p>
      <w:pPr>
        <w:pStyle w:val="Normal"/>
        <w:jc w:val="both"/>
        <w:spacing w:line="360" w:lineRule="auto" w:before="60" w:after="140"/>
        <w:rPr>
          <w:rFonts w:ascii="Times New Roman" w:hAnsi="Times New Roman" w:cs="Times New Roman"/>
          <w:sz w:val="24"/>
          <w:szCs w:val="24"/>
        </w:rPr>
      </w:pPr>
      <w:r>
        <w:rPr>
          <w:rFonts w:ascii="Times New Roman" w:hAnsi="Times New Roman" w:cs="Times New Roman"/>
          <w:sz w:val="24"/>
          <w:szCs w:val="24"/>
        </w:rPr>
        <w:t xml:space="preserve">The model training adopts a progressive two-stage optimization strategy: Stage 1 freezes the pre-trained ImageNet backbone to train a specialized multiclass classification head (Global Average Pooling, 35% Dropout, and 23-node Softmax), followed by Stage 2 fine-tuning of the top 30 convolutional layers with dynamic learning rate plateau decay (ReduceLROnPlateau). The resulting neural network achieves robust classification accuracy across the 23 diagnostic categories. The model is seamlessly deployed as a full-stack, responsive web application using the Flask micro-framework, backed by an SQLite database for authenticated user sessions and predictive history tracking. Furthermore, the application integrates an extensive clinical recommendation engine (recommendations.py) delivering evidence-based disease descriptions, root causes, prevention guidelines, daily skincare routines, pharmacological treatment pathways, dietary triggers, and clinical urgency warning flags, thereby bridging the vital gap between automated deep learning screening and actionable healthcare assistance.</w:t>
      </w:r>
    </w:p>
    <w:p>
      <w:pPr>
        <w:sectPr>
          <w:headerReference w:type="default" r:id="rId16"/>
          <w:footerReference w:type="default" r:id="rId17"/>
          <w:pgSz w:w="11910" w:h="16840"/>
          <w:pgMar w:top="1580" w:right="740" w:bottom="1820" w:left="740" w:header="749" w:footer="1627" w:gutter="0"/>
          <w:pgNumType w:start="1"/>
          <w:cols w:space="720"/>
        </w:sectPr>
      </w:pPr>
    </w:p>
    <w:p>
      <w:pPr>
        <w:pStyle w:val="Heading1"/>
        <w:jc w:val="center"/>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TABLE OF CONTENTS</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8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Section / Chapter Title</w:t>
            </w:r>
          </w:p>
        </w:tc>
        <w:tc>
          <w:tcPr>
            <w:tcW w:w="13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Page</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CERTIFICATE</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ii</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ACKNOWLEDGEMENT</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iii</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ABSTRACT</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iv</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CHAPTER 1: INTRODUCTION</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1.1 Clinical Context and Motivation</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1.2 Problem Statement</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1.3 Proposed System and Objectives</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1.4 Scope and Target Users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1.5 Organization of the Report</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CHAPTER 2: SUPPORTING LITERATURE</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2.1 Review of Foundational Literature</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5</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2.2 Literature Summary Table</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7</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2.3 Findings and Proposals</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8</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CHAPTER 3: SYSTEM ANALYSIS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10</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3.1 Analysis of Dataset</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3.2 Comprehensive Catalog of 23 Disease Classes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11</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3.3 Dataset Exploration and Ingestion Pipeline</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13</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3.4 Data Preprocessing and Augmentation</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14</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3.5 Skin Image Validation Module (Zero-Shot Filter)</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15</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3.6 Analysis of Feature and Class Variables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16</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3.7 Data Visualization</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17</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3.8 Neural Network Architecture Analysis (MobileNetV2)</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18</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3.9 Layer Dimension and Parameter Table</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21</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3.10 Project Pipeline Flowchart and Block Diagram</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22</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3.11 Feasibility Analysis</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23</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3.12 System Environment</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24</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CHAPTER 4: SYSTEM DESIGN AND METHODOLOGY</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26</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4.1 Multi-Tier System Architecture</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26</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4.2 Model Building and Transfer Learning Strategy</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27</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4.3 Two-Stage Progressive Training Protocol</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28</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4.4 Class Imbalance Mitigation Strategy</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29</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4.5 Training Logs and Execution Metrics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30</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4.6 Model Evaluation and Benchmark Testing</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32</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4.7 Confusion Matrix Analysis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34</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4.8 Candidate Model Comparison</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35</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CHAPTER 5: CLINICAL HEALTHCARE RECOMMENDATION SYSTEM</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36</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5.1 Architecture of the Recommendation Engine</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36</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5.2 Comprehensive Disease-Specific Clinical Guidance</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37</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5.3 Clinical Safety Disclaimer</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41</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CHAPTER 6: MODEL DEPLOYMENT AND USER INTERFACE</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42</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6.1 Flask Web Application Framework</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42</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6.2 Relational Database Schema</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43</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6.3 Application Routes and Workflow</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44</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6.4 Responsive User Interface Design</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45</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6.5 Security and Input Sanitization</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46</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CHAPTER 7: GIT VERSION CONTROL AND PROJECT WORKFLOW</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47</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CHAPTER 8: CONCLUSION AND FUTURE WORK</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48</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8.1 Summary of Contributions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48</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  8.2 Real-World Clinical Impact</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49</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  8.3 Future Enhancements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49</w:t>
            </w:r>
          </w:p>
        </w:tc>
      </w:tr>
      <w:tr>
        <w:tc>
          <w:tcPr>
            <w:tcW w:w="8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APPENDIX: SYSTEM ENVIRONMENT AND SETUP INSTRUCTIONS</w:t>
            </w:r>
          </w:p>
        </w:tc>
        <w:tc>
          <w:tcPr>
            <w:tcW w:w="13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51</w:t>
            </w:r>
          </w:p>
        </w:tc>
      </w:tr>
      <w:tr>
        <w:tc>
          <w:tcPr>
            <w:tcW w:w="8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REFERENCES</w:t>
            </w:r>
          </w:p>
        </w:tc>
        <w:tc>
          <w:tcPr>
            <w:tcW w:w="13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53</w:t>
            </w:r>
          </w:p>
        </w:tc>
      </w:tr>
    </w:tbl>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1: INTRODUCTION</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1.1 Clinical Context and Motivation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Human skin is the largest organ of the integumentary system, serving as the primary barrier against environmental pathogens, chemical agents, ultraviolet radiation, and mechanical trauma. Despite its vital immunological and physiological functions, dermatological diseases constitute one of the most rampant global health crises. According to epidemiological reports by the World Health Organization (WHO) and the Global Burden of Disease (GBD) study, skin and subcutaneous conditions rank as the fourth leading cause of non-fatal disease burden globally, affecting over 1.9 billion people at any given point in time. The impact ranges from pervasive inflammatory disorders (such as acne vulgaris, atopic eczema, and plaque psoriasis) that impose substantial psychological, social, and economic distress, to virulent neoplastic malignancies (such as cutaneous melanoma and squamous cell carcinoma) that carry significant mortality if not identified in early stage development.</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A major systemic impediment in combating dermatological morbidity is the severe global disparity in healthcare resources. There is a staggering deficit of board-certified dermatologists worldwide, with the shortage being acute in developing nations, rural townships, and isolated primary healthcare outposts. In many rural communities across India and sub-Saharan Africa, the ratio of dermatologists to the general populace often plummets below 1 per 100,000 citizens. Consequently, the onus of preliminary screening falls upon general medical practitioners, community nurses, and auxiliary health workers who typically lack specialized training in morphological dermatology. Visual assessment of cutaneous eruptions is notoriously challenging due to immense phenotypic variance, leading to delayed interventions, inappropriate antibiotic or corticosteroid prescriptions, and preventable disease progression.</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1.2 Problem Statement</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Accurate dermatological diagnosis presents severe computer vision and clinical challenges: (1) High intra-class variance: Lesions belonging to the same pathological class can present with dramatically divergent pigmentation, textures, ulcerations, anatomical locations, and scales depending on patient age, Fitzpatrick skin phototype, and immunological status. (2) High inter-class visual similarity: Entirely distinct pathophysiological conditions exhibit nearly identical morphological manifestations—for instance, differentiating early-stage atopic dermatitis from nummular eczema or contact dermatitis, or distinguishing a benign seborrheic keratosis from a malignant melanoma. (3) Severe class imbalance: Publicly available medical datasets are naturally skewed toward frequent cosmetic complaints (such as acne or nail fungal infections) while life-critical conditions (such as systemic lupus erythematosus or vasculitis) have substantially fewer documented cases. (4) Vulnerability to out-of-distribution inputs: In practical telemedicine deployments, users frequently upload non-dermatological imagery (vehicles, pets, household objects, or landscapes). Standard convolutional neural networks forced into a softmax distribution produce erroneously high-confidence diagnoses on such arbitrary inputs, posing grave clinical and ethical risks.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1.3 Proposed System and Objectives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This project proposes SkinCare AI, an intelligent, multi-tiered dermatological diagnostic and advisory ecosystem that combines deep transfer learning, zero-shot input validation, and evidence-based clinical guidance. The primary objectives are:</w:t>
      </w:r>
    </w:p>
    <w:p>
      <w:pPr>
        <w:jc w:val="both"/>
        <w:spacing w:line="360" w:lineRule="auto" w:before="0" w:after="120"/>
      </w:pPr>
      <w:r>
        <w:rPr>
          <w:rFonts w:ascii="Times New Roman" w:hAnsi="Times New Roman" w:cs="Times New Roman"/>
          <w:sz w:val="24"/>
          <w:szCs w:val="24"/>
          <w:b/>
        </w:rPr>
        <w:t xml:space="preserve">1. Multi-Class Dermatological Deep Learning: </w:t>
      </w:r>
      <w:r>
        <w:rPr>
          <w:rFonts w:ascii="Times New Roman" w:hAnsi="Times New Roman" w:cs="Times New Roman"/>
          <w:sz w:val="24"/>
          <w:szCs w:val="24"/>
        </w:rPr>
        <w:t xml:space="preserve">Design and optimize a deep convolutional neural network based on MobileNetV2 architecture, capable of classifying clinical dermatological photographs into 23 distinct diagnostic categories covering bacterial, fungal, viral, inflammatory, and malignant conditions.</w:t>
      </w:r>
    </w:p>
    <w:p>
      <w:pPr>
        <w:jc w:val="both"/>
        <w:spacing w:line="360" w:lineRule="auto" w:before="0" w:after="120"/>
      </w:pPr>
      <w:r>
        <w:rPr>
          <w:rFonts w:ascii="Times New Roman" w:hAnsi="Times New Roman" w:cs="Times New Roman"/>
          <w:sz w:val="24"/>
          <w:szCs w:val="24"/>
          <w:b/>
        </w:rPr>
        <w:t xml:space="preserve">2. Robust Zero-Shot Skin Validation Filter: </w:t>
      </w:r>
      <w:r>
        <w:rPr>
          <w:rFonts w:ascii="Times New Roman" w:hAnsi="Times New Roman" w:cs="Times New Roman"/>
          <w:sz w:val="24"/>
          <w:szCs w:val="24"/>
        </w:rPr>
        <w:t xml:space="preserve">Implement an automated pre-inference gate (skin_validator.py) using an ImageNet-pretrained vision model with semantic exclusion dictionaries to detect and reject non-skin images before executing disease inference.</w:t>
      </w:r>
    </w:p>
    <w:p>
      <w:pPr>
        <w:jc w:val="both"/>
        <w:spacing w:line="360" w:lineRule="auto" w:before="0" w:after="120"/>
      </w:pPr>
      <w:r>
        <w:rPr>
          <w:rFonts w:ascii="Times New Roman" w:hAnsi="Times New Roman" w:cs="Times New Roman"/>
          <w:sz w:val="24"/>
          <w:szCs w:val="24"/>
          <w:b/>
        </w:rPr>
        <w:t xml:space="preserve">3. Progressive Two-Stage Optimization: </w:t>
      </w:r>
      <w:r>
        <w:rPr>
          <w:rFonts w:ascii="Times New Roman" w:hAnsi="Times New Roman" w:cs="Times New Roman"/>
          <w:sz w:val="24"/>
          <w:szCs w:val="24"/>
        </w:rPr>
        <w:t xml:space="preserve">Execute a systematic training methodology combining frozen-backbone classifier training with deep convolutional fine-tuning and dynamic learning rate decay to maximize feature generalization.</w:t>
      </w:r>
    </w:p>
    <w:p>
      <w:pPr>
        <w:jc w:val="both"/>
        <w:spacing w:line="360" w:lineRule="auto" w:before="0" w:after="120"/>
      </w:pPr>
      <w:r>
        <w:rPr>
          <w:rFonts w:ascii="Times New Roman" w:hAnsi="Times New Roman" w:cs="Times New Roman"/>
          <w:sz w:val="24"/>
          <w:szCs w:val="24"/>
          <w:b/>
        </w:rPr>
        <w:t xml:space="preserve">4. Evidence-Based Healthcare Recommendation Engine: </w:t>
      </w:r>
      <w:r>
        <w:rPr>
          <w:rFonts w:ascii="Times New Roman" w:hAnsi="Times New Roman" w:cs="Times New Roman"/>
          <w:sz w:val="24"/>
          <w:szCs w:val="24"/>
        </w:rPr>
        <w:t xml:space="preserve">Develop a clinical advisory knowledge base (recommendations.py) providing detailed, vetted guidance on etiology, prevention, daily skincare, medical treatments, dietary triggers, and clinical urgency flags for each condition.</w:t>
      </w:r>
    </w:p>
    <w:p>
      <w:pPr>
        <w:jc w:val="both"/>
        <w:spacing w:line="360" w:lineRule="auto" w:before="0" w:after="120"/>
      </w:pPr>
      <w:r>
        <w:rPr>
          <w:rFonts w:ascii="Times New Roman" w:hAnsi="Times New Roman" w:cs="Times New Roman"/>
          <w:sz w:val="24"/>
          <w:szCs w:val="24"/>
          <w:b/>
        </w:rPr>
        <w:t xml:space="preserve">5. Secure and Accessible Telemedicine Web Portal: </w:t>
      </w:r>
      <w:r>
        <w:rPr>
          <w:rFonts w:ascii="Times New Roman" w:hAnsi="Times New Roman" w:cs="Times New Roman"/>
          <w:sz w:val="24"/>
          <w:szCs w:val="24"/>
        </w:rPr>
        <w:t xml:space="preserve">Deploy the complete pipeline as a full-stack Flask web application integrated with an SQLite database for secure user authentication, diagnostic history tracking, and interactive visualization.</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1.4 Scope and Target Users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scope of SkinCare AI encompasses clinical preliminary triage, medical education, and tele-dermatology assistance. Target beneficiaries include: (1) Primary care medical officers and rural community health workers seeking decision-support validation; (2) Patients in medically underserved or remote geographies requiring immediate preliminary assessment and guidance on urgency levels; (3) Medical and nursing students seeking interactive educational resources covering dermatological morphologies and standard care protocols.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1.5 Organization of the Report</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This project report is structured into eight detailed chapters: Chapter 1 introduces the clinical context, problem definition, and project objectives. Chapter 2 reviews supporting literature, prior deep learning architectures, and comparative benchmarks. Chapter 3 provides exhaustive system analysis, dataset cataloging, preprocessing pipelines, and architectural theory. Chapter 4 elaborates on the system design, progressive training protocol, evaluation metrics, and confusion matrix analysis. Chapter 5 details the clinical recommendation system. Chapter 6 covers full-stack web deployment and database design. Chapter 7 outlines git version control history, and Chapter 8 presents the conclusion and future research horizons.</w:t>
      </w:r>
    </w:p>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2: SUPPORTING LITERATURE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2.1 Review of Foundational Literature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application of deep learning in automated computer vision has revolutionized medical image analysis over the past decade. Historically, automated dermatological diagnosis relied heavily on handcrafted feature engineering, incorporating morphological descriptors such as the ABCD rule (Asymmetry, Border irregularity, Color variegation, and Diameter), texture co-occurrence matrices, and edge detection algorithms. However, these classical machine learning algorithms exhibited poor generalization when confronted with variations in lighting, skin tone, occlusions, and patient positioning. The emergence of deep Convolutional Neural Networks (CNNs) shifted the paradigm from manual feature engineering to end-to-end hierarchical representation learning.</w:t>
      </w:r>
    </w:p>
    <w:p>
      <w:pPr>
        <w:jc w:val="both"/>
        <w:spacing w:line="360" w:lineRule="auto" w:before="0" w:after="120"/>
      </w:pPr>
      <w:r>
        <w:rPr>
          <w:rFonts w:ascii="Times New Roman" w:hAnsi="Times New Roman" w:cs="Times New Roman"/>
          <w:sz w:val="24"/>
          <w:szCs w:val="24"/>
          <w:b/>
        </w:rPr>
        <w:t xml:space="preserve">Esteva et al. (Nature, 2017) [1]: </w:t>
      </w:r>
      <w:r>
        <w:rPr>
          <w:rFonts w:ascii="Times New Roman" w:hAnsi="Times New Roman" w:cs="Times New Roman"/>
          <w:sz w:val="24"/>
          <w:szCs w:val="24"/>
        </w:rPr>
        <w:t xml:space="preserve">Conducted a landmark clinical evaluation training an Inception-v3 CNN on a massive private dataset of 129,450 dermatological images representing 2,032 different diseases. The model was benchmarked against 21 board-certified dermatologists across two primary diagnostic tasks: epidermal keratinocyte carcinoma versus benign seborrheic keratosis, and malignant melanoma versus benign melanocytic nevi. The authors demonstrated that deep convolutional neural networks achieve diagnostic sensitivity and specificity on par with expert clinical dermatologists. However, the study relied on proprietary datasets, computationally intense server architectures, and lacked safeguards against non-skin image submissions.</w:t>
      </w:r>
    </w:p>
    <w:p>
      <w:pPr>
        <w:jc w:val="both"/>
        <w:spacing w:line="360" w:lineRule="auto" w:before="0" w:after="120"/>
      </w:pPr>
      <w:r>
        <w:rPr>
          <w:rFonts w:ascii="Times New Roman" w:hAnsi="Times New Roman" w:cs="Times New Roman"/>
          <w:sz w:val="24"/>
          <w:szCs w:val="24"/>
          <w:b/>
        </w:rPr>
        <w:t xml:space="preserve">Sandler et al. (IEEE CVPR, 2018) [2]: </w:t>
      </w:r>
      <w:r>
        <w:rPr>
          <w:rFonts w:ascii="Times New Roman" w:hAnsi="Times New Roman" w:cs="Times New Roman"/>
          <w:sz w:val="24"/>
          <w:szCs w:val="24"/>
        </w:rPr>
        <w:t xml:space="preserve">Introduced the MobileNetV2 architecture tailored for high-performance visual processing on resource-constrained devices. The foundational innovation is the Inverted Residual Block with Linear Bottlenecks. Traditional residual architectures (such as ResNet) compress channel dimensions before convolving and subsequently expanding. MobileNetV2 reverses this paradigm: it expands low-dimensional features to a higher-dimensional manifold using 1x1 convolutions, applies 3x3 depthwise separable convolutions to perform spatial filtering independently across each channel, and projects back to a low-dimensional representation using a linear bottleneck without non-linear activation. This mathematical formulation drastically reduces the computational footprint while preserving non-linear expressive power.</w:t>
      </w:r>
    </w:p>
    <w:p>
      <w:pPr>
        <w:jc w:val="both"/>
        <w:spacing w:line="360" w:lineRule="auto" w:before="0" w:after="120"/>
      </w:pPr>
      <w:r>
        <w:rPr>
          <w:rFonts w:ascii="Times New Roman" w:hAnsi="Times New Roman" w:cs="Times New Roman"/>
          <w:sz w:val="24"/>
          <w:szCs w:val="24"/>
          <w:b/>
        </w:rPr>
        <w:t xml:space="preserve">He et al. (IEEE CVPR, 2016) [3]: </w:t>
      </w:r>
      <w:r>
        <w:rPr>
          <w:rFonts w:ascii="Times New Roman" w:hAnsi="Times New Roman" w:cs="Times New Roman"/>
          <w:sz w:val="24"/>
          <w:szCs w:val="24"/>
        </w:rPr>
        <w:t xml:space="preserve">Proposed Deep Residual Networks (ResNet), introducing identity shortcut connections that bypass one or more layers. The formulation addresses the degradation problem in ultra-deep networks, where stacking additional layers leads to saturation and vanishing gradient backpropagation. ResNet-50 incorporates 48 convolutional layers, 1 MaxPool, and 1 Average Pool layer, totaling over 25.6 million parameters and 3.8 billion FLOPs. While offering robust feature extraction, ResNet architectures demand significant memory and GPU compute, rendering them less practical for lightweight, edge-oriented teledermatology applications.</w:t>
      </w:r>
    </w:p>
    <w:p>
      <w:pPr>
        <w:jc w:val="both"/>
        <w:spacing w:line="360" w:lineRule="auto" w:before="0" w:after="120"/>
      </w:pPr>
      <w:r>
        <w:rPr>
          <w:rFonts w:ascii="Times New Roman" w:hAnsi="Times New Roman" w:cs="Times New Roman"/>
          <w:sz w:val="24"/>
          <w:szCs w:val="24"/>
          <w:b/>
        </w:rPr>
        <w:t xml:space="preserve">Tschandl et al. (Scientific Data, 2018) [4]: </w:t>
      </w:r>
      <w:r>
        <w:rPr>
          <w:rFonts w:ascii="Times New Roman" w:hAnsi="Times New Roman" w:cs="Times New Roman"/>
          <w:sz w:val="24"/>
          <w:szCs w:val="24"/>
        </w:rPr>
        <w:t xml:space="preserve">Released the HAM10000 ('Human Against Machine with 10,000 training images') benchmark, a meticulously curated collection of 10,015 dermatoscopic images covering seven diagnostic categories of pigmented skin lesions. The authors established standard validation protocols and emphasized the criticality of rigorous data augmentation (random rotations, affine scaling, horizontal and vertical flips) to counter acute class imbalance. Nonetheless, the HAM10000 dataset is restricted solely to pigmented lesions and excludes common non-pigmented, inflammatory, bacterial, and fungal infections commonly seen in outpatient clinics.</w:t>
      </w:r>
    </w:p>
    <w:p>
      <w:pPr>
        <w:jc w:val="both"/>
        <w:spacing w:line="360" w:lineRule="auto" w:before="0" w:after="120"/>
      </w:pPr>
      <w:r>
        <w:rPr>
          <w:rFonts w:ascii="Times New Roman" w:hAnsi="Times New Roman" w:cs="Times New Roman"/>
          <w:sz w:val="24"/>
          <w:szCs w:val="24"/>
          <w:b/>
        </w:rPr>
        <w:t xml:space="preserve">Ahmed, Khaled R. (Sensors, 2021) [5]: </w:t>
      </w:r>
      <w:r>
        <w:rPr>
          <w:rFonts w:ascii="Times New Roman" w:hAnsi="Times New Roman" w:cs="Times New Roman"/>
          <w:sz w:val="24"/>
          <w:szCs w:val="24"/>
        </w:rPr>
        <w:t xml:space="preserve">Investigated transfer learning efficacy across diverse computer vision domains, demonstrating that models pre-trained on the ImageNet corpus provide highly transferable low-level spatial primitives (edges, gradients, textures, corners). Initializing shallow layers with pre-trained weights converges significantly faster and achieves superior out-of-sample generalization compared to training networks from scratch with randomized initialization.</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2.2 Literature Summary Table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Table 2.1: Comparative summary of foundational literature in automated medical vision and deep transfer learning.</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16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Authors &amp; Year</w:t>
            </w:r>
          </w:p>
        </w:tc>
        <w:tc>
          <w:tcPr>
            <w:tcW w:w="1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Architecture</w:t>
            </w:r>
          </w:p>
        </w:tc>
        <w:tc>
          <w:tcPr>
            <w:tcW w:w="18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Dataset &amp; Scope</w:t>
            </w:r>
          </w:p>
        </w:tc>
        <w:tc>
          <w:tcPr>
            <w:tcW w:w="15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Performance</w:t>
            </w:r>
          </w:p>
        </w:tc>
        <w:tc>
          <w:tcPr>
            <w:tcW w:w="17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Key Strengths</w:t>
            </w:r>
          </w:p>
        </w:tc>
        <w:tc>
          <w:tcPr>
            <w:tcW w:w="15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Primary Limitations</w:t>
            </w:r>
          </w:p>
        </w:tc>
      </w:tr>
      <w:tr>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Esteva et al. (2017)</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Inception-v3</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129,450 images
(2,032 classes)</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AUC: 0.96 (Carcinoma)
AUC: 0.94 (Melanoma)</w:t>
            </w:r>
          </w:p>
        </w:tc>
        <w:tc>
          <w:tcPr>
            <w:tcW w:w="1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Dermatologist-level parity
Large diagnostic scale</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Heavy computational load
Proprietary dataset</w:t>
            </w:r>
          </w:p>
        </w:tc>
      </w:tr>
      <w:tr>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Sandler et al. (2018)</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MobileNetV2</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ImageNet-1K
(1.4M images)</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Top-1 Acc: 72.0%
Params: 3.4M</w:t>
            </w:r>
          </w:p>
        </w:tc>
        <w:tc>
          <w:tcPr>
            <w:tcW w:w="1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Inverted residuals
Low compute &amp; memory</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Requires fine-tuning for
fine-grained medical tasks</w:t>
            </w:r>
          </w:p>
        </w:tc>
      </w:tr>
      <w:tr>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He et al. (2016)</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ResNet-50</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ImageNet-1K
(1000 classes)</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Top-5 Error: 5.25%
Params: 25.6M</w:t>
            </w:r>
          </w:p>
        </w:tc>
        <w:tc>
          <w:tcPr>
            <w:tcW w:w="1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Skip residual links
Prevents vanishing gradients</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High parameter count
Slow inference on mobile/web</w:t>
            </w:r>
          </w:p>
        </w:tc>
      </w:tr>
      <w:tr>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Tschandl et al. (2018)</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Ensemble CNNs</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HAM10000
(10,015 images)</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Balanced Multi-class
Accuracy: 75-80%</w:t>
            </w:r>
          </w:p>
        </w:tc>
        <w:tc>
          <w:tcPr>
            <w:tcW w:w="1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Histopathologically verified
Pigmented lesion focus</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Restricted to 7 pigmented classes
Excludes rashes &amp; infections</w:t>
            </w:r>
          </w:p>
        </w:tc>
      </w:tr>
      <w:tr>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Ahmed (2021)</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ResNet50 / YOLO</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Visual detection
benchmark</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Precision: 91.9%
Recall: 89.0%</w:t>
            </w:r>
          </w:p>
        </w:tc>
        <w:tc>
          <w:tcPr>
            <w:tcW w:w="1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Transfer learning benefits
Dilated convolution study</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Did not address medical domain
No non-skin input gating</w:t>
            </w:r>
          </w:p>
        </w:tc>
      </w:tr>
    </w:tbl>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2.3 Findings and Proposals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Synthesis of the literature reveals three paramount insights: (1) Transfer learning using ImageNet feature extractors drastically outclasses training from scratch in data-constrained medical regimes. (2) Massive architectures like ResNet-50 and Inception-v3 offer strong representational power but introduce prohibitive computational latency and memory overhead for real-time web and mobile telehealth systems. MobileNetV2 delivers comparable representational capacity at a fraction of the parameter count (~3.5 million vs ~25.6 million). (3) Existing research predominantly focuses on closed-set dermatoscopic classification (e.g., HAM10000 7-class) and fails to address the practical reality of outpatient teleconsultation, which encompasses diverse clinical presentations (acne, fungal infections, warts, alopecia) as well as accidental or malicious uploads of completely non-skin objects.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To overcome these limitations, this project proposes a novel three-pillar framework: First, adoption of the DermNet dataset spanning 23 comprehensive disease categories to reflect the full breadth of outpatient clinical dermatology. Second, deployment of the MobileNetV2 architecture with a progressive two-stage training regimen (Stage 1 frozen feature extraction, Stage 2 deep fine-tuning of upper convolutional blocks with dynamic learning rate adaptation). Third, implementation of an intelligent zero-shot Skin Image Validator module that screens incoming uploads against an ImageNet semantic exclusion dictionary before routing valid dermatological images to the disease classification network.</w:t>
      </w:r>
    </w:p>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3: SYSTEM ANALYSIS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3.1 Analysis of Dataset</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model training and validation pipeline utilizes the comprehensive DermNet skin disease benchmark dataset, one of the largest publicly accessible clinical photographic repositories in digital dermatology. Unlike dermatoscopic datasets (such as HAM10000 or ISIC) that capture epiluminescence microscopy images under controlled polarized lighting, DermNet contains authentic clinical photographs captured via standard digital cameras, clinical smartphones, and outpatient examinations. Consequently, the images embody realistic clinical variability—including diverse lighting conditions, varying camera angles, patient skin tones across the Fitzpatrick scale, natural skin hair, and anatomic body sites.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dataset encompasses 23 clinically recognized dermatological disease categories comprising a total of 19,559 high-resolution images. The collection is partitioned into a training set of 15,557 images and an independent test evaluation benchmark of 4,002 images. The dataset exhibits natural multi-class imbalance reflecting actual epidemiological prevalence in outpatient clinical dermatology.</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3.2 Comprehensive Catalog of 23 Disease Classes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Table 3.1: Detailed breakdown of the DermNet dataset across all 23 disease categories.</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7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Index</w:t>
            </w:r>
          </w:p>
        </w:tc>
        <w:tc>
          <w:tcPr>
            <w:tcW w:w="38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Disease Category</w:t>
            </w:r>
          </w:p>
        </w:tc>
        <w:tc>
          <w:tcPr>
            <w:tcW w:w="11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Train Count</w:t>
            </w:r>
          </w:p>
        </w:tc>
        <w:tc>
          <w:tcPr>
            <w:tcW w:w="11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Test Count</w:t>
            </w:r>
          </w:p>
        </w:tc>
        <w:tc>
          <w:tcPr>
            <w:tcW w:w="1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Total Images</w:t>
            </w:r>
          </w:p>
        </w:tc>
        <w:tc>
          <w:tcPr>
            <w:tcW w:w="16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Epidemiological Prevalence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Acne and Rosacea</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840</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312</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1152</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Actinic Keratosis Basal Cell Carcinoma and other Malignant Lesions</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1149</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288</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1437</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High</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Atopic Dermatitis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489</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123</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612</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Bullous Disease</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448</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113</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561</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Cellulitis Impetigo and other Bacterial Infections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288</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73</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361</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Low (Rare)</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Eczema</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1235</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309</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1544</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High</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6</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Exanthems and Drug Eruptions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404</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101</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505</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7</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Hair Loss Alopecia and other Hair Diseases</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239</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60</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299</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Low (Rare)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8</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Herpes HPV and other STDs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405</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102</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507</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9</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Light Diseases and Disorders of Pigmentation</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568</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143</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711</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Lupus and other Connective Tissue diseases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420</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105</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525</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11</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Melanoma Skin Cancer Nevi and Moles</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463</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116</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579</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12</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Nail Fungus and other Nail Disease</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1040</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261</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1301</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High</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13</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Poison Ivy and other Contact Dermatitis</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260</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65</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325</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Low (Rare)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14</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Psoriasis Lichen Planus and related diseases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1405</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352</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1757</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High</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15</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Scabies Lyme Disease and other Infestations and Bites</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431</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108</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539</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16</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Seborrheic Keratoses and other Benign Tumors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1371</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343</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1714</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High</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17</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Systemic Disease</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606</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152</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758</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18</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Tinea Ringworm Candidiasis and other Fungal Infections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1300</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325</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1625</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High</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19</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Urticaria Hives</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212</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53</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265</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Low (Rare)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20</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Vascular Tumors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482</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121</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603</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21</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Vasculitis</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416</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105</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521</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Moderate</w:t>
            </w:r>
          </w:p>
        </w:tc>
      </w:tr>
      <w:tr>
        <w:tc>
          <w:tcPr>
            <w:tcW w:w="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22</w:t>
            </w:r>
          </w:p>
        </w:tc>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Warts Molluscum and other Viral Infections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1086</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272</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1358</w:t>
            </w:r>
          </w:p>
        </w:tc>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High</w:t>
            </w:r>
          </w:p>
        </w:tc>
      </w:tr>
      <w:tr>
        <w:tc>
          <w:tcPr>
            <w:tcW w:w="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w:t>
            </w:r>
          </w:p>
        </w:tc>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TOTAL DATASET BENCHMARK</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15557</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4002</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19559</w:t>
            </w:r>
          </w:p>
        </w:tc>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100.0%</w:t>
            </w:r>
          </w:p>
        </w:tc>
      </w:tr>
    </w:tbl>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3.3 Dataset Exploration and Ingestion Pipeline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Data ingestion is engineered using the high-performance tf.data pipeline to maximize hardware throughput and eliminate memory bottlenecks. The images are ingested directly from directory structures using tf.keras.utils.image_dataset_from_directory with deterministic seed generation, inferred integer class indices, and asynchronous prefetching (tf.data.AUTOTUNE).</w:t>
      </w:r>
    </w:p>
    <w:p>
      <w:pPr>
        <w:spacing w:line="240" w:before="0" w:after="20"/>
        <w:shd w:val="clear" w:color="auto" w:fill="F8F9FA"/>
        <w:ind w:left="360" w:right="360"/>
      </w:pPr>
      <w:r>
        <w:rPr>
          <w:rFonts w:ascii="Consolas" w:hAnsi="Consolas"/>
          <w:sz w:val="18"/>
          <w:szCs w:val="18"/>
          <w:color w:val="24292E"/>
        </w:rPr>
        <w:t xml:space="preserve"># Asynchronous Dataset Loading Pipeline with tf.data</w:t>
      </w:r>
    </w:p>
    <w:p>
      <w:pPr>
        <w:spacing w:line="240" w:before="0" w:after="20"/>
        <w:shd w:val="clear" w:color="auto" w:fill="F8F9FA"/>
        <w:ind w:left="360" w:right="360"/>
      </w:pPr>
      <w:r>
        <w:rPr>
          <w:rFonts w:ascii="Consolas" w:hAnsi="Consolas"/>
          <w:sz w:val="18"/>
          <w:szCs w:val="18"/>
          <w:color w:val="24292E"/>
        </w:rPr>
        <w:t xml:space="preserve">train_ds = tf.keras.utils.image_dataset_from_directory(</w:t>
      </w:r>
    </w:p>
    <w:p>
      <w:pPr>
        <w:spacing w:line="240" w:before="0" w:after="20"/>
        <w:shd w:val="clear" w:color="auto" w:fill="F8F9FA"/>
        <w:ind w:left="360" w:right="360"/>
      </w:pPr>
      <w:r>
        <w:rPr>
          <w:rFonts w:ascii="Consolas" w:hAnsi="Consolas"/>
          <w:sz w:val="18"/>
          <w:szCs w:val="18"/>
          <w:color w:val="24292E"/>
        </w:rPr>
        <w:t xml:space="preserve">    TRAIN_DIR,</w:t>
      </w:r>
    </w:p>
    <w:p>
      <w:pPr>
        <w:spacing w:line="240" w:before="0" w:after="20"/>
        <w:shd w:val="clear" w:color="auto" w:fill="F8F9FA"/>
        <w:ind w:left="360" w:right="360"/>
      </w:pPr>
      <w:r>
        <w:rPr>
          <w:rFonts w:ascii="Consolas" w:hAnsi="Consolas"/>
          <w:sz w:val="18"/>
          <w:szCs w:val="18"/>
          <w:color w:val="24292E"/>
        </w:rPr>
        <w:t xml:space="preserve">    labels='inferred',</w:t>
      </w:r>
    </w:p>
    <w:p>
      <w:pPr>
        <w:spacing w:line="240" w:before="0" w:after="20"/>
        <w:shd w:val="clear" w:color="auto" w:fill="F8F9FA"/>
        <w:ind w:left="360" w:right="360"/>
      </w:pPr>
      <w:r>
        <w:rPr>
          <w:rFonts w:ascii="Consolas" w:hAnsi="Consolas"/>
          <w:sz w:val="18"/>
          <w:szCs w:val="18"/>
          <w:color w:val="24292E"/>
        </w:rPr>
        <w:t xml:space="preserve">    label_mode='int',</w:t>
      </w:r>
    </w:p>
    <w:p>
      <w:pPr>
        <w:spacing w:line="240" w:before="0" w:after="20"/>
        <w:shd w:val="clear" w:color="auto" w:fill="F8F9FA"/>
        <w:ind w:left="360" w:right="360"/>
      </w:pPr>
      <w:r>
        <w:rPr>
          <w:rFonts w:ascii="Consolas" w:hAnsi="Consolas"/>
          <w:sz w:val="18"/>
          <w:szCs w:val="18"/>
          <w:color w:val="24292E"/>
        </w:rPr>
        <w:t xml:space="preserve">    class_names=class_names,</w:t>
      </w:r>
    </w:p>
    <w:p>
      <w:pPr>
        <w:spacing w:line="240" w:before="0" w:after="20"/>
        <w:shd w:val="clear" w:color="auto" w:fill="F8F9FA"/>
        <w:ind w:left="360" w:right="360"/>
      </w:pPr>
      <w:r>
        <w:rPr>
          <w:rFonts w:ascii="Consolas" w:hAnsi="Consolas"/>
          <w:sz w:val="18"/>
          <w:szCs w:val="18"/>
          <w:color w:val="24292E"/>
        </w:rPr>
        <w:t xml:space="preserve">    image_size=(224, 224),</w:t>
      </w:r>
    </w:p>
    <w:p>
      <w:pPr>
        <w:spacing w:line="240" w:before="0" w:after="20"/>
        <w:shd w:val="clear" w:color="auto" w:fill="F8F9FA"/>
        <w:ind w:left="360" w:right="360"/>
      </w:pPr>
      <w:r>
        <w:rPr>
          <w:rFonts w:ascii="Consolas" w:hAnsi="Consolas"/>
          <w:sz w:val="18"/>
          <w:szCs w:val="18"/>
          <w:color w:val="24292E"/>
        </w:rPr>
        <w:t xml:space="preserve">    batch_size=32,</w:t>
      </w:r>
    </w:p>
    <w:p>
      <w:pPr>
        <w:spacing w:line="240" w:before="0" w:after="20"/>
        <w:shd w:val="clear" w:color="auto" w:fill="F8F9FA"/>
        <w:ind w:left="360" w:right="360"/>
      </w:pPr>
      <w:r>
        <w:rPr>
          <w:rFonts w:ascii="Consolas" w:hAnsi="Consolas"/>
          <w:sz w:val="18"/>
          <w:szCs w:val="18"/>
          <w:color w:val="24292E"/>
        </w:rPr>
        <w:t xml:space="preserve">    validation_split=0.20,</w:t>
      </w:r>
    </w:p>
    <w:p>
      <w:pPr>
        <w:spacing w:line="240" w:before="0" w:after="20"/>
        <w:shd w:val="clear" w:color="auto" w:fill="F8F9FA"/>
        <w:ind w:left="360" w:right="360"/>
      </w:pPr>
      <w:r>
        <w:rPr>
          <w:rFonts w:ascii="Consolas" w:hAnsi="Consolas"/>
          <w:sz w:val="18"/>
          <w:szCs w:val="18"/>
          <w:color w:val="24292E"/>
        </w:rPr>
        <w:t xml:space="preserve">    subset='training',</w:t>
      </w:r>
    </w:p>
    <w:p>
      <w:pPr>
        <w:spacing w:line="240" w:before="0" w:after="20"/>
        <w:shd w:val="clear" w:color="auto" w:fill="F8F9FA"/>
        <w:ind w:left="360" w:right="360"/>
      </w:pPr>
      <w:r>
        <w:rPr>
          <w:rFonts w:ascii="Consolas" w:hAnsi="Consolas"/>
          <w:sz w:val="18"/>
          <w:szCs w:val="18"/>
          <w:color w:val="24292E"/>
        </w:rPr>
        <w:t xml:space="preserve">    seed=123,</w:t>
      </w:r>
    </w:p>
    <w:p>
      <w:pPr>
        <w:spacing w:line="240" w:before="0" w:after="20"/>
        <w:shd w:val="clear" w:color="auto" w:fill="F8F9FA"/>
        <w:ind w:left="360" w:right="360"/>
      </w:pPr>
      <w:r>
        <w:rPr>
          <w:rFonts w:ascii="Consolas" w:hAnsi="Consolas"/>
          <w:sz w:val="18"/>
          <w:szCs w:val="18"/>
          <w:color w:val="24292E"/>
        </w:rPr>
        <w:t xml:space="preserve">    shuffle=True</w:t>
      </w:r>
    </w:p>
    <w:p>
      <w:pPr>
        <w:spacing w:line="240" w:before="0" w:after="20"/>
        <w:shd w:val="clear" w:color="auto" w:fill="F8F9FA"/>
        <w:ind w:left="360" w:right="360"/>
      </w:pPr>
      <w:r>
        <w:rPr>
          <w:rFonts w:ascii="Consolas" w:hAnsi="Consolas"/>
          <w:sz w:val="18"/>
          <w:szCs w:val="18"/>
          <w:color w:val="24292E"/>
        </w:rPr>
        <w:t xml:space="preserve">).prefetch(tf.data.AUTOTUNE)</w:t>
      </w:r>
    </w:p>
    <w:p>
      <w:pPr>
        <w:spacing w:line="240" w:before="0" w:after="20"/>
        <w:shd w:val="clear" w:color="auto" w:fill="F8F9FA"/>
        <w:ind w:left="360" w:right="360"/>
      </w:pPr>
      <w:r>
        <w:rPr>
          <w:rFonts w:ascii="Consolas" w:hAnsi="Consolas"/>
          <w:sz w:val="18"/>
          <w:szCs w:val="18"/>
          <w:color w:val="24292E"/>
        </w:rPr>
        <w:t xml:space="preserve"/>
      </w:r>
    </w:p>
    <w:p>
      <w:pPr>
        <w:spacing w:line="240" w:before="0" w:after="20"/>
        <w:shd w:val="clear" w:color="auto" w:fill="F8F9FA"/>
        <w:ind w:left="360" w:right="360"/>
      </w:pPr>
      <w:r>
        <w:rPr>
          <w:rFonts w:ascii="Consolas" w:hAnsi="Consolas"/>
          <w:sz w:val="18"/>
          <w:szCs w:val="18"/>
          <w:color w:val="24292E"/>
        </w:rPr>
        <w:t xml:space="preserve">val_ds = tf.keras.utils.image_dataset_from_directory(</w:t>
      </w:r>
    </w:p>
    <w:p>
      <w:pPr>
        <w:spacing w:line="240" w:before="0" w:after="20"/>
        <w:shd w:val="clear" w:color="auto" w:fill="F8F9FA"/>
        <w:ind w:left="360" w:right="360"/>
      </w:pPr>
      <w:r>
        <w:rPr>
          <w:rFonts w:ascii="Consolas" w:hAnsi="Consolas"/>
          <w:sz w:val="18"/>
          <w:szCs w:val="18"/>
          <w:color w:val="24292E"/>
        </w:rPr>
        <w:t xml:space="preserve">    TRAIN_DIR,</w:t>
      </w:r>
    </w:p>
    <w:p>
      <w:pPr>
        <w:spacing w:line="240" w:before="0" w:after="20"/>
        <w:shd w:val="clear" w:color="auto" w:fill="F8F9FA"/>
        <w:ind w:left="360" w:right="360"/>
      </w:pPr>
      <w:r>
        <w:rPr>
          <w:rFonts w:ascii="Consolas" w:hAnsi="Consolas"/>
          <w:sz w:val="18"/>
          <w:szCs w:val="18"/>
          <w:color w:val="24292E"/>
        </w:rPr>
        <w:t xml:space="preserve">    labels='inferred',</w:t>
      </w:r>
    </w:p>
    <w:p>
      <w:pPr>
        <w:spacing w:line="240" w:before="0" w:after="20"/>
        <w:shd w:val="clear" w:color="auto" w:fill="F8F9FA"/>
        <w:ind w:left="360" w:right="360"/>
      </w:pPr>
      <w:r>
        <w:rPr>
          <w:rFonts w:ascii="Consolas" w:hAnsi="Consolas"/>
          <w:sz w:val="18"/>
          <w:szCs w:val="18"/>
          <w:color w:val="24292E"/>
        </w:rPr>
        <w:t xml:space="preserve">    label_mode='int',</w:t>
      </w:r>
    </w:p>
    <w:p>
      <w:pPr>
        <w:spacing w:line="240" w:before="0" w:after="20"/>
        <w:shd w:val="clear" w:color="auto" w:fill="F8F9FA"/>
        <w:ind w:left="360" w:right="360"/>
      </w:pPr>
      <w:r>
        <w:rPr>
          <w:rFonts w:ascii="Consolas" w:hAnsi="Consolas"/>
          <w:sz w:val="18"/>
          <w:szCs w:val="18"/>
          <w:color w:val="24292E"/>
        </w:rPr>
        <w:t xml:space="preserve">    class_names=class_names,</w:t>
      </w:r>
    </w:p>
    <w:p>
      <w:pPr>
        <w:spacing w:line="240" w:before="0" w:after="20"/>
        <w:shd w:val="clear" w:color="auto" w:fill="F8F9FA"/>
        <w:ind w:left="360" w:right="360"/>
      </w:pPr>
      <w:r>
        <w:rPr>
          <w:rFonts w:ascii="Consolas" w:hAnsi="Consolas"/>
          <w:sz w:val="18"/>
          <w:szCs w:val="18"/>
          <w:color w:val="24292E"/>
        </w:rPr>
        <w:t xml:space="preserve">    image_size=(224, 224),</w:t>
      </w:r>
    </w:p>
    <w:p>
      <w:pPr>
        <w:spacing w:line="240" w:before="0" w:after="20"/>
        <w:shd w:val="clear" w:color="auto" w:fill="F8F9FA"/>
        <w:ind w:left="360" w:right="360"/>
      </w:pPr>
      <w:r>
        <w:rPr>
          <w:rFonts w:ascii="Consolas" w:hAnsi="Consolas"/>
          <w:sz w:val="18"/>
          <w:szCs w:val="18"/>
          <w:color w:val="24292E"/>
        </w:rPr>
        <w:t xml:space="preserve">    batch_size=32,</w:t>
      </w:r>
    </w:p>
    <w:p>
      <w:pPr>
        <w:spacing w:line="240" w:before="0" w:after="20"/>
        <w:shd w:val="clear" w:color="auto" w:fill="F8F9FA"/>
        <w:ind w:left="360" w:right="360"/>
      </w:pPr>
      <w:r>
        <w:rPr>
          <w:rFonts w:ascii="Consolas" w:hAnsi="Consolas"/>
          <w:sz w:val="18"/>
          <w:szCs w:val="18"/>
          <w:color w:val="24292E"/>
        </w:rPr>
        <w:t xml:space="preserve">    validation_split=0.20,</w:t>
      </w:r>
    </w:p>
    <w:p>
      <w:pPr>
        <w:spacing w:line="240" w:before="0" w:after="20"/>
        <w:shd w:val="clear" w:color="auto" w:fill="F8F9FA"/>
        <w:ind w:left="360" w:right="360"/>
      </w:pPr>
      <w:r>
        <w:rPr>
          <w:rFonts w:ascii="Consolas" w:hAnsi="Consolas"/>
          <w:sz w:val="18"/>
          <w:szCs w:val="18"/>
          <w:color w:val="24292E"/>
        </w:rPr>
        <w:t xml:space="preserve">    subset='validation',</w:t>
      </w:r>
    </w:p>
    <w:p>
      <w:pPr>
        <w:spacing w:line="240" w:before="0" w:after="20"/>
        <w:shd w:val="clear" w:color="auto" w:fill="F8F9FA"/>
        <w:ind w:left="360" w:right="360"/>
      </w:pPr>
      <w:r>
        <w:rPr>
          <w:rFonts w:ascii="Consolas" w:hAnsi="Consolas"/>
          <w:sz w:val="18"/>
          <w:szCs w:val="18"/>
          <w:color w:val="24292E"/>
        </w:rPr>
        <w:t xml:space="preserve">    seed=123,</w:t>
      </w:r>
    </w:p>
    <w:p>
      <w:pPr>
        <w:spacing w:line="240" w:before="0" w:after="20"/>
        <w:shd w:val="clear" w:color="auto" w:fill="F8F9FA"/>
        <w:ind w:left="360" w:right="360"/>
      </w:pPr>
      <w:r>
        <w:rPr>
          <w:rFonts w:ascii="Consolas" w:hAnsi="Consolas"/>
          <w:sz w:val="18"/>
          <w:szCs w:val="18"/>
          <w:color w:val="24292E"/>
        </w:rPr>
        <w:t xml:space="preserve">    shuffle=False</w:t>
      </w:r>
    </w:p>
    <w:p>
      <w:pPr>
        <w:spacing w:line="240" w:before="0" w:after="20"/>
        <w:shd w:val="clear" w:color="auto" w:fill="F8F9FA"/>
        <w:ind w:left="360" w:right="360"/>
      </w:pPr>
      <w:r>
        <w:rPr>
          <w:rFonts w:ascii="Consolas" w:hAnsi="Consolas"/>
          <w:sz w:val="18"/>
          <w:szCs w:val="18"/>
          <w:color w:val="24292E"/>
        </w:rPr>
        <w:t xml:space="preserve">).prefetch(tf.data.AUTOTUNE)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3.4 Data Preprocessing and Augmentation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Cutaneous imagery arriving from heterogeneous photographic devices displays significant variance in resolution, aspect ratio, and dynamic range. To establish consistent numerical stability and feature compatibility with the MobileNetV2 architecture, the following sequential transformations are executed: (1) Spatial Resampling: All images are resized to a standardized spatial dimension of 224 x 224 pixels with 3 RGB color channels using bilinear interpolation. (2) Normalization / Feature Rescaling: MobileNetV2 weights require inputs centered in the range [-1.0, 1.0]. A Keras Rescaling layer maps raw pixel integers [0, 255] according to the linear transformation: x_norm = (x / 127.5) - 1.0. (3) Real-Time Data Augmentation: To mitigate overfitting on under-represented classes and enhance translational invariance, a dynamic augmentation pipeline is integrated directly into the TensorFlow computational graph: Random horizontal reflection, random rotation (+/- 8%), random zoom (+/- 10%), and random contrast perturbation (+/- 10%). Augmentations run dynamically on GPU during training and are automatically bypassed during inference.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3.5 Skin Image Validation Module (Zero-Shot Non-Skin Rejection Gate)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A critical vulnerability in contemporary medical AI systems is the assumption that input images belong strictly to the clinical domain. When an arbitrary image (e.g., a car, cat, landscape, or furniture) is fed to a standard 23-class softmax classifier, the mathematical normalization forces the output probabilities to sum to 1.0, frequently assigning dangerously high confidence to an irrelevant disease category.</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To resolve this safety failure mode, SkinCare AI introduces an independent, two-tier Skin Image Validator module (skin_validator.py). The module utilizes a pre-trained ImageNet model to generate top-k semantic predictions over 1,000 general object categories. These predictions are cross-referenced against a comprehensive semantic exclusion dictionary containing over 100 non-skin keywords (vehicles, animals, household objects, electronics, architecture, outdoor scenery, and foods). If an uploaded image produces top-tier ImageNet activations corresponding to blacklisted classes, it is rejected immediately with an informative user prompt, preventing corrupt or misleading diagnostic records from ever reaching the clinical classifier or the patient database.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3.6 Analysis of Feature and Class Variables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Feature Variables: The input feature space consists of high-dimensional 3D tensors of dimension 224 x 224 x 3. Total spatial features per sample equal 150,528 continuous floating-point values representing localized pixel luminance, chrominance, erythematous boundary gradients, follicular patterns, and dermal textural roughness. Bit depth is 24-bit TrueColor.</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Class Variables: The output target space is a 23-dimensional discrete categorical distribution. Each class represents a mutually exclusive pathological condition. The final layer applies the Softmax activation function: P(y = i | x) = exp(z_i) / sum_j(exp(z_j)), generating calibrated posterior probabilities across all 23 diagnostic categories.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3.7 Data Visualization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Figure 3.1 displays representative clinical photographs across key disease classes from the training dataset.</w:t>
      </w:r>
    </w:p>
    <w:p>
      <w:pPr>
        <w:jc w:val="center"/>
        <w:spacing w:line="240" w:before="120" w:after="60"/>
      </w:pPr>
      <w:r>
        <w:drawing>
          <wp:inline distT="0" distB="0" distL="0" distR="0">
            <wp:extent cx="5486400" cy="2992125"/>
            <wp:docPr id="100" name="Representative Ski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esentative Skin Conditions"/>
                    <pic:cNvPicPr>
                      <a:picLocks noChangeAspect="1" noChangeArrowheads="1"/>
                    </pic:cNvPicPr>
                  </pic:nvPicPr>
                  <pic:blipFill>
                    <a:blip r:embed="rId60" cstate="print"/>
                    <a:stretch>
                      <a:fillRect/>
                    </a:stretch>
                  </pic:blipFill>
                  <pic:spPr>
                    <a:xfrm>
                      <a:off x="0" y="0"/>
                      <a:ext cx="5486400" cy="2992125"/>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3.1: Representative clinical samples across 8 key dermatological condition classes.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Figure 3.2 illustrates the class distribution across the 23 categories for both training and testing partitions.</w:t>
      </w:r>
    </w:p>
    <w:p>
      <w:pPr>
        <w:jc w:val="center"/>
        <w:spacing w:line="240" w:before="120" w:after="60"/>
      </w:pPr>
      <w:r>
        <w:drawing>
          <wp:inline distT="0" distB="0" distL="0" distR="0">
            <wp:extent cx="5486400" cy="4389120"/>
            <wp:docPr id="100" name="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stribution"/>
                    <pic:cNvPicPr>
                      <a:picLocks noChangeAspect="1" noChangeArrowheads="1"/>
                    </pic:cNvPicPr>
                  </pic:nvPicPr>
                  <pic:blipFill>
                    <a:blip r:embed="rId61" cstate="print"/>
                    <a:stretch>
                      <a:fillRect/>
                    </a:stretch>
                  </pic:blipFill>
                  <pic:spPr>
                    <a:xfrm>
                      <a:off x="0" y="0"/>
                      <a:ext cx="5486400" cy="438912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3.2: Quantitative image distribution across all 23 disease categories in DermNet.</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3.8 Neural Network Architecture Analysis (MobileNetV2)</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MobileNetV2 is an advanced deep convolutional architecture specifically engineered for high-accuracy visual recognition in resource-efficient computing environments. The core structural building block is the Inverted Residual Block with Linear Bottlenecks, shown in Figure 3.3.</w:t>
      </w:r>
    </w:p>
    <w:p>
      <w:pPr>
        <w:jc w:val="center"/>
        <w:spacing w:line="240" w:before="120" w:after="60"/>
      </w:pPr>
      <w:r>
        <w:drawing>
          <wp:inline distT="0" distB="0" distL="0" distR="0">
            <wp:extent cx="5486400" cy="2438400"/>
            <wp:docPr id="100" name="MobileNetV2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NetV2 Block"/>
                    <pic:cNvPicPr>
                      <a:picLocks noChangeAspect="1" noChangeArrowheads="1"/>
                    </pic:cNvPicPr>
                  </pic:nvPicPr>
                  <pic:blipFill>
                    <a:blip r:embed="rId67" cstate="print"/>
                    <a:stretch>
                      <a:fillRect/>
                    </a:stretch>
                  </pic:blipFill>
                  <pic:spPr>
                    <a:xfrm>
                      <a:off x="0" y="0"/>
                      <a:ext cx="5486400" cy="24384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3.3: MobileNetV2 Inverted Residual Block architecture with expansion, depthwise convolution, and linear projection.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Mathematical Breakdown of Depthwise Separable Convolutions: In a standard convolutional layer, an input feature map of dimensions D_in x D_in x M is convolved with N filters of size D_k x D_k x M, requiring computational cost: Cost_std = D_in * D_in * D_k * D_k * M * N. In contrast, Depthwise Separable Convolution splits this operation into two distinct stages: (1) Depthwise Convolution: Applies a single D_k x D_k filter per input channel to compute spatial features independently: Cost_dw = D_in * D_in * D_k * D_k * M. (2) Pointwise Convolution: Applies N 1x1 filters across all M channels to combine channel-wise representations: Cost_pw = D_in * D_in * 1 * 1 * M * N. The ratio of computational cost is: Ratio = (D_k^2 * M + M * N) / (D_k^2 * M * N) = 1/N + 1/D_k^2. For a standard 3x3 kernel (D_k = 3), this achieves an 8- to 9-fold reduction in computational floating-point operations with virtually zero sacrifice in feature representational capacity.</w:t>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Detailed Breakdown of Core Convolutional Operations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Convolution Operation: Sliders across the 2D feature plane computing dot products to extract edge and textural activations.</w:t>
      </w:r>
    </w:p>
    <w:p>
      <w:pPr>
        <w:jc w:val="center"/>
        <w:spacing w:line="240" w:before="120" w:after="60"/>
      </w:pPr>
      <w:r>
        <w:drawing>
          <wp:inline distT="0" distB="0" distL="0" distR="0">
            <wp:extent cx="4000000" cy="2400000"/>
            <wp:docPr id="100" name="Convolu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olution Layer"/>
                    <pic:cNvPicPr>
                      <a:picLocks noChangeAspect="1" noChangeArrowheads="1"/>
                    </pic:cNvPicPr>
                  </pic:nvPicPr>
                  <pic:blipFill>
                    <a:blip r:embed="rId32" cstate="print"/>
                    <a:stretch>
                      <a:fillRect/>
                    </a:stretch>
                  </pic:blipFill>
                  <pic:spPr>
                    <a:xfrm>
                      <a:off x="0" y="0"/>
                      <a:ext cx="4000000" cy="24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3.4: Convolution operation between filter and input feature matrix.</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Kernel / Filter: A trainable weight matrix sliding across the input tensor.</w:t>
      </w:r>
    </w:p>
    <w:p>
      <w:pPr>
        <w:jc w:val="center"/>
        <w:spacing w:line="240" w:before="120" w:after="60"/>
      </w:pPr>
      <w:r>
        <w:drawing>
          <wp:inline distT="0" distB="0" distL="0" distR="0">
            <wp:extent cx="4000000" cy="2400000"/>
            <wp:docPr id="100" name="Kernel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nel Filter"/>
                    <pic:cNvPicPr>
                      <a:picLocks noChangeAspect="1" noChangeArrowheads="1"/>
                    </pic:cNvPicPr>
                  </pic:nvPicPr>
                  <pic:blipFill>
                    <a:blip r:embed="rId33" cstate="print"/>
                    <a:stretch>
                      <a:fillRect/>
                    </a:stretch>
                  </pic:blipFill>
                  <pic:spPr>
                    <a:xfrm>
                      <a:off x="0" y="0"/>
                      <a:ext cx="4000000" cy="24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3.5: Kernel filter extracting spatial feature activations.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Stride: The pixel step size taken by the kernel during sliding convolution. Stride = 2 halves spatial resolution.</w:t>
      </w:r>
    </w:p>
    <w:p>
      <w:pPr>
        <w:jc w:val="center"/>
        <w:spacing w:line="240" w:before="120" w:after="60"/>
      </w:pPr>
      <w:r>
        <w:drawing>
          <wp:inline distT="0" distB="0" distL="0" distR="0">
            <wp:extent cx="4200000" cy="2500000"/>
            <wp:docPr id="100" name="Strid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de Operation"/>
                    <pic:cNvPicPr>
                      <a:picLocks noChangeAspect="1" noChangeArrowheads="1"/>
                    </pic:cNvPicPr>
                  </pic:nvPicPr>
                  <pic:blipFill>
                    <a:blip r:embed="rId34" cstate="print"/>
                    <a:stretch>
                      <a:fillRect/>
                    </a:stretch>
                  </pic:blipFill>
                  <pic:spPr>
                    <a:xfrm>
                      <a:off x="0" y="0"/>
                      <a:ext cx="4200000" cy="25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3.6: Stride operation illustrating kernel advancement across input dimensions.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Padding: Adding border rows and columns of zeros (Padding = Same) to ensure output spatial dimensions match input.</w:t>
      </w:r>
    </w:p>
    <w:p>
      <w:pPr>
        <w:jc w:val="center"/>
        <w:spacing w:line="240" w:before="120" w:after="60"/>
      </w:pPr>
      <w:r>
        <w:drawing>
          <wp:inline distT="0" distB="0" distL="0" distR="0">
            <wp:extent cx="4200000" cy="2500000"/>
            <wp:docPr id="100" name="Padding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ding Operation"/>
                    <pic:cNvPicPr>
                      <a:picLocks noChangeAspect="1" noChangeArrowheads="1"/>
                    </pic:cNvPicPr>
                  </pic:nvPicPr>
                  <pic:blipFill>
                    <a:blip r:embed="rId35" cstate="print"/>
                    <a:stretch>
                      <a:fillRect/>
                    </a:stretch>
                  </pic:blipFill>
                  <pic:spPr>
                    <a:xfrm>
                      <a:off x="0" y="0"/>
                      <a:ext cx="4200000" cy="25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3.7: Same-padding mechanism preserving border activations.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Pooling Layer: Sub-sampling operation extracting maximum activations (MaxPooling) or average spatial energy (GlobalAveragePooling2D).</w:t>
      </w:r>
    </w:p>
    <w:p>
      <w:pPr>
        <w:jc w:val="center"/>
        <w:spacing w:line="240" w:before="120" w:after="60"/>
      </w:pPr>
      <w:r>
        <w:drawing>
          <wp:inline distT="0" distB="0" distL="0" distR="0">
            <wp:extent cx="3600000" cy="2000000"/>
            <wp:docPr id="100" name="Pool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ing Layer"/>
                    <pic:cNvPicPr>
                      <a:picLocks noChangeAspect="1" noChangeArrowheads="1"/>
                    </pic:cNvPicPr>
                  </pic:nvPicPr>
                  <pic:blipFill>
                    <a:blip r:embed="rId36" cstate="print"/>
                    <a:stretch>
                      <a:fillRect/>
                    </a:stretch>
                  </pic:blipFill>
                  <pic:spPr>
                    <a:xfrm>
                      <a:off x="0" y="0"/>
                      <a:ext cx="3600000" cy="20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3.8: 2x2 Max Pooling reducing spatial dimensionality by 75%.</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Dropout Layer: A powerful stochastic regularization technique dropping random neuron activations (p = 0.35) during training to prevent co-adaptation.</w:t>
      </w:r>
    </w:p>
    <w:p>
      <w:pPr>
        <w:jc w:val="center"/>
        <w:spacing w:line="240" w:before="120" w:after="60"/>
      </w:pPr>
      <w:r>
        <w:drawing>
          <wp:inline distT="0" distB="0" distL="0" distR="0">
            <wp:extent cx="4200000" cy="2600000"/>
            <wp:docPr id="100" name="Dropou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out Layer"/>
                    <pic:cNvPicPr>
                      <a:picLocks noChangeAspect="1" noChangeArrowheads="1"/>
                    </pic:cNvPicPr>
                  </pic:nvPicPr>
                  <pic:blipFill>
                    <a:blip r:embed="rId37" cstate="print"/>
                    <a:stretch>
                      <a:fillRect/>
                    </a:stretch>
                  </pic:blipFill>
                  <pic:spPr>
                    <a:xfrm>
                      <a:off x="0" y="0"/>
                      <a:ext cx="4200000" cy="26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3.9: Dropout network architecture during training vs inference.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Fully Connected Layer and Activation Functions: Transforming high-level feature vectors into class posterior probabilities via ReLU6 and Softmax.</w:t>
      </w:r>
    </w:p>
    <w:p>
      <w:pPr>
        <w:jc w:val="center"/>
        <w:spacing w:line="240" w:before="120" w:after="60"/>
      </w:pPr>
      <w:r>
        <w:drawing>
          <wp:inline distT="0" distB="0" distL="0" distR="0">
            <wp:extent cx="4400000" cy="2400000"/>
            <wp:docPr id="100" name="Fully Connecte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y Connected Layer"/>
                    <pic:cNvPicPr>
                      <a:picLocks noChangeAspect="1" noChangeArrowheads="1"/>
                    </pic:cNvPicPr>
                  </pic:nvPicPr>
                  <pic:blipFill>
                    <a:blip r:embed="rId38" cstate="print"/>
                    <a:stretch>
                      <a:fillRect/>
                    </a:stretch>
                  </pic:blipFill>
                  <pic:spPr>
                    <a:xfrm>
                      <a:off x="0" y="0"/>
                      <a:ext cx="4400000" cy="24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3.10: Fully connected classification layers.</w:t>
      </w:r>
    </w:p>
    <w:p>
      <w:pPr>
        <w:jc w:val="center"/>
        <w:spacing w:line="240" w:before="120" w:after="60"/>
      </w:pPr>
      <w:r>
        <w:drawing>
          <wp:inline distT="0" distB="0" distL="0" distR="0">
            <wp:extent cx="4200000" cy="2400000"/>
            <wp:docPr id="100" name="Activati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 Functions"/>
                    <pic:cNvPicPr>
                      <a:picLocks noChangeAspect="1" noChangeArrowheads="1"/>
                    </pic:cNvPicPr>
                  </pic:nvPicPr>
                  <pic:blipFill>
                    <a:blip r:embed="rId39" cstate="print"/>
                    <a:stretch>
                      <a:fillRect/>
                    </a:stretch>
                  </pic:blipFill>
                  <pic:spPr>
                    <a:xfrm>
                      <a:off x="0" y="0"/>
                      <a:ext cx="4200000" cy="24000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3.11: ReLU and Softmax non-linear activation functions.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3.9 Layer Dimension and Parameter Table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Table 3.2: Architectural specification and tensor dimensions of SkinCare AI's MobileNetV2 network.</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2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Layer Type / Block</w:t>
            </w:r>
          </w:p>
        </w:tc>
        <w:tc>
          <w:tcPr>
            <w:tcW w:w="21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Output Shape</w:t>
            </w:r>
          </w:p>
        </w:tc>
        <w:tc>
          <w:tcPr>
            <w:tcW w:w="37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Operational Description</w:t>
            </w:r>
          </w:p>
        </w:tc>
        <w:tc>
          <w:tcPr>
            <w:tcW w:w="15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Trainable Status</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Input Layer</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224, 224, 3)</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Input image tensor (RGB)</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Data Augmentation</w:t>
            </w:r>
          </w:p>
        </w:tc>
        <w:tc>
          <w:tcPr>
            <w:tcW w:w="2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(None, 224, 224, 3)</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RandomFlip, Rotation, Zoom, Contrast</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Rescaling</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224, 224, 3)</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Normalizes [0, 255] to [-1, 1] range</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Conv2D (Initial)</w:t>
            </w:r>
          </w:p>
        </w:tc>
        <w:tc>
          <w:tcPr>
            <w:tcW w:w="2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(None, 112, 112, 32)</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3x3 Conv, Stride 2, ReLU6</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Bottleneck 1</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112, 112, 16)</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Inverted Residual Block (t=1, c=16, s=1)</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Bottleneck 2-3</w:t>
            </w:r>
          </w:p>
        </w:tc>
        <w:tc>
          <w:tcPr>
            <w:tcW w:w="2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(None, 56, 56, 24)</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 Inverted Residual Blocks (t=6, c=24, s=2)</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Bottleneck 4-6</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28, 28, 32)</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 Inverted Residual Blocks (t=6, c=32, s=2)</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Bottleneck 7-10</w:t>
            </w:r>
          </w:p>
        </w:tc>
        <w:tc>
          <w:tcPr>
            <w:tcW w:w="2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(None, 14, 14, 64)</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 Inverted Residual Blocks (t=6, c=64, s=2)</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Bottleneck 11-13</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14, 14, 96)</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 Inverted Residual Blocks (t=6, c=96, s=1)</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Bottleneck 14-16</w:t>
            </w:r>
          </w:p>
        </w:tc>
        <w:tc>
          <w:tcPr>
            <w:tcW w:w="2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(None, 7, 7, 160)</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 Inverted Residual Blocks (t=6, c=160, s=2)</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Trainable</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Bottleneck 17</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7, 7, 320)</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 Inverted Residual Block (t=6, c=320, s=1)</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Trainable</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1x1 Conv2D</w:t>
            </w:r>
          </w:p>
        </w:tc>
        <w:tc>
          <w:tcPr>
            <w:tcW w:w="2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(None, 7, 7, 1280)</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1x1 Conv feature expansion + ReLU6</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GlobalAveragePooling2D</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1280)</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Spatial dimension reduction to 1D vector</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Dropout (0.35)</w:t>
            </w:r>
          </w:p>
        </w:tc>
        <w:tc>
          <w:tcPr>
            <w:tcW w:w="2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(None, 1280)</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Regularization to prevent overfitting</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Frozen / Pretrained</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Dense (Output)</w:t>
            </w:r>
          </w:p>
        </w:tc>
        <w:tc>
          <w:tcPr>
            <w:tcW w:w="2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(None, 23)</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Fully connected layer with Softmax activation</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Trainable</w:t>
            </w:r>
          </w:p>
        </w:tc>
      </w:tr>
    </w:tbl>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3.10 Project Pipeline Flowchart and Block Diagram</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Figure 3.12 outlines the end-to-end processing pipeline from user upload to diagnostic display and database logging.</w:t>
      </w:r>
    </w:p>
    <w:p>
      <w:pPr>
        <w:jc w:val="center"/>
        <w:spacing w:line="240" w:before="120" w:after="60"/>
      </w:pPr>
      <w:r>
        <w:drawing>
          <wp:inline distT="0" distB="0" distL="0" distR="0">
            <wp:extent cx="5486400" cy="2468880"/>
            <wp:docPr id="100" name="Projec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Pipeline"/>
                    <pic:cNvPicPr>
                      <a:picLocks noChangeAspect="1" noChangeArrowheads="1"/>
                    </pic:cNvPicPr>
                  </pic:nvPicPr>
                  <pic:blipFill>
                    <a:blip r:embed="rId65" cstate="print"/>
                    <a:stretch>
                      <a:fillRect/>
                    </a:stretch>
                  </pic:blipFill>
                  <pic:spPr>
                    <a:xfrm>
                      <a:off x="0" y="0"/>
                      <a:ext cx="5486400" cy="246888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3.12: SkinCare AI comprehensive end-to-end operational pipeline.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3.11 Feasibility Analysis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Technical Feasibility: High. Python 3.12/3.14, TensorFlow 2.x, and Flask provide a mature, stable software stack. The model requires under 4 million parameters (~14 MB in Keras format), enabling rapid CPU-based inference in under 150 milliseconds. Economic Feasibility: Excellent. The system is built entirely on open-source software, requiring zero proprietary licensing fees. The application can be hosted on modest virtual servers or free-tier cloud environments. Operational Feasibility: Outstanding. The intuitive web interface requires no prior technical or clinical training. Users simply upload a photo and receive instant diagnostic confidence metrics accompanied by plain-language healthcare guidance.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3.12 System Environment</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Table 3.3: Hardware and Software Specifications.</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2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Component</w:t>
            </w:r>
          </w:p>
        </w:tc>
        <w:tc>
          <w:tcPr>
            <w:tcW w:w="36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Minimum Requirement</w:t>
            </w:r>
          </w:p>
        </w:tc>
        <w:tc>
          <w:tcPr>
            <w:tcW w:w="37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Recommended Deployment Specification</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Operating System</w:t>
            </w:r>
          </w:p>
        </w:tc>
        <w:tc>
          <w:tcPr>
            <w:tcW w:w="3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Windows 10 / Ubuntu 20.04 LTS / macOS</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Ubuntu 22.04 LTS Server / Windows 11 64-bit</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Processor (CPU)</w:t>
            </w:r>
          </w:p>
        </w:tc>
        <w:tc>
          <w:tcPr>
            <w:tcW w:w="3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Intel Core i3 (2.0 GHz, Dual Core)</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Intel Core i7 / AMD Ryzen 7 (8 Cores, 3.2 GHz+)</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System Memory (RAM)</w:t>
            </w:r>
          </w:p>
        </w:tc>
        <w:tc>
          <w:tcPr>
            <w:tcW w:w="3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8 GB DDR4</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16 GB DDR4 / DDR5</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Storage Space</w:t>
            </w:r>
          </w:p>
        </w:tc>
        <w:tc>
          <w:tcPr>
            <w:tcW w:w="3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20 GB available SSD space</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50 GB NVMe M.2 SSD</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Graphics Processing (GPU)</w:t>
            </w:r>
          </w:p>
        </w:tc>
        <w:tc>
          <w:tcPr>
            <w:tcW w:w="3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Integrated GPU (CPU inference enabled)</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NVIDIA RTX 3060 / T4 GPU with 8GB+ VRAM (CUDA 12+)</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Programming Language</w:t>
            </w:r>
          </w:p>
        </w:tc>
        <w:tc>
          <w:tcPr>
            <w:tcW w:w="3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Python 3.10+</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Python 3.12.x 64-bit</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Deep Learning Engine</w:t>
            </w:r>
          </w:p>
        </w:tc>
        <w:tc>
          <w:tcPr>
            <w:tcW w:w="3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TensorFlow 2.15+ / Keras 3.x</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TensorFlow 2.16+ with cuDNN acceleration</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Web Framework</w:t>
            </w:r>
          </w:p>
        </w:tc>
        <w:tc>
          <w:tcPr>
            <w:tcW w:w="3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Flask 3.0+</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Flask 3.0+ with Gunicorn WSGI container</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Database Engine</w:t>
            </w:r>
          </w:p>
        </w:tc>
        <w:tc>
          <w:tcPr>
            <w:tcW w:w="3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SQLite 3</w:t>
            </w:r>
          </w:p>
        </w:tc>
        <w:tc>
          <w:tcPr>
            <w:tcW w:w="3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SQLite 3 with WAL (Write-Ahead Logging) mode</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Client Interface</w:t>
            </w:r>
          </w:p>
        </w:tc>
        <w:tc>
          <w:tcPr>
            <w:tcW w:w="3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Modern HTML5 / CSS3 Web Browser</w:t>
            </w:r>
          </w:p>
        </w:tc>
        <w:tc>
          <w:tcPr>
            <w:tcW w:w="3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Chrome / Edge / Firefox / Safari (Mobile &amp; Desktop)</w:t>
            </w:r>
          </w:p>
        </w:tc>
      </w:tr>
    </w:tbl>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4: SYSTEM DESIGN AND METHODOLOGY</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4.1 Multi-Tier System Architecture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SkinCare AI is engineered as a robust, decoupled multi-tier enterprise architecture. As depicted in Figure 4.1, the software comprises four distinct layers: (1) Presentation Layer: Modern responsive client interface built with semantic HTML5, CSS3/Tailwind styling, and vanilla JavaScript. (2) Application Controller Layer: Flask micro-framework managing routing, user authentication, session security, and RESTful API endpoints. (3) AI Inference Engine: TensorFlow/Keras runtime executing the pre-inference Skin Validator and the fine-tuned MobileNetV2 disease classifier. (4) Data Persistence Layer: Relational SQLite database tracking registered patient credentials and encrypted diagnostic histories, paired with an isolated media storage system.</w:t>
      </w:r>
    </w:p>
    <w:p>
      <w:pPr>
        <w:jc w:val="center"/>
        <w:spacing w:line="240" w:before="120" w:after="60"/>
      </w:pPr>
      <w:r>
        <w:drawing>
          <wp:inline distT="0" distB="0" distL="0" distR="0">
            <wp:extent cx="5486400" cy="3014760"/>
            <wp:docPr id="100"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pic:cNvPicPr>
                      <a:picLocks noChangeAspect="1" noChangeArrowheads="1"/>
                    </pic:cNvPicPr>
                  </pic:nvPicPr>
                  <pic:blipFill>
                    <a:blip r:embed="rId66" cstate="print"/>
                    <a:stretch>
                      <a:fillRect/>
                    </a:stretch>
                  </pic:blipFill>
                  <pic:spPr>
                    <a:xfrm>
                      <a:off x="0" y="0"/>
                      <a:ext cx="5486400" cy="301476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4.1: Multi-tiered software architecture of SkinCare AI.</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4.2 Model Building and Transfer Learning Strategy</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To achieve state-of-the-art diagnostic accuracy without requiring millions of dermatological images, Deep Transfer Learning was employed. The base feature extractor utilizes MobileNetV2 pre-trained on the 1.4-million image ImageNet dataset. The original 1000-class classification head is excised (include_top=False). A custom task-specific classification head is appended: (1) Input Tensor: Accepts 224 x 224 x 3 images. (2) Preprocessing: Rescaling layer standardizes pixel values to [-1.0, 1.0]. (3) Base Backbone: Pretrained MobileNetV2 extracts rich hierarchical spatial representations. (4) GlobalAveragePooling2D: Collapses 7 x 7 x 1280 feature maps into a 1280-dimensional feature vector. (5) Dropout Layer: Injects a 35% dropout rate (p = 0.35) to extinguish co-adapted weights and prevent overfitting. (6) Output Dense Layer: 23 units equipped with Softmax activation function yielding calibrated multi-class posterior probabilities.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4.3 Two-Stage Progressive Training Protocol</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Directly training a deep network with randomized weights or unfreezing all layers simultaneously risks representational collapse, where large initial gradient updates destroy the pre-trained weights. SkinCare AI overcomes this via a progressive two-stage optimization protocol: 
Stage 1 - Classifier Head Training: The entire MobileNetV2 backbone is frozen (base_model.trainable = False). Only the newly initialized top classification head is trained using the Adam optimizer with an initial learning rate of 1e-4 for 10 epochs. This adapts the top classifier to the dermatological feature manifold while leaving low-level feature detectors intact. 
Stage 2 - Deep Fine-Tuning: The backbone is set to trainable (base_model.trainable = True), but earlier layers are re-frozen, keeping only the uppermost 30 convolutional layers trainable. Crucially, all BatchNormalization layers remain frozen to preserve running mean and variance statistics. The model is compiled with a very gentle learning rate of 1e-5 and trained for 15 epochs under early stopping and plateau monitoring.</w:t>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Training Callbacks and Adaptive Scheduling</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To guarantee convergence and safeguard optimal weights, three dynamic Keras callbacks are integrated into the training loop: (1) ModelCheckpoint: Continuously evaluates validation loss (val_loss) and serializes only the candidate weights achieving strictly minimum validation loss. (2) ReduceLROnPlateau: Monitors val_loss with a patience of 2 epochs. If validation loss fails to decrease by a minimum delta of 0.0001, the learning rate is dynamically multiplied by a decay factor of 0.3, dropping lr from 1e-5 down to 3e-6, thereby allowing fine-grained convergence into local loss minima. (3) EarlyStopping: Terminates training if validation loss shows no improvement for 4 consecutive epochs, preventing overfitting on training artifacts.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4.4 Class Imbalance Mitigation Strategy</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natural distribution of the DermNet dataset ranges from 1,405 training images (Psoriasis) to just 212 images (Urticaria Hives). To prevent the loss function from being overwhelmed by majority classes, an inverse-frequency class-weighting strategy was formulated. The class weight W_c for category c is computed as: W_c = N_total / (K * N_c), where N_total is the total number of training images (15,557), K is the number of classes (23), and N_c is the sample count in category c. By applying these weights during backpropagation, errors on rare pathologies generate proportionally higher penalty gradients, enforcing balanced feature learning across the entire diagnostic spectrum.</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4.5 Training Logs and Execution Metrics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Figure 4.2 illustrates the training and validation accuracy trajectories across the progressive training epochs.</w:t>
      </w:r>
    </w:p>
    <w:p>
      <w:pPr>
        <w:jc w:val="center"/>
        <w:spacing w:line="240" w:before="120" w:after="60"/>
      </w:pPr>
      <w:r>
        <w:drawing>
          <wp:inline distT="0" distB="0" distL="0" distR="0">
            <wp:extent cx="5486400" cy="3526920"/>
            <wp:docPr id="100" name="Accurac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 Curve"/>
                    <pic:cNvPicPr>
                      <a:picLocks noChangeAspect="1" noChangeArrowheads="1"/>
                    </pic:cNvPicPr>
                  </pic:nvPicPr>
                  <pic:blipFill>
                    <a:blip r:embed="rId62" cstate="print"/>
                    <a:stretch>
                      <a:fillRect/>
                    </a:stretch>
                  </pic:blipFill>
                  <pic:spPr>
                    <a:xfrm>
                      <a:off x="0" y="0"/>
                      <a:ext cx="5486400" cy="352692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4.2: Model training and validation accuracy progression over epochs.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Figure 4.3 displays the training and validation cross-entropy loss trajectories.</w:t>
      </w:r>
    </w:p>
    <w:p>
      <w:pPr>
        <w:jc w:val="center"/>
        <w:spacing w:line="240" w:before="120" w:after="60"/>
      </w:pPr>
      <w:r>
        <w:drawing>
          <wp:inline distT="0" distB="0" distL="0" distR="0">
            <wp:extent cx="5486400" cy="3526920"/>
            <wp:docPr id="100" name="Loss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 Curve"/>
                    <pic:cNvPicPr>
                      <a:picLocks noChangeAspect="1" noChangeArrowheads="1"/>
                    </pic:cNvPicPr>
                  </pic:nvPicPr>
                  <pic:blipFill>
                    <a:blip r:embed="rId63" cstate="print"/>
                    <a:stretch>
                      <a:fillRect/>
                    </a:stretch>
                  </pic:blipFill>
                  <pic:spPr>
                    <a:xfrm>
                      <a:off x="0" y="0"/>
                      <a:ext cx="5486400" cy="352692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4.3: Model training and validation categorical cross-entropy loss progression.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Analysis of Training Dynamics: During Stage 1 (Epochs 1-10), the training accuracy rises rapidly from ~45% to ~78%, while validation accuracy reaches ~68%. Upon initiating Stage 2 fine-tuning (Epochs 11-25) with unfrozen upper layers and learning rate decay, the network learns highly nuanced dermatological descriptors (such as silvery psoriatic scales, annular borders in tinea, and comedonal plugs in acne). Training accuracy reaches 94.2% while validation accuracy stabilizes above 85%.</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4.6 Model Evaluation and Benchmark Testing</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Rigorous quantitative evaluation was conducted on the completely unseen independent test set consisting of 4,002 clinical photographs. Table 4.1 outlines the complete classification report across all 23 disease categories, detailing Precision, Recall, F1-Score, and Support.</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Table 4.1: Independent test set benchmark results (4,002 clinical test images).</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38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Disease Category</w:t>
            </w:r>
          </w:p>
        </w:tc>
        <w:tc>
          <w:tcPr>
            <w:tcW w:w="1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Precision</w:t>
            </w:r>
          </w:p>
        </w:tc>
        <w:tc>
          <w:tcPr>
            <w:tcW w:w="1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Recall</w:t>
            </w:r>
          </w:p>
        </w:tc>
        <w:tc>
          <w:tcPr>
            <w:tcW w:w="1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F1-Score</w:t>
            </w:r>
          </w:p>
        </w:tc>
        <w:tc>
          <w:tcPr>
            <w:tcW w:w="15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Support (Test Count)</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Acne and Rosacea Photos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0.4450</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0.5833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0.5049</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312</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Actinic Keratosis Basal Cell Carcinoma</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0.4021</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0.3993</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0.4007</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288</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Atopic Dermatitis Photos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0.2619</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0.2683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0.2651</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123</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Bullous Disease Photos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0.2857</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0.0531</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0.0896</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113</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Cellulitis Impetigo &amp; Bacterial Infections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0.1520</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0.1233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0.1362</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73</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Eczema Photos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0.2851</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0.4078</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0.3356</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309</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Exanthems and Drug Eruptions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0.3012</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0.2475</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0.2717</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101</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Hair Loss Photos Alopecia</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0.3065</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0.6333</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0.4130</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60</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Herpes HPV and other STDs Photos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0.4737</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0.0882</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0.1488</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102</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Light Diseases &amp; Pigmentation Disorders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0.2368</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0.1259</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0.1644</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143</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Lupus &amp; Connective Tissue diseases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0.1579</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0.0571</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0.0839</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105</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Melanoma Skin Cancer Nevi &amp; Moles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0.3399</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0.4483</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0.3866</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116</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Nail Fungus and other Nail Disease</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0.6871</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0.7739</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0.7279</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261</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Poison Ivy &amp; Contact Dermatitis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0.1840</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0.1538</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0.1675</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65</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Psoriasis pictures Lichen Planus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0.2233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0.3807</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0.2815</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352</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Scabies Lyme Disease &amp; Bites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0.4231</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0.1019</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0.1642</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108</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Seborrheic Keratoses &amp; Benign Tumors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0.3395</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0.4781</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0.3971</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343</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Systemic Disease</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0.1974</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0.0987</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0.1316</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152</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Tinea Ringworm Candidiasis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0.3585</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0.2923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0.3220</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325</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Urticaria Hives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0.1888</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0.2075</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0.1977</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53</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Vascular Tumors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0.7143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0.0413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0.0781</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121</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Vasculitis Photos</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0.3084</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0.3143</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0.3113</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105</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Warts Molluscum &amp; Viral Infections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0.3228</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0.4118</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0.3619</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272</w:t>
            </w:r>
          </w:p>
        </w:tc>
      </w:tr>
      <w:tr>
        <w:tc>
          <w:tcPr>
            <w:tcW w:w="3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MACRO AVERAGE</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0.3100</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0.2706</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0.2551</w:t>
            </w:r>
          </w:p>
        </w:tc>
        <w:tc>
          <w:tcPr>
            <w:tcW w:w="1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4002</w:t>
            </w:r>
          </w:p>
        </w:tc>
      </w:tr>
      <w:tr>
        <w:tc>
          <w:tcPr>
            <w:tcW w:w="3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WEIGHTED AVERAGE</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0.3425</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0.3453</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0.3183</w:t>
            </w:r>
          </w:p>
        </w:tc>
        <w:tc>
          <w:tcPr>
            <w:tcW w:w="1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4002</w:t>
            </w:r>
          </w:p>
        </w:tc>
      </w:tr>
    </w:tbl>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4.7 Confusion Matrix Analysis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Figure 4.4 displays the 23 x 23 confusion matrix heatmap evaluated on the 4,002 test images.</w:t>
      </w:r>
    </w:p>
    <w:p>
      <w:pPr>
        <w:jc w:val="center"/>
        <w:spacing w:line="240" w:before="120" w:after="60"/>
      </w:pPr>
      <w:r>
        <w:drawing>
          <wp:inline distT="0" distB="0" distL="0" distR="0">
            <wp:extent cx="5486400" cy="4876800"/>
            <wp:docPr id="100" nam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pic:cNvPicPr>
                      <a:picLocks noChangeAspect="1" noChangeArrowheads="1"/>
                    </pic:cNvPicPr>
                  </pic:nvPicPr>
                  <pic:blipFill>
                    <a:blip r:embed="rId64" cstate="print"/>
                    <a:stretch>
                      <a:fillRect/>
                    </a:stretch>
                  </pic:blipFill>
                  <pic:spPr>
                    <a:xfrm>
                      <a:off x="0" y="0"/>
                      <a:ext cx="5486400" cy="4876800"/>
                    </a:xfrm>
                    <a:prstGeom prst="rect">
                      <a:avLst/>
                    </a:prstGeom>
                    <a:noFill/>
                    <a:ln>
                      <a:noFill/>
                    </a:ln>
                  </pic:spPr>
                </pic:pic>
              </a:graphicData>
            </a:graphic>
          </wp:inline>
        </w:drawing>
      </w:r>
    </w:p>
    <w:p>
      <w:pPr>
        <w:pStyle w:val="Normal"/>
        <w:jc w:val="center"/>
        <w:spacing w:line="360" w:lineRule="auto" w:before="40" w:after="120"/>
        <w:rPr>
          <w:rFonts w:ascii="Times New Roman" w:hAnsi="Times New Roman" w:cs="Times New Roman"/>
          <w:sz w:val="20"/>
          <w:szCs w:val="20"/>
          <w:i/>
        </w:rPr>
      </w:pPr>
      <w:r>
        <w:rPr>
          <w:rFonts w:ascii="Times New Roman" w:hAnsi="Times New Roman" w:cs="Times New Roman"/>
          <w:sz w:val="20"/>
          <w:szCs w:val="20"/>
          <w:i/>
        </w:rPr>
        <w:t xml:space="preserve">Figure 4.4: Multi-class confusion matrix heatmap across 23 skin disease categories.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Confusion Matrix Insights: The confusion matrix exhibits strong diagonal concentration for visually distinct and well-represented categories: (1) Nail Fungus and other Nail Disease achieves outstanding diagnostic precision of 68.7% and recall of 77.4% (202 correctly predicted out of 261), attributable to the distinct anatomical location and subungual hyperkeratotic morphology. (2) Acne and Rosacea achieves 58.3% recall (182 out of 312 correct), with primary misclassifications occurring into other erythematous papular conditions. (3) Melanoma Skin Cancer achieves 44.8% recall and 58.6% recall in the weighted configuration, demonstrating high clinical utility for malignant triage. (4) The primary off-diagonal confusions manifest between clinically confluent conditions: Atopic Dermatitis, Eczema, and Psoriasis. In clinical practice, even experienced dermatologists frequently require histological biopsy to differentiate these scaling erythematous plaques.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4.8 Candidate Model Comparison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During model experimentation, multiple architectural checkpoints were trained and benchmarked on the test dataset. Table 4.2 presents a comparative evaluation of the candidate models.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Table 4.2: Performance comparison across experimental model candidates.</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2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Model Candidate</w:t>
            </w:r>
          </w:p>
        </w:tc>
        <w:tc>
          <w:tcPr>
            <w:tcW w:w="2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Architecture &amp; Training Regime</w:t>
            </w:r>
          </w:p>
        </w:tc>
        <w:tc>
          <w:tcPr>
            <w:tcW w:w="11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Test Loss</w:t>
            </w:r>
          </w:p>
        </w:tc>
        <w:tc>
          <w:tcPr>
            <w:tcW w:w="1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Test Accuracy</w:t>
            </w:r>
          </w:p>
        </w:tc>
        <w:tc>
          <w:tcPr>
            <w:tcW w:w="1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Top-3 Accuracy</w:t>
            </w:r>
          </w:p>
        </w:tc>
        <w:tc>
          <w:tcPr>
            <w:tcW w:w="1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Clinical Assessment</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skin_disease_stage1.keras</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Frozen MobileNetV2 (10 epochs, lr=1e-4)</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2.6842</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28.14%</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54.80%</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Good low-level baseline; lacks fine-grained lesion tuning</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skin_disease_finetuned.keras</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Stage 2 Fine-Tuned (Top 30 layers, lr=1e-5)</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2.2150</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34.53%</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63.20%</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Optimal balance of overall accuracy and loss minimization</w:t>
            </w:r>
          </w:p>
        </w:tc>
      </w:tr>
      <w:tr>
        <w:tc>
          <w:tcPr>
            <w:tcW w:w="2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skin_disease_weighted.keras</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Stage 2 with Inverse-Frequency Class Weights</w:t>
            </w:r>
          </w:p>
        </w:tc>
        <w:tc>
          <w:tcPr>
            <w:tcW w:w="11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2.2905</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33.46%</w:t>
            </w:r>
          </w:p>
        </w:tc>
        <w:tc>
          <w:tcPr>
            <w:tcW w:w="1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61.80%</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Superior recall on minority classes (e.g. Hair Loss 88.3%, Melanoma 58.6%)</w:t>
            </w:r>
          </w:p>
        </w:tc>
      </w:tr>
      <w:tr>
        <w:tc>
          <w:tcPr>
            <w:tcW w:w="2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skin_disease_stage2_retrained.keras</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Fine-Tuned with Extended Epochs &amp; Augmentation</w:t>
            </w:r>
          </w:p>
        </w:tc>
        <w:tc>
          <w:tcPr>
            <w:tcW w:w="11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2.1980</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35.12%</w:t>
            </w:r>
          </w:p>
        </w:tc>
        <w:tc>
          <w:tcPr>
            <w:tcW w:w="1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64.10%</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High generalizability; deployed in production pipeline</w:t>
            </w:r>
          </w:p>
        </w:tc>
      </w:tr>
    </w:tbl>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5: CLINICAL HEALTHCARE RECOMMENDATION SYSTEM</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5.1 Architecture of the Recommendation Engine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Automated disease classification without actionable clinical context provides limited utility to a layperson and can exacerbate health anxiety. SkinCare AI bridges the critical gap between raw computer vision inference and practical healthcare assistance via a dedicated clinical recommendation knowledge base (recommendations.py). The engine maps the predicted categorical label to an evidence-based medical advisory profile encompassing seven vital domains: (1) Clinical Definition &amp; Pathophysiology: A clear, scientifically accurate explanation of the underlying condition; (2) Etiology &amp; Root Causes: Microbial pathogens, genetic predispositions, immune dysregulation, or environmental triggers; (3) Preventative Strategies: Proactive measures to avert recurrences or primary outbreaks; (4) Daily Skincare Routine: Non-pharmacological home care, cleansing, barrier repair, and hygiene practices; (5) Medical &amp; Pharmacological Treatment Pathways: Standard-of-care topical agents, oral prescriptions, and procedural therapies; (6) Dietary &amp; Lifestyle Considerations: Food triggers, anti-inflammatory dietary recommendations, and environmental factors; (7) Clinical Urgency &amp; Referral Protocol: Clear stratification of whether the presentation warrants immediate emergency intervention, prompt dermatological consultation within days, or routine outpatient scheduling.</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5.2 Comprehensive Disease-Specific Clinical Guidance</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recommendation engine embeds clinically verified profiles for all 23 diagnostic categories. Below are detailed clinical profiles for key conditions representing malignant, inflammatory, fungal, bacterial, and viral categories:</w:t>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Acne and Rosacea Photos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Acne vulgaris is a chronic inflammatory disorder of the pilosebaceous units, whereas rosacea is a vascular/inflammatory facial condition causing persistent erythema and telangiectasia.</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Excess sebum (oil) production driven by hormonal fluctuations (androgens).; Clogged pores from dead skin cells (hyperkeratinization) and Cutibacterium acnes bacteria proliferation.; Rosacea triggers: Dysregulated neurovascular control, Demodex mites, heat, ultraviolet radiation, and spicy foods.; Genetics, cosmetic irritants, and friction from tight masks or clothing.</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Cleanse gently twice daily with a non-stripping, pH-balanced cleanser; avoid harsh scrubs.; Select only non-comedogenic and oil-free moisturizers, sunscreens, and cosmetics.; Never squeeze, pop, or pick pimples to prevent secondary scarring and deep cysts.; For rosacea, identify and avoid personal flare triggers (extreme hot/cold temperatures, alcohol, spicy foods).; Wear broad-spectrum daily SPF 30+ mineral sunscreen (zinc oxide or titanium dioxide are gentle for rosacea).</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Wash your face gently twice daily with lukewarm water and a mild non-foaming or foaming cleanser.; Use lightweight, oil-free hydrators containing hyaluronic acid, ceramides, or niacinamide.; Avoid hot water, washcloth scrubbing, and alcohol-based toners or astringents.; Change pillowcases frequently and disinfect phone screens regularly.</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Acne is typically managed with topical retinoids, benzoyl peroxide, azelaic acid, salicylic acid, and in moderate-to-severe cases, oral antibiotics or isotretinoin under dermatological supervision. Rosacea responds to topical ivermectin, metronidazole, azelaic acid, or oral doxycycline. Consult a dermatologist for a tailored prescription regimen.</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Evidence shows high-glycemic-load diets (sugary beverages, refined carbs) and skim dairy may exacerbate acne in some individuals. For rosacea, hot beverages, spicy foods, and alcohol often trigger immediate facial flushing. Maintain a balanced, nutrient-dense diet rich in omega-3 fatty acids and antioxidants.</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Consult a clinician promptly for deep painful cystic nodules, spreading inflammation, risk of permanent scarring, or ocular symptoms (red, gritty, painful eyes, which can indicate ocular rosacea).</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Actinic Keratosis Basal Cell Carcinoma and other Malignant Lesions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Actinic keratosis (AK) is a rough precancerous sun-damaged lesion that can progress to squamous cell carcinoma. Basal cell carcinoma (BCC) is the most common form of skin cancer, arising from the basal layer of the epidermis.</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Cumulative lifetime exposure to ultraviolet (UV) radiation from sunlight or artificial tanning beds.; DNA mutations (e.g., TP53 gene damage) caused by chronic UV radiation in keratinocytes.; Fair skin, light hair, light eyes, tendency to burn easily, and older age.; Immunosuppression from organ transplantation or immunosuppressive medications.</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Strict daily broad-spectrum sun protection with SPF 50+ sunscreen, reapplying every 2 hours outdoors.; Wear UV-protective clothing, wide-brimmed hats, and UV-blocking sunglasses.; Avoid peak sun hours (10:00 AM to 4:00 PM) and seek shade whenever possible.; Completely avoid indoor tanning beds and sunlamps.; Perform monthly full-body skin self-checks using a mirror to detect any new, changing, or non-healing lesions.; Attend annual professional total-body skin exams with a board-certified dermatologist.</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Protect the lesion from trauma, scratches, and friction from clothing.; Do not attempt to scrape, peel, freeze, burn, or treat the lesion with unproven home remedies.; Photograph the spot with a measuring tape beside it to track any changes in size, border, or elevation.</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Precancerous AKs are treated with cryotherapy (liquid nitrogen), topical 5-fluorouracil (5-FU), imiquimod, or photodynamic therapy (PDT). Basal cell carcinomas are treated by surgical excision, Mohs micrographic surgery, curettage and electrodesiccation, or topical agents for superficial subtypes. Histological evaluation is mandatory.</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No specific diet replaces oncological evaluation. A diet rich in Mediterranean-style foods, antioxidants, and nicotinamide (vitamin B3, under medical guidance) may help support skin repair mechanisms.</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Urgent: Seek dermatological consultation for any pearly nodule with visible telangiectasia, firm red nodule, sore that does not heal within 3-4 weeks, or recurring crusting/bleeding growth.</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Eczema Photos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Eczema refers to a spectrum of itchy, erythematous inflammatory dermatitis conditions including nummular eczema, dyshidrotic eczema, and asteatotic eczema, manifesting with dry, scaling, or vesiculated skin.</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Defective epidermal barrier allowing excessive transepidermal water loss (TEWL) and irritant penetration.; Environmental triggers: soaps, detergents, chemicals, cold winds, dry indoor heat, and sweating.; Frequent handwashing or water immersion without immediate re-moisturization.; Stress, psychological anxiety, and immune hyperreactivity.</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Apply thick emollient ointments or ceramide-rich creams repeatedly throughout the day.; Wear protective nitrile or cotton-lined gloves during housework, dishwashing, or chemical handling.; Bathe with lukewarm water rather than hot showers; use soap-free syndet cleansing bars.; Use fragrance-free laundry detergents and avoid fabric softeners with strong perfumes.; Maintain ambient indoor air humidity using a room humidifier during cold seasons.</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Apply moisturizers immediately after patting skin lightly dry with a soft towel.; Apply cool, wet compresses to soothe intense itchy patches without mechanical scratching.; Keep nails smooth and short to prevent skin excoriation and secondary bacterial infections.; Wear loose, soft 100% cotton clothing.</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Treated topically with mid-to-high potency topical corticosteroids during acute exacerbations, transitioning to topical calcineurin inhibitors or crisaborole for maintenance. Phototherapy (narrowband UVB) is effective for generalized recalcitrant eczema.</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Food restrictions rarely resolve generalized adult eczema unless clinical prick or patch testing proves an allergy. Avoid excessive alcohol and dehydrating beverages; consume a diet high in anti-inflammatory omega-3 fatty acids.</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Consult a physician if eczema disrupts daily activities or sleep, or if the skin develops oozing crusts, pustules, fever, or severe pain indicating secondary bacterial or viral infection.</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Melanoma Skin Cancer Nevi and Moles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Melanoma is an aggressive malignancy of melanocytes capable of rapid lymphovascular metastasis. Benign melanocytic nevi (moles) and dysplastic nevi are benign or atypical proliferations of melanocytes requiring close clinical surveillance.</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Intermittent intense ultraviolet (UV) radiation exposure and severe blistering sunburns, particularly during childhood.; Oncogenic genetic mutations (e.g., BRAF V600E, NRAS, CDKN2A) driving uncontrolled melanocyte proliferation.; High total nevus count (more than 50 moles) or presence of atypical/dysplastic nevi.; Phenotype: Fair skin (Fitzpatrick types I and II), red or blond hair, light eye color, and inability to tan.; Personal or family history of melanoma in a first-degree relative.</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Apply broad-spectrum water-resistant SPF 50+ sunscreen every 2 hours when outdoors.; Never use indoor UV tanning beds; indoor tanning increases melanoma risk by up to 75%.; Perform regular monthly self-examinations using the ABCDE criteria:;   • A: Asymmetry (one half does not match the other).;   • B: Border irregularity (scalloped, ragged, or notched edges).;   • C: Color variation (shades of brown, black, white, red, or blue).;   • D: Diameter greater than 6 mm (pencil eraser size) or changing.;   • E: Evolving (any change in size, shape, elevation, bleeding, or itching).; Schedule regular annual total-body skin exams with dermoscopy performed by a dermatologist.</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Never attempt to cut, scrape, burn, freeze, or chemically remove a suspicious mole at home.; Protect moles from severe sunburns, repeated clothing friction, and shaving trauma.; Take close-up baseline photos of moles with a ruler for objective monitoring.</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Suspicious lesions must undergo full-thickness excisional biopsy with narrow margins for histopathological staging. Confirmed melanoma is treated by wide local excision with defined margins, sentinel lymph node biopsy (SLNB) when indicated, and targeted therapies (BRAF/MEK inhibitors) or immune checkpoint inhibitors (PD-1/CTLA-4 blockers) for advanced stages.</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Dietary modifications do not replace surgical oncology. Maintain a wholesome, balanced diet rich in antioxidants and fresh produce to support general immune and cellular health.</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High Priority: Any mole demonstrating ABCDE changes, rapid growth, spontaneous bleeding, oozing, ulceration, new pigment streaks under a fingernail, or an 'ugly duckling' lesion distinct from all other moles requires immediate dermatological evaluation.</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Nail Fungus and other Nail Disease</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Onychomycosis is a fungal infection of the nail plate and bed (primarily caused by dermatophytes), causing discoloration, subungual hyperkeratosis, and onycholysis. Other nail conditions include nail psoriasis, paronychia, and lichen planus.</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Infection by dermatophyte fungi (Trichophyton rubrum, Trichophyton mentagrophytes), yeasts (Candida), or non-dermatophyte molds.; Warm, dark, moist shoe environments promoting fungal spore proliferation.; Spread from untreated athlete's foot (tinea pedis) to adjacent toenails.; Nail trauma, tight footwear, microvascular disease, diabetes mellitus, and older age.; Systemic or inflammatory diseases like psoriasis producing nail pitting and oil drop discoloration.</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Keep feet clean and completely dry, particularly between the toes after showering.; Wear breathable footwear and change moisture-wicking socks daily or after exercise.; Never walk barefoot in communal public wet areas (gym locker rooms, swimming pools, shared showers).; Disinfect clippers and nail tools before each use; do not share nail care instruments with family members.; Treat athlete's foot (tinea pedis) immediately to prevent fungal migration to the nail bed.; Choose properly fitted shoes that do not pinch or exert pressure on the toenails.</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Trim nails straight across and gently file down thickened nail edges.; Avoid wearing occlusive artificial acrylic nails or dense gel polishes over fungal infections.; Dust antifungal powder or spray inside shoes periodically.; Wash athletic footwear and allow shoes to air out thoroughly between uses.</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Diagnosis should be confirmed via KOH preparation, fungal culture, or nail clipping PCR/PAS stain. Mild superficial onychomycosis can be treated with topical lacquers (ciclopirox, tavaborole, efinaconazole) for 48 weeks. Moderate to severe disease requires oral antifungals (terbinafine, itraconazole) with liver enzyme monitoring.</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A balanced diet containing protein, biotin, zinc, and iron supports overall keratin nail plate strength. Dietary changes alone do not eradicate fungal organisms in the nail bed.</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Consult a physician, especially if you have diabetes or peripheral vascular disease, as minor nail infections can lead to serious bacterial cellulitis or foot ulcers. Rapidly darkening nail bands also require evaluation to rule out subungual melanoma.</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Psoriasis pictures Lichen Planus and related diseases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Chronic papulosquamous dermatoses including plaque psoriasis (autoimmune hyperproliferative keratinization driven by the IL-23/IL-17 axis) and lichen planus (T-cell-mediated inflammatory disorder affecting skin, nails, and mucous membranes).</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Genetic immune system dysregulation involving Th17/IL-23/IL-17 immune signaling cascades in psoriasis.; Koebner phenomenon: development of psoriatic lesions at sites of mechanical skin trauma, cuts, or friction.; Triggers: Streptococcal infections (guttate psoriasis), severe psychological stress, cold weather, and medications (beta-blockers, lithium).; Lichen planus triggers: Autoimmune response to basal keratinocytes, associated with Hepatitis C infection, dental amalgams, or certain drugs.</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Protect skin from cuts, scratches, sunburns, and harsh scrubbing to prevent Koebnerization.; Manage systemic stress through mind-body techniques, adequate rest, and routine exercise.; Keep skin thoroughly moisturized to prevent painful cracking and scaling of plaques.; Limit alcohol intake and avoid tobacco smoking, which significantly increase psoriasis severity.; Promptly treat throat and respiratory infections that can trigger guttate flares.</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Apply thick emollient ointments (petrolatum, ceramides, salicylic acid preparations) daily to soften scale.; Take short warm baths with bath oils or Epsom salts to gently loosen thick silver scales.; Do not aggressively pick or scrape off scales to avoid pinpoint bleeding (Auspitz sign).; Wear loose, soft clothing that does not generate friction on elbows, knees, or the scalp.</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Psoriasis: Topical corticosteroids, vitamin D analogs (calcipotriene), calcineurin inhibitors, tazarotene, narrowband UVB phototherapy, oral systemics (methotrexate, apremilast), and targeted biologics (IL-17, IL-23, and TNF-alpha inhibitors). Lichen planus: Topical or systemic corticosteroids, oral retinoids (acitretin), and phototherapy.</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Follow a nutrient-dense anti-inflammatory Mediterranean diet. Moderate weight loss in overweight individuals has been shown to substantially reduce psoriasis disease activity and improve response to biologic medications. Avoid excessive alcohol.</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Seek prompt medical care for widespread generalized redness covering the entire body (erythrodermic psoriasis), appearance of numerous tiny sterile pustules on red skin (generalized pustular psoriasis, an emergency), or persistent joint pain and morning stiffness (psoriatic arthritis).</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Tinea Ringworm Candidiasis and other Fungal Infections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Superficial cutaneous fungal infections including dermatophytosis (Tinea corporis/ringworm, Tinea cruris/jock itch, Tinea pedis/athlete's foot), candidiasis (Candida albicans in body folds), and pityriasis versicolor (Malassezia).</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Dermatophyte fungi (Trichophyton, Microsporum, Epidermophyton) feeding on dead keratin in skin and hair.; Overgrowth of opportunistic yeast (Candida albicans) in warm, moist, macerated skin folds.; Warm, humid environmental conditions and prolonged sweating.; Direct contact with infected individuals, household pets (cats/dogs with ringworm), or gym equipment.; Immune compromise, broad-spectrum antibiotic use, or corticosteroid overuse.</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Keep all skin folds (groin, axillae, under breasts) and feet clean, dry, and well-ventilated.; Change out of sweaty workout clothes, gym attire, and damp socks immediately after physical activity.; Never share personal towels, clothing, combs, footwear, or bedsheets.; Wear shower sandals in communal locker rooms, public showers, and pool areas.; Take domestic pets to the veterinarian if they exhibit circular bald patches or scaly skin.; Dry thoroughly with a clean towel after bathing, drying the unaffected areas before infected areas.</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Wash affected skin gently with mild soap and pat thoroughly dry with a dedicated towel.; Wear loose, breathable 100% cotton clothing to prevent moisture buildup in intertriginous areas.; Do not apply hydrocortisone or steroid creams to fungal infections (steroids mask symptoms and feed fungal growth — 'tinea incognito').; Wash contaminated clothing and gym gear in hot water.</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Localized dermatophytosis and candidiasis respond well to topical antifungals (terbinafine, clotrimazole, miconazole, ketoconazole) applied twice daily, extending 1-2 cm beyond the active border for at least 2-4 weeks. Extensive tinea, scalp tinea (tinea capitis), or recalcitrant cases require oral antifungals (terbinafine, itraconazole, fluconazole) under medical supervision.</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Limit excessive refined sugar and alcohol intake, particularly for recurring candidiasis. Maintain adequate hydration and a balanced, whole-food diet to support natural immune defenses.</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Seek medical care if the rash spreads across large body areas, does not improve after 2 weeks of OTC antifungal therapy, involves the scalp or beard area, or develops secondary bacterial infection (pus, increasing heat, spreading redness, fever).</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Cellulitis Impetigo and other Bacterial Infections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Bacterial skin infections include superficial impetigo (contagious epidermal sores with honey-colored crusts) and deep spreading cellulitis (dermal and subcutaneous infection typically caused by Streptococcus or Staphylococcus).</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Bacterial invasion by Staphylococcus aureus (including MRSA) or Streptococcus pyogenes.; Break in the epidermal barrier: cuts, abrasions, insect bites, ulcers, fungal toe-web infections (tinea pedis), or surgical wounds.; Venous insufficiency, chronic lymphedema, diabetes mellitus, or impaired immune status.; Direct contact with infected individuals or contaminated surfaces in impetigo.</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Promptly clean all minor cuts, scrapes, and abrasions with soap and water, applying petroleum jelly and clean bandages.; Treat underlying fungal skin conditions like athlete's foot to eliminate entry portals for bacteria.; Practice frequent, thorough handwashing with soap and warm water.; Do not share personal towels, bed linens, clothing, razors, or athletic gear.; Keep fingernails trimmed short to prevent self-inoculation through scratching.</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Elevate the affected limb if cellulitis is present on a leg or arm to reduce swelling.; Wash hands thoroughly before and after touching any dressings or infected skin areas.; Mark the outer boundary of skin redness with a soft surgical pen to track whether the erythema is advancing.; Cover impetigo sores with sterile non-stick dressings to stop transmission to others.</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Impetigo is treated with topical antibiotics (e.g., mupirocin, retapamulin) or oral antibiotics for extensive disease. Cellulitis requires prompt oral or intravenous systemic antibiotics (e.g., cephalexin, amoxicillin-clavulanate, clindamycin). Complete the entire antibiotic course exactly as prescribed even if symptoms improve early.</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Stay well hydrated and maintain a balanced, protein-rich diet to support tissue repair and immune function. No specific food cures bacterial skin infections.</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Seek emergency medical evaluation for rapidly spreading redness, severe throbbing pain, red streaks spreading toward the heart, high fever, chills, confusion, or bullae/blisters over red swollen skin (possible necrotizing fasciitis).</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Herpes HPV and other STDs Photos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Infectious dermatological and anogenital manifestations caused by Herpes Simplex Virus (HSV-1, HSV-2), Human Papillomavirus (HPV), Treponema pallidum (Syphilis), and related viral/bacterial sexually transmitted pathogens.</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Direct mucosal or cutaneous transmission of HSV-1/HSV-2 through kissing, sexual intimacy, or viral shedding.; Infection with Human Papillomavirus strains causing genital warts (condyloma acuminata) or cutaneous verrucae.; Bacterial transmission of Treponema pallidum (causing primary painless chancre or secondary papulosquamous syphilis rash).; Microscopic microtrauma in mucosal membranes during contact facilitating pathogen entry.</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Practice safer sex by using barrier methods (condoms, dental dams) consistently and correctly.; Get vaccinated against HPV (Gardasil 9) to protect against oncogenic and wart-causing HPV strains.; Avoid sexual contact during active outbreaks, prodromal tingling, or when visible blisters or sores are present.; Do not touch or scratch lesions to prevent autoinoculation to other body sites (including fingers and eyes).; Undergo routine screening for sexually transmitted infections when sexually active with new or multiple partners.</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Keep the affected area clean and dry; wash hands thoroughly after touching affected skin.; Wear loose-fitting, breathable cotton underwear to minimize friction and moisture accumulation.; Do not pick, pop, or apply harsh unverified acids to sensitive genital or mucosal lesions.; Use cool compresses or sitz baths to alleviate localized discomfort.</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Herpes: Oral antiviral therapy (valacyclovir, acyclovir, famciclovir) for episodic outbreaks or daily suppressive therapy. HPV/Genital warts: In-clinic cryotherapy, podophyllotoxin, imiquimod, or surgical excision. Syphilis: Intramuscular penicillin G benzathine. Prescription therapies must be guided by diagnostic serology and PCR testing.</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Maintain an active, healthy immune system with wholesome foods, fruits, vegetables, and restorative sleep. Some patients with HSV monitor dietary L-arginine vs. L-lysine balance, though evidence is variable. Avoid alcohol during acute outbreaks.</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Seek urgent confidential medical care for any new genital sore, painless genital ulcer, eye involvement (corneal pain or redness from HSV keratitis), difficulty urinating, or rash on palms and soles accompanied by fever and swollen lymph nodes.</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3"/>
        <w:jc w:val="left"/>
        <w:spacing w:line="360" w:lineRule="auto" w:before="140" w:after="60"/>
        <w:rPr>
          <w:rFonts w:ascii="Times New Roman" w:hAnsi="Times New Roman" w:cs="Times New Roman"/>
          <w:sz w:val="24"/>
          <w:szCs w:val="24"/>
          <w:b/>
        </w:rPr>
      </w:pPr>
      <w:r>
        <w:rPr>
          <w:rFonts w:ascii="Times New Roman" w:hAnsi="Times New Roman" w:cs="Times New Roman"/>
          <w:sz w:val="24"/>
          <w:szCs w:val="24"/>
          <w:b/>
        </w:rPr>
        <w:t xml:space="preserve">Clinical Guidance: Warts Molluscum and other Viral Infections</w:t>
      </w:r>
    </w:p>
    <w:p>
      <w:pPr>
        <w:jc w:val="both"/>
        <w:spacing w:line="360" w:lineRule="auto" w:before="0" w:after="120"/>
      </w:pPr>
      <w:r>
        <w:rPr>
          <w:rFonts w:ascii="Times New Roman" w:hAnsi="Times New Roman" w:cs="Times New Roman"/>
          <w:sz w:val="24"/>
          <w:szCs w:val="24"/>
          <w:b/>
        </w:rPr>
        <w:t xml:space="preserve">Description: </w:t>
      </w:r>
      <w:r>
        <w:rPr>
          <w:rFonts w:ascii="Times New Roman" w:hAnsi="Times New Roman" w:cs="Times New Roman"/>
          <w:sz w:val="24"/>
          <w:szCs w:val="24"/>
        </w:rPr>
        <w:t xml:space="preserve">Benign epidermal viral infections including verruca vulgaris (common warts), plantar warts, and flat warts caused by Human Papillomavirus (HPV), as well as Molluscum Contagiosum caused by the Molluscipoxvirus.</w:t>
      </w:r>
    </w:p>
    <w:p>
      <w:pPr>
        <w:jc w:val="both"/>
        <w:spacing w:line="360" w:lineRule="auto" w:before="0" w:after="120"/>
      </w:pPr>
      <w:r>
        <w:rPr>
          <w:rFonts w:ascii="Times New Roman" w:hAnsi="Times New Roman" w:cs="Times New Roman"/>
          <w:sz w:val="24"/>
          <w:szCs w:val="24"/>
          <w:b/>
        </w:rPr>
        <w:t xml:space="preserve">Etiology &amp; Causes: </w:t>
      </w:r>
      <w:r>
        <w:rPr>
          <w:rFonts w:ascii="Times New Roman" w:hAnsi="Times New Roman" w:cs="Times New Roman"/>
          <w:sz w:val="24"/>
          <w:szCs w:val="24"/>
        </w:rPr>
        <w:t xml:space="preserve">Infection of the basal epidermal layer by Human Papillomavirus (HPV types 1, 2, 4, 27, 57).; Infection by Molluscum Contagiosum Virus (MCV), a member of the Poxviridae family, causing umbilicated pearly papules.; Direct person-to-person skin contact or sexual transmission.; Indirect fomite transmission via gym mats, shared towels, locker room floors, toys, or swimming pools.; Autoinoculation: scratching, picking, nail biting, or shaving spreads the virus to adjacent skin.</w:t>
      </w:r>
    </w:p>
    <w:p>
      <w:pPr>
        <w:jc w:val="both"/>
        <w:spacing w:line="360" w:lineRule="auto" w:before="0" w:after="120"/>
      </w:pPr>
      <w:r>
        <w:rPr>
          <w:rFonts w:ascii="Times New Roman" w:hAnsi="Times New Roman" w:cs="Times New Roman"/>
          <w:sz w:val="24"/>
          <w:szCs w:val="24"/>
          <w:b/>
        </w:rPr>
        <w:t xml:space="preserve">Prevention Guidelines: </w:t>
      </w:r>
      <w:r>
        <w:rPr>
          <w:rFonts w:ascii="Times New Roman" w:hAnsi="Times New Roman" w:cs="Times New Roman"/>
          <w:sz w:val="24"/>
          <w:szCs w:val="24"/>
        </w:rPr>
        <w:t xml:space="preserve">Do not pick, scratch, bite, or shave over warts or molluscum bumps to prevent autoinoculation.; Wear waterproof sandals or flip-flops in public showers, locker rooms, and around communal pool decks.; Never share towels, washcloths, razors, nail clippers, or clothing with an infected person.; Wash hands thoroughly after touching or treating warts.; Cover active lesions with waterproof bandages or clothing during sports, swimming, and physical contact.</w:t>
      </w:r>
    </w:p>
    <w:p>
      <w:pPr>
        <w:jc w:val="both"/>
        <w:spacing w:line="360" w:lineRule="auto" w:before="0" w:after="120"/>
      </w:pPr>
      <w:r>
        <w:rPr>
          <w:rFonts w:ascii="Times New Roman" w:hAnsi="Times New Roman" w:cs="Times New Roman"/>
          <w:sz w:val="24"/>
          <w:szCs w:val="24"/>
          <w:b/>
        </w:rPr>
        <w:t xml:space="preserve">Daily Skincare Routine: </w:t>
      </w:r>
      <w:r>
        <w:rPr>
          <w:rFonts w:ascii="Times New Roman" w:hAnsi="Times New Roman" w:cs="Times New Roman"/>
          <w:sz w:val="24"/>
          <w:szCs w:val="24"/>
        </w:rPr>
        <w:t xml:space="preserve">Keep the affected skin clean and dry; do not share bathwater with siblings in childhood molluscum.; Avoid walking barefoot on home carpets and hardwood floors if plantar warts are present.; Do not attempt aggressive self-surgery with blades, needles, or nail clippers.; Cover warts with medical tape or bandages to reduce the urge to pick and limit viral shedding.</w:t>
      </w:r>
    </w:p>
    <w:p>
      <w:pPr>
        <w:jc w:val="both"/>
        <w:spacing w:line="360" w:lineRule="auto" w:before="0" w:after="120"/>
      </w:pPr>
      <w:r>
        <w:rPr>
          <w:rFonts w:ascii="Times New Roman" w:hAnsi="Times New Roman" w:cs="Times New Roman"/>
          <w:sz w:val="24"/>
          <w:szCs w:val="24"/>
          <w:b/>
        </w:rPr>
        <w:t xml:space="preserve">Medical Treatment Options: </w:t>
      </w:r>
      <w:r>
        <w:rPr>
          <w:rFonts w:ascii="Times New Roman" w:hAnsi="Times New Roman" w:cs="Times New Roman"/>
          <w:sz w:val="24"/>
          <w:szCs w:val="24"/>
        </w:rPr>
        <w:t xml:space="preserve">Warts: Topical salicylic acid with gentle debridement, in-clinic cryotherapy (liquid nitrogen), cantharidin, intralesional Candida antigen, or pulsed dye laser. Molluscum: Often self-resolves over 6-18 months in healthy children; active therapies include topical cantharidin, cryotherapy, curettage, or topical potassium hydroxide.</w:t>
      </w:r>
    </w:p>
    <w:p>
      <w:pPr>
        <w:jc w:val="both"/>
        <w:spacing w:line="360" w:lineRule="auto" w:before="0" w:after="120"/>
      </w:pPr>
      <w:r>
        <w:rPr>
          <w:rFonts w:ascii="Times New Roman" w:hAnsi="Times New Roman" w:cs="Times New Roman"/>
          <w:sz w:val="24"/>
          <w:szCs w:val="24"/>
          <w:b/>
        </w:rPr>
        <w:t xml:space="preserve">Dietary &amp; Nutritional Notes: </w:t>
      </w:r>
      <w:r>
        <w:rPr>
          <w:rFonts w:ascii="Times New Roman" w:hAnsi="Times New Roman" w:cs="Times New Roman"/>
          <w:sz w:val="24"/>
          <w:szCs w:val="24"/>
        </w:rPr>
        <w:t xml:space="preserve">A balanced, nutrient-rich diet supports natural cell-mediated immunity, which is ultimately responsible for clearing the viral infection. No specific food cures viral warts directly.</w:t>
      </w:r>
    </w:p>
    <w:p>
      <w:pPr>
        <w:jc w:val="both"/>
        <w:spacing w:line="360" w:lineRule="auto" w:before="0" w:after="120"/>
      </w:pPr>
      <w:r>
        <w:rPr>
          <w:rFonts w:ascii="Times New Roman" w:hAnsi="Times New Roman" w:cs="Times New Roman"/>
          <w:sz w:val="24"/>
          <w:szCs w:val="24"/>
          <w:b/>
          <w:color w:val="B91C1C"/>
        </w:rPr>
        <w:t xml:space="preserve">Clinical Urgency: </w:t>
      </w:r>
      <w:r>
        <w:rPr>
          <w:rFonts w:ascii="Times New Roman" w:hAnsi="Times New Roman" w:cs="Times New Roman"/>
          <w:sz w:val="24"/>
          <w:szCs w:val="24"/>
        </w:rPr>
        <w:t xml:space="preserve">Consult a dermatologist if warts are painful, interfere with walking or daily function, bleed easily, multiply rapidly, occur on the genital area, or appear in an immunocompromised individual.</w:t>
      </w:r>
    </w:p>
    <w:p>
      <w:pPr>
        <w:pStyle w:val="Normal"/>
        <w:jc w:val="both"/>
        <w:spacing w:line="360" w:lineRule="auto" w:before="40" w:after="80"/>
        <w:rPr>
          <w:rFonts w:ascii="Times New Roman" w:hAnsi="Times New Roman" w:cs="Times New Roman"/>
          <w:sz w:val="24"/>
          <w:szCs w:val="24"/>
        </w:rPr>
      </w:pPr>
      <w:r>
        <w:rPr>
          <w:rFonts w:ascii="Times New Roman" w:hAnsi="Times New Roman" w:cs="Times New Roman"/>
          <w:sz w:val="24"/>
          <w:szCs w:val="24"/>
        </w:rPr>
        <w:t xml:space="preserve"/>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5.3 Clinical Safety Disclaimer and Ethical Guidelines</w:t>
      </w:r>
    </w:p>
    <w:p>
      <w:pPr>
        <w:pStyle w:val="Normal"/>
        <w:jc w:val="both"/>
        <w:spacing w:line="360" w:lineRule="auto" w:before="100" w:after="140"/>
        <w:rPr>
          <w:rFonts w:ascii="Times New Roman" w:hAnsi="Times New Roman" w:cs="Times New Roman"/>
          <w:sz w:val="22"/>
          <w:szCs w:val="22"/>
          <w:b/>
          <w:i/>
        </w:rPr>
      </w:pPr>
      <w:r>
        <w:rPr>
          <w:rFonts w:ascii="Times New Roman" w:hAnsi="Times New Roman" w:cs="Times New Roman"/>
          <w:sz w:val="22"/>
          <w:szCs w:val="22"/>
          <w:b/>
          <w:i/>
        </w:rPr>
        <w:t xml:space="preserve">IMPORTANT MEDICAL DISCLAIMER: SkinCare AI is engineered as an educational screening and clinical decision-support tool. It does NOT constitute a binding clinical diagnosis, nor does it prescribe medical regimens. Dermatological assessment requires physical palpation, dermoscopy, and often histopathological biopsy. Patients using the system are explicitly instructed to consult licensed medical professionals and board-certified dermatologists before initiating any pharmaceutical or surgical intervention.</w:t>
      </w:r>
    </w:p>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6: MODEL DEPLOYMENT AND USER INTERFACE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6.1 Flask Web Application Framework</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system is deployed as a production-ready web application using Python's Flask WSGI micro-framework (app.py). Flask provides lightweight execution, native integration with TensorFlow and SQLite, and fine-grained control over request handling. The application architecture coordinates image ingestion, security sanitization, AI inference, recommendation synthesis, and database logging.</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6.2 Relational Database Schema</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Persistent data storage is handled by an SQLite relational database (backend/database/skincare.db). The relational schema consists of two core tables engineered for user security and diagnostic traceability:</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1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Table Name</w:t>
            </w:r>
          </w:p>
        </w:tc>
        <w:tc>
          <w:tcPr>
            <w:tcW w:w="18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Column Field</w:t>
            </w:r>
          </w:p>
        </w:tc>
        <w:tc>
          <w:tcPr>
            <w:tcW w:w="1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Data Type</w:t>
            </w:r>
          </w:p>
        </w:tc>
        <w:tc>
          <w:tcPr>
            <w:tcW w:w="24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Constraints &amp; Key</w:t>
            </w:r>
          </w:p>
        </w:tc>
        <w:tc>
          <w:tcPr>
            <w:tcW w:w="25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Functional Description</w:t>
            </w:r>
          </w:p>
        </w:tc>
      </w:tr>
      <w:tr>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users</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id</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INTEGER</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PRIMARY KEY AUTOINCREMENT</w:t>
            </w:r>
          </w:p>
        </w:tc>
        <w:tc>
          <w:tcPr>
            <w:tcW w:w="2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Unique internal user identifier</w:t>
            </w:r>
          </w:p>
        </w:tc>
      </w:tr>
      <w:tr>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users</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name</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TEXT</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NOT NULL</w:t>
            </w:r>
          </w:p>
        </w:tc>
        <w:tc>
          <w:tcPr>
            <w:tcW w:w="2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Full display name of patient / practitioner</w:t>
            </w:r>
          </w:p>
        </w:tc>
      </w:tr>
      <w:tr>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users</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email</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TEXT</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UNIQUE NOT NULL</w:t>
            </w:r>
          </w:p>
        </w:tc>
        <w:tc>
          <w:tcPr>
            <w:tcW w:w="2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Registered email address for login credentials</w:t>
            </w:r>
          </w:p>
        </w:tc>
      </w:tr>
      <w:tr>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users</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password_hash</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TEXT</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NOT NULL</w:t>
            </w:r>
          </w:p>
        </w:tc>
        <w:tc>
          <w:tcPr>
            <w:tcW w:w="2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Salted PBKDF2-SHA256 password hash</w:t>
            </w:r>
          </w:p>
        </w:tc>
      </w:tr>
      <w:tr>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users</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created_at</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DATETIME</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DEFAULT CURRENT_TIMESTAMP</w:t>
            </w:r>
          </w:p>
        </w:tc>
        <w:tc>
          <w:tcPr>
            <w:tcW w:w="2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Account creation timestamp</w:t>
            </w:r>
          </w:p>
        </w:tc>
      </w:tr>
      <w:tr>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id</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INTEGER</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PRIMARY KEY AUTOINCREMENT</w:t>
            </w:r>
          </w:p>
        </w:tc>
        <w:tc>
          <w:tcPr>
            <w:tcW w:w="2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Unique diagnostic record identifier</w:t>
            </w:r>
          </w:p>
        </w:tc>
      </w:tr>
      <w:tr>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user_id</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INTEGER</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FOREIGN KEY (users.id)</w:t>
            </w:r>
          </w:p>
        </w:tc>
        <w:tc>
          <w:tcPr>
            <w:tcW w:w="2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Reference to the authenticated patient account</w:t>
            </w:r>
          </w:p>
        </w:tc>
      </w:tr>
      <w:tr>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filename</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TEXT</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NOT NULL</w:t>
            </w:r>
          </w:p>
        </w:tc>
        <w:tc>
          <w:tcPr>
            <w:tcW w:w="2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Sanitized image filename on isolated server disk</w:t>
            </w:r>
          </w:p>
        </w:tc>
      </w:tr>
      <w:tr>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predicted_class</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TEXT</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NOT NULL</w:t>
            </w:r>
          </w:p>
        </w:tc>
        <w:tc>
          <w:tcPr>
            <w:tcW w:w="2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Top-1 predicted disease class name</w:t>
            </w:r>
          </w:p>
        </w:tc>
      </w:tr>
      <w:tr>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confidence</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REAL</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NOT NULL</w:t>
            </w:r>
          </w:p>
        </w:tc>
        <w:tc>
          <w:tcPr>
            <w:tcW w:w="2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Top-1 Softmax posterior probability percentage</w:t>
            </w:r>
          </w:p>
        </w:tc>
      </w:tr>
      <w:tr>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top_predictions_json</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TEXT</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NOT NULL</w:t>
            </w:r>
          </w:p>
        </w:tc>
        <w:tc>
          <w:tcPr>
            <w:tcW w:w="2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Serialized JSON string of top-3 differential classes</w:t>
            </w:r>
          </w:p>
        </w:tc>
      </w:tr>
      <w:tr>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recommendations_json</w:t>
            </w:r>
          </w:p>
        </w:tc>
        <w:tc>
          <w:tcPr>
            <w:tcW w:w="1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TEXT</w:t>
            </w:r>
          </w:p>
        </w:tc>
        <w:tc>
          <w:tcPr>
            <w:tcW w:w="24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NOT NULL</w:t>
            </w:r>
          </w:p>
        </w:tc>
        <w:tc>
          <w:tcPr>
            <w:tcW w:w="25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Cached medical guidance object for fast retrieval</w:t>
            </w:r>
          </w:p>
        </w:tc>
      </w:tr>
      <w:tr>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predictions</w:t>
            </w:r>
          </w:p>
        </w:tc>
        <w:tc>
          <w:tcPr>
            <w:tcW w:w="18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created_at</w:t>
            </w:r>
          </w:p>
        </w:tc>
        <w:tc>
          <w:tcPr>
            <w:tcW w:w="1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DATETIME</w:t>
            </w:r>
          </w:p>
        </w:tc>
        <w:tc>
          <w:tcPr>
            <w:tcW w:w="24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DEFAULT CURRENT_TIMESTAMP</w:t>
            </w:r>
          </w:p>
        </w:tc>
        <w:tc>
          <w:tcPr>
            <w:tcW w:w="25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Diagnostic inference timestamp</w:t>
            </w:r>
          </w:p>
        </w:tc>
      </w:tr>
    </w:tbl>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6.3 Application Routes and Workflow</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Flask application defines RESTful routes and authenticated endpoints: 
1. GET / - Modern landing homepage introducing SkinCare AI capabilities and clinical advisory scope. 
2. GET / POST /signup - Patient registration with email uniqueness validation and password hashing. 
3. GET / POST /login - Secure session initiation with password verification via check_password_hash. 
4. GET /logout - Session termination and cookie invalidation. 
5. GET /dashboard - Centralized dashboard displaying total scans, recent diagnostic history, and health tips. 
6. GET / POST /predict - Core prediction interface supporting drag-and-drop image upload, MIME validation, ImageNet non-skin gate check, MobileNetV2 inference, recommendation mapping, and database persistence. 
7. GET /result/&lt;prediction_id&gt; - Detailed diagnostic view with visual confidence meters and expandable care tabs. 
8. GET /history - Interactive historical log displaying previous scans with image thumbnails, date filters, and records. 
9. GET /model_info - Technical transparency portal detailing architectural specs, training metrics, and 23 classes. 
10. GET /profile - Patient account management.</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6.4 Responsive User Interface Design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user interface is designed adhering to contemporary UI/UX best practices: (1) Clean, Clinical Theme: A calming, accessible medical aesthetic featuring balanced slate-blue and teal palettes; (2) Drag-and-Drop File Upload: Interactive dropzone supporting real-time client-side image preview before submission; (3) Top-3 Differential Diagnostic Cards: Rather than displaying a single rigid prediction, the system renders a ranked differential diagnosis bar displaying the top three most probable conditions with confidence percentages, aligning with real-world dermatological clinical practice; (4) Tabbed Care Accordions: Responsive tabbed navigation organizing Causes, Prevention, Daily Care, Medical Treatments, and Food Triggers into digestible sections; (5) Mobile Optimization: Fluid layout scaling effortlessly across smartphones, tablets, and desktop workstations.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6.5 Security and Input Sanitization</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Security measures implemented across the application include: (1) Filename Sanitization: Raw upload filenames are scrubbed using werkzeug.utils.secure_filename and prepended with random UUID hexadecimal prefixes (uuid.uuid4().hex) to eliminate directory traversal attacks and namespace collisions. (2) File Type &amp; Size Verification: File extensions are restricted strictly to {'jpg', 'jpeg', 'png', 'webp', 'bmp'}. Maximum upload size is strictly capped at 10 MB (app.config['MAX_CONTENT_LENGTH'] = 10 * 1024 * 1024). (3) Image File Integrity Validation: Uploaded streams are parsed with Pillow (PIL.Image.open) to ensure legitimate image byte headers, catching truncated files and embedded malicious payloads. (4) Parameterized SQL Execution: All database queries utilize parameterized prepared statements, preventing SQL injection vulnerabilities.</w:t>
      </w:r>
    </w:p>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7: GIT VERSION CONTROL AND PROJECT WORKFLOW</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development of SkinCare AI adhered to structured software engineering methodologies and Git version control principles. The project repository is modularized into distinct directories: (1) /backend/ml: Contains model training scripts (train_model.py, retrain_stage2.py, train_weighted.py), evaluation pipelines (evaluate_model.py), and model comparison utilities (compare_models.py); (2) /backend/models: Houses trained Keras weight files (.keras), classification reports, confusion matrices, and class mapping JSONs; (3) /backend/database: Contains the SQLite database file and relational schema initialization scripts; (4) /templates: Stores semantic Jinja2 HTML templates for all web routes; (5) /static: Contains custom CSS stylesheets (theme.css), JavaScript controllers, and isolated patient upload storage; (6) Root directory: Houses the Flask application controller (app.py), the clinical recommendation engine (recommendations.py), the pre-inference validator (skin_validator.py), and standalone retraining routines (retrain_skin_model.py).</w:t>
      </w:r>
    </w:p>
    <w:tbl>
      <w:tblPr>
        <w:tblW w:w="9500" w:type="dxa"/>
        <w:jc w:val="center"/>
        <w:tblBorders>
          <w:top w:val="single" w:sz="8" w:space="0" w:color="2B5C8F"/>
          <w:left w:val="none"/>
          <w:bottom w:val="single" w:sz="8" w:space="0" w:color="2B5C8F"/>
          <w:right w:val="none"/>
          <w:insideH w:val="single" w:sz="4" w:space="0" w:color="D0D7DE"/>
          <w:insideV w:val="none"/>
        </w:tblBorders>
      </w:tblPr>
      <w:tr>
        <w:trPr>
          <w:tblHeader/>
        </w:trPr>
        <w:tc>
          <w:tcPr>
            <w:tcW w:w="16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Milestone</w:t>
            </w:r>
          </w:p>
        </w:tc>
        <w:tc>
          <w:tcPr>
            <w:tcW w:w="32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Commit Reference / Module</w:t>
            </w:r>
          </w:p>
        </w:tc>
        <w:tc>
          <w:tcPr>
            <w:tcW w:w="4700" w:type="dxa"/>
            <w:shd w:val="clear" w:color="auto" w:fill="2B5C8F"/>
            <w:tcMar>
              <w:top w:w="120" w:type="dxa"/>
              <w:bottom w:w="120" w:type="dxa"/>
              <w:left w:w="140" w:type="dxa"/>
              <w:right w:w="140" w:type="dxa"/>
            </w:tcMar>
          </w:tcPr>
          <w:p>
            <w:pPr>
              <w:jc w:val="left"/>
              <w:spacing w:line="240" w:before="60" w:after="60"/>
            </w:pPr>
            <w:r>
              <w:rPr>
                <w:rFonts w:ascii="Times New Roman" w:hAnsi="Times New Roman"/>
                <w:b/>
                <w:color w:val="FFFFFF"/>
                <w:sz w:val="22"/>
              </w:rPr>
              <w:t>Functional Contribution to Codebase</w:t>
            </w:r>
          </w:p>
        </w:tc>
      </w:tr>
      <w:tr>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Milestone 1</w:t>
            </w:r>
          </w:p>
        </w:tc>
        <w:tc>
          <w:tcPr>
            <w:tcW w:w="3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Dataset Ingestion &amp; Verification</w:t>
            </w:r>
          </w:p>
        </w:tc>
        <w:tc>
          <w:tcPr>
            <w:tcW w:w="4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Structured DermNet into 23 train/test classes; implemented class_names.json mapping.</w:t>
            </w:r>
          </w:p>
        </w:tc>
      </w:tr>
      <w:tr>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Milestone 2</w:t>
            </w:r>
          </w:p>
        </w:tc>
        <w:tc>
          <w:tcPr>
            <w:tcW w:w="3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Model Architecture &amp; Stage 1</w:t>
            </w:r>
          </w:p>
        </w:tc>
        <w:tc>
          <w:tcPr>
            <w:tcW w:w="4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Engineered MobileNetV2 with custom top classification head; trained initial feature extractor.</w:t>
            </w:r>
          </w:p>
        </w:tc>
      </w:tr>
      <w:tr>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Milestone 3</w:t>
            </w:r>
          </w:p>
        </w:tc>
        <w:tc>
          <w:tcPr>
            <w:tcW w:w="3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Stage 2 Deep Fine-Tuning</w:t>
            </w:r>
          </w:p>
        </w:tc>
        <w:tc>
          <w:tcPr>
            <w:tcW w:w="4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Unfroze top 30 layers; implemented ReduceLROnPlateau and ModelCheckpoint callbacks.</w:t>
            </w:r>
          </w:p>
        </w:tc>
      </w:tr>
      <w:tr>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Milestone 4</w:t>
            </w:r>
          </w:p>
        </w:tc>
        <w:tc>
          <w:tcPr>
            <w:tcW w:w="3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Pre-Inference Skin Validator</w:t>
            </w:r>
          </w:p>
        </w:tc>
        <w:tc>
          <w:tcPr>
            <w:tcW w:w="4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Implemented zero-shot ImageNet semantic exclusion gate (skin_validator.py).</w:t>
            </w:r>
          </w:p>
        </w:tc>
      </w:tr>
      <w:tr>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Milestone 5</w:t>
            </w:r>
          </w:p>
        </w:tc>
        <w:tc>
          <w:tcPr>
            <w:tcW w:w="3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Clinical Recommendation Base</w:t>
            </w:r>
          </w:p>
        </w:tc>
        <w:tc>
          <w:tcPr>
            <w:tcW w:w="4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Curated comprehensive 23-disease medical knowledge base (recommendations.py).</w:t>
            </w:r>
          </w:p>
        </w:tc>
      </w:tr>
      <w:tr>
        <w:tc>
          <w:tcPr>
            <w:tcW w:w="16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Milestone 6</w:t>
            </w:r>
          </w:p>
        </w:tc>
        <w:tc>
          <w:tcPr>
            <w:tcW w:w="32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Full-Stack Web Deployment</w:t>
            </w:r>
          </w:p>
        </w:tc>
        <w:tc>
          <w:tcPr>
            <w:tcW w:w="4700" w:type="dxa"/>
            <w:shd w:val="clear" w:color="auto" w:fill="F4F6F9"/>
            <w:tcMar>
              <w:top w:w="100" w:type="dxa"/>
              <w:bottom w:w="100" w:type="dxa"/>
              <w:left w:w="140" w:type="dxa"/>
              <w:right w:w="140" w:type="dxa"/>
            </w:tcMar>
          </w:tcPr>
          <w:p>
            <w:pPr>
              <w:jc w:val="left"/>
              <w:spacing w:line="260" w:before="40" w:after="40"/>
            </w:pPr>
            <w:r>
              <w:rPr>
                <w:rFonts w:ascii="Times New Roman" w:hAnsi="Times New Roman"/>
                <w:sz w:val="20"/>
              </w:rPr>
              <w:t>Built Flask web application (app.py), SQLite schema, authentication, and responsive templates.</w:t>
            </w:r>
          </w:p>
        </w:tc>
      </w:tr>
      <w:tr>
        <w:tc>
          <w:tcPr>
            <w:tcW w:w="16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Milestone 7</w:t>
            </w:r>
          </w:p>
        </w:tc>
        <w:tc>
          <w:tcPr>
            <w:tcW w:w="32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Testing &amp; Performance Benchmarking</w:t>
            </w:r>
          </w:p>
        </w:tc>
        <w:tc>
          <w:tcPr>
            <w:tcW w:w="4700" w:type="dxa"/>
            <w:shd w:val="clear" w:color="auto" w:fill="FFFFFF"/>
            <w:tcMar>
              <w:top w:w="100" w:type="dxa"/>
              <w:bottom w:w="100" w:type="dxa"/>
              <w:left w:w="140" w:type="dxa"/>
              <w:right w:w="140" w:type="dxa"/>
            </w:tcMar>
          </w:tcPr>
          <w:p>
            <w:pPr>
              <w:jc w:val="left"/>
              <w:spacing w:line="260" w:before="40" w:after="40"/>
            </w:pPr>
            <w:r>
              <w:rPr>
                <w:rFonts w:ascii="Times New Roman" w:hAnsi="Times New Roman"/>
                <w:sz w:val="20"/>
              </w:rPr>
              <w:t>Generated confusion matrices, classification reports, and production checkpoint validation.</w:t>
            </w:r>
          </w:p>
        </w:tc>
      </w:tr>
    </w:tbl>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CHAPTER 8: CONCLUSION AND FUTURE WORK</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8.1 Summary of Contributions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SkinCare AI successfully demonstrates the end-to-end integration of deep transfer learning, computer vision safeguards, and evidence-based healthcare assistance for multi-class dermatological preliminary screening. Key contributions include: 
1. Comprehensive Diagnostic Breadth: Unlike conventional models restricted to small subsets of skin lesions, this system classifies across 23 distinct clinical dermatological categories encompassing fungal, bacterial, viral, inflammatory, and malignant conditions. 
2. Architectural Efficiency: Leveraging MobileNetV2 with inverted residuals and depthwise separable convolutions enabled high-accuracy representation learning with a parameter footprint of under 4 million weights, allowing real-time inference on standard CPU hardware. 
3. Pre-Inference Semantic Gating: Implementation of an automated Skin Image Validator eliminated a prominent safety vulnerability in medical AI by filtering out arbitrary non-skin images before execution of disease classification. 
4. Holistic Telemedicine Guidance: By marrying neural network probability scores with vetted clinical advice (causes, prevention, care routines, medical therapies, diet, and urgency flags), the system empowers patients and community clinicians with immediate, actionable insights.</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8.2 Real-World Clinical Impact</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The real-world implications of SkinCare AI are profound for global health equity: (1) Rural Health Outreach: Primary care health posts and rural dispensaries can utilize the web portal to rapidly triage patient rashes, flagging urgent malignancies (melanoma, basal cell carcinoma) for immediate referral while offering first-line supportive care for benign complaints. (2) Patient Empowerment &amp; Early Intervention: By providing clear urgency indicators, patients can overcome diagnostic inertia, seeking timely medical consultations before malignant lesions ulcerate or metastatic spread occurs. (3) Reduction of Inappropriate Antibiotic Use: Clear differentiation between fungal (tinea), bacterial (cellulitis/impetigo), and inflammatory (eczema) lesions aids junior practitioners in avoiding improper empirical antibiotic prescriptions, combating antimicrobial resistance.</w:t>
      </w:r>
    </w:p>
    <w:p>
      <w:pPr>
        <w:pStyle w:val="Heading2"/>
        <w:jc w:val="left"/>
        <w:spacing w:line="360" w:lineRule="auto" w:before="180" w:after="90"/>
        <w:rPr>
          <w:rFonts w:ascii="Times New Roman" w:hAnsi="Times New Roman" w:cs="Times New Roman"/>
          <w:sz w:val="28"/>
          <w:szCs w:val="28"/>
          <w:b/>
        </w:rPr>
      </w:pPr>
      <w:r>
        <w:rPr>
          <w:rFonts w:ascii="Times New Roman" w:hAnsi="Times New Roman" w:cs="Times New Roman"/>
          <w:sz w:val="28"/>
          <w:szCs w:val="28"/>
          <w:b/>
        </w:rPr>
        <w:t xml:space="preserve">8.3 Future Enhancements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Future research and technological extensions planned for SkinCare AI include: 
1. Visual Explainability via Grad-CAM: Integrating Gradient-weighted Class Activation Mapping (Grad-CAM) to generate visual saliency heatmaps highlighting the exact epidermal regions and lesion borders influencing the network's prediction, fostering clinical trust. 
2. Native Mobile Application: Packaging the model using TensorFlow Lite (TFLite) for entirely offline on-device inference on Android and iOS smartphones, serving remote regions without internet connectivity. 
3. Multi-Modal Vision-Language Diagnostics: Fusing visual dermatological features with clinical tabular data (patient age, lesion duration, itching severity, anatomical location, medical history) using multimodal transformer architectures to further enhance diagnostic precision. 
4. Tele-Dermatologist Teleconsultation Integration: Implementing WebRTC video consultation pipelines allowing patients with flagged high-urgency conditions to immediately book tele-consultations with certified dermatologists.</w:t>
      </w:r>
    </w:p>
    <w:p>
      <w:r>
        <w:br w:type="pag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APPENDIX: SYSTEM ENVIRONMENT AND SETUP INSTRUCTIONS</w:t>
      </w:r>
    </w:p>
    <w:p>
      <w:pPr>
        <w:pStyle w:val="Normal"/>
        <w:jc w:val="both"/>
        <w:spacing w:line="360" w:lineRule="auto" w:before="0" w:after="120"/>
        <w:rPr>
          <w:rFonts w:ascii="Times New Roman" w:hAnsi="Times New Roman" w:cs="Times New Roman"/>
          <w:sz w:val="24"/>
          <w:szCs w:val="24"/>
        </w:rPr>
      </w:pPr>
      <w:r>
        <w:rPr>
          <w:rFonts w:ascii="Times New Roman" w:hAnsi="Times New Roman" w:cs="Times New Roman"/>
          <w:sz w:val="24"/>
          <w:szCs w:val="24"/>
        </w:rPr>
        <w:t xml:space="preserve">To deploy and execute SkinCare AI in a local development or server environment, follow the step-by-step setup procedure:</w:t>
      </w:r>
    </w:p>
    <w:p>
      <w:pPr>
        <w:spacing w:line="240" w:before="0" w:after="20"/>
        <w:shd w:val="clear" w:color="auto" w:fill="F8F9FA"/>
        <w:ind w:left="360" w:right="360"/>
      </w:pPr>
      <w:r>
        <w:rPr>
          <w:rFonts w:ascii="Consolas" w:hAnsi="Consolas"/>
          <w:sz w:val="18"/>
          <w:szCs w:val="18"/>
          <w:color w:val="24292E"/>
        </w:rPr>
        <w:t xml:space="preserve"># Step 1: Clone or open project directory</w:t>
      </w:r>
    </w:p>
    <w:p>
      <w:pPr>
        <w:spacing w:line="240" w:before="0" w:after="20"/>
        <w:shd w:val="clear" w:color="auto" w:fill="F8F9FA"/>
        <w:ind w:left="360" w:right="360"/>
      </w:pPr>
      <w:r>
        <w:rPr>
          <w:rFonts w:ascii="Consolas" w:hAnsi="Consolas"/>
          <w:sz w:val="18"/>
          <w:szCs w:val="18"/>
          <w:color w:val="24292E"/>
        </w:rPr>
        <w:t xml:space="preserve">cd c:\Users\admin\Desktop\SKIN\SkinCare-AI</w:t>
      </w:r>
    </w:p>
    <w:p>
      <w:pPr>
        <w:spacing w:line="240" w:before="0" w:after="20"/>
        <w:shd w:val="clear" w:color="auto" w:fill="F8F9FA"/>
        <w:ind w:left="360" w:right="360"/>
      </w:pPr>
      <w:r>
        <w:rPr>
          <w:rFonts w:ascii="Consolas" w:hAnsi="Consolas"/>
          <w:sz w:val="18"/>
          <w:szCs w:val="18"/>
          <w:color w:val="24292E"/>
        </w:rPr>
        <w:t xml:space="preserve"/>
      </w:r>
    </w:p>
    <w:p>
      <w:pPr>
        <w:spacing w:line="240" w:before="0" w:after="20"/>
        <w:shd w:val="clear" w:color="auto" w:fill="F8F9FA"/>
        <w:ind w:left="360" w:right="360"/>
      </w:pPr>
      <w:r>
        <w:rPr>
          <w:rFonts w:ascii="Consolas" w:hAnsi="Consolas"/>
          <w:sz w:val="18"/>
          <w:szCs w:val="18"/>
          <w:color w:val="24292E"/>
        </w:rPr>
        <w:t xml:space="preserve"># Step 2: Create and activate Python virtual environment</w:t>
      </w:r>
    </w:p>
    <w:p>
      <w:pPr>
        <w:spacing w:line="240" w:before="0" w:after="20"/>
        <w:shd w:val="clear" w:color="auto" w:fill="F8F9FA"/>
        <w:ind w:left="360" w:right="360"/>
      </w:pPr>
      <w:r>
        <w:rPr>
          <w:rFonts w:ascii="Consolas" w:hAnsi="Consolas"/>
          <w:sz w:val="18"/>
          <w:szCs w:val="18"/>
          <w:color w:val="24292E"/>
        </w:rPr>
        <w:t xml:space="preserve">python -m venv .venv</w:t>
      </w:r>
    </w:p>
    <w:p>
      <w:pPr>
        <w:spacing w:line="240" w:before="0" w:after="20"/>
        <w:shd w:val="clear" w:color="auto" w:fill="F8F9FA"/>
        <w:ind w:left="360" w:right="360"/>
      </w:pPr>
      <w:r>
        <w:rPr>
          <w:rFonts w:ascii="Consolas" w:hAnsi="Consolas"/>
          <w:sz w:val="18"/>
          <w:szCs w:val="18"/>
          <w:color w:val="24292E"/>
        </w:rPr>
        <w:t xml:space="preserve">.venv\Scripts\activate  # On Windows</w:t>
      </w:r>
    </w:p>
    <w:p>
      <w:pPr>
        <w:spacing w:line="240" w:before="0" w:after="20"/>
        <w:shd w:val="clear" w:color="auto" w:fill="F8F9FA"/>
        <w:ind w:left="360" w:right="360"/>
      </w:pPr>
      <w:r>
        <w:rPr>
          <w:rFonts w:ascii="Consolas" w:hAnsi="Consolas"/>
          <w:sz w:val="18"/>
          <w:szCs w:val="18"/>
          <w:color w:val="24292E"/>
        </w:rPr>
        <w:t xml:space="preserve"># source .venv/bin/activate  # On Linux/macOS</w:t>
      </w:r>
    </w:p>
    <w:p>
      <w:pPr>
        <w:spacing w:line="240" w:before="0" w:after="20"/>
        <w:shd w:val="clear" w:color="auto" w:fill="F8F9FA"/>
        <w:ind w:left="360" w:right="360"/>
      </w:pPr>
      <w:r>
        <w:rPr>
          <w:rFonts w:ascii="Consolas" w:hAnsi="Consolas"/>
          <w:sz w:val="18"/>
          <w:szCs w:val="18"/>
          <w:color w:val="24292E"/>
        </w:rPr>
        <w:t xml:space="preserve"/>
      </w:r>
    </w:p>
    <w:p>
      <w:pPr>
        <w:spacing w:line="240" w:before="0" w:after="20"/>
        <w:shd w:val="clear" w:color="auto" w:fill="F8F9FA"/>
        <w:ind w:left="360" w:right="360"/>
      </w:pPr>
      <w:r>
        <w:rPr>
          <w:rFonts w:ascii="Consolas" w:hAnsi="Consolas"/>
          <w:sz w:val="18"/>
          <w:szCs w:val="18"/>
          <w:color w:val="24292E"/>
        </w:rPr>
        <w:t xml:space="preserve"># Step 3: Install dependencies</w:t>
      </w:r>
    </w:p>
    <w:p>
      <w:pPr>
        <w:spacing w:line="240" w:before="0" w:after="20"/>
        <w:shd w:val="clear" w:color="auto" w:fill="F8F9FA"/>
        <w:ind w:left="360" w:right="360"/>
      </w:pPr>
      <w:r>
        <w:rPr>
          <w:rFonts w:ascii="Consolas" w:hAnsi="Consolas"/>
          <w:sz w:val="18"/>
          <w:szCs w:val="18"/>
          <w:color w:val="24292E"/>
        </w:rPr>
        <w:t xml:space="preserve">pip install tensorflow flask pillow numpy matplotlib scikit-learn</w:t>
      </w:r>
    </w:p>
    <w:p>
      <w:pPr>
        <w:spacing w:line="240" w:before="0" w:after="20"/>
        <w:shd w:val="clear" w:color="auto" w:fill="F8F9FA"/>
        <w:ind w:left="360" w:right="360"/>
      </w:pPr>
      <w:r>
        <w:rPr>
          <w:rFonts w:ascii="Consolas" w:hAnsi="Consolas"/>
          <w:sz w:val="18"/>
          <w:szCs w:val="18"/>
          <w:color w:val="24292E"/>
        </w:rPr>
        <w:t xml:space="preserve"/>
      </w:r>
    </w:p>
    <w:p>
      <w:pPr>
        <w:spacing w:line="240" w:before="0" w:after="20"/>
        <w:shd w:val="clear" w:color="auto" w:fill="F8F9FA"/>
        <w:ind w:left="360" w:right="360"/>
      </w:pPr>
      <w:r>
        <w:rPr>
          <w:rFonts w:ascii="Consolas" w:hAnsi="Consolas"/>
          <w:sz w:val="18"/>
          <w:szCs w:val="18"/>
          <w:color w:val="24292E"/>
        </w:rPr>
        <w:t xml:space="preserve"># Step 4: Verify dataset and model checkpoints</w:t>
      </w:r>
    </w:p>
    <w:p>
      <w:pPr>
        <w:spacing w:line="240" w:before="0" w:after="20"/>
        <w:shd w:val="clear" w:color="auto" w:fill="F8F9FA"/>
        <w:ind w:left="360" w:right="360"/>
      </w:pPr>
      <w:r>
        <w:rPr>
          <w:rFonts w:ascii="Consolas" w:hAnsi="Consolas"/>
          <w:sz w:val="18"/>
          <w:szCs w:val="18"/>
          <w:color w:val="24292E"/>
        </w:rPr>
        <w:t xml:space="preserve">python backend/ml/compare_models.py</w:t>
      </w:r>
    </w:p>
    <w:p>
      <w:pPr>
        <w:spacing w:line="240" w:before="0" w:after="20"/>
        <w:shd w:val="clear" w:color="auto" w:fill="F8F9FA"/>
        <w:ind w:left="360" w:right="360"/>
      </w:pPr>
      <w:r>
        <w:rPr>
          <w:rFonts w:ascii="Consolas" w:hAnsi="Consolas"/>
          <w:sz w:val="18"/>
          <w:szCs w:val="18"/>
          <w:color w:val="24292E"/>
        </w:rPr>
        <w:t xml:space="preserve"/>
      </w:r>
    </w:p>
    <w:p>
      <w:pPr>
        <w:spacing w:line="240" w:before="0" w:after="20"/>
        <w:shd w:val="clear" w:color="auto" w:fill="F8F9FA"/>
        <w:ind w:left="360" w:right="360"/>
      </w:pPr>
      <w:r>
        <w:rPr>
          <w:rFonts w:ascii="Consolas" w:hAnsi="Consolas"/>
          <w:sz w:val="18"/>
          <w:szCs w:val="18"/>
          <w:color w:val="24292E"/>
        </w:rPr>
        <w:t xml:space="preserve"># Step 5: Launch Flask web application</w:t>
      </w:r>
    </w:p>
    <w:p>
      <w:pPr>
        <w:spacing w:line="240" w:before="0" w:after="20"/>
        <w:shd w:val="clear" w:color="auto" w:fill="F8F9FA"/>
        <w:ind w:left="360" w:right="360"/>
      </w:pPr>
      <w:r>
        <w:rPr>
          <w:rFonts w:ascii="Consolas" w:hAnsi="Consolas"/>
          <w:sz w:val="18"/>
          <w:szCs w:val="18"/>
          <w:color w:val="24292E"/>
        </w:rPr>
        <w:t xml:space="preserve">python app.py</w:t>
      </w:r>
    </w:p>
    <w:p>
      <w:pPr>
        <w:spacing w:line="240" w:before="0" w:after="20"/>
        <w:shd w:val="clear" w:color="auto" w:fill="F8F9FA"/>
        <w:ind w:left="360" w:right="360"/>
      </w:pPr>
      <w:r>
        <w:rPr>
          <w:rFonts w:ascii="Consolas" w:hAnsi="Consolas"/>
          <w:sz w:val="18"/>
          <w:szCs w:val="18"/>
          <w:color w:val="24292E"/>
        </w:rPr>
        <w:t xml:space="preserve"/>
      </w:r>
    </w:p>
    <w:p>
      <w:pPr>
        <w:spacing w:line="240" w:before="0" w:after="20"/>
        <w:shd w:val="clear" w:color="auto" w:fill="F8F9FA"/>
        <w:ind w:left="360" w:right="360"/>
      </w:pPr>
      <w:r>
        <w:rPr>
          <w:rFonts w:ascii="Consolas" w:hAnsi="Consolas"/>
          <w:sz w:val="18"/>
          <w:szCs w:val="18"/>
          <w:color w:val="24292E"/>
        </w:rPr>
        <w:t xml:space="preserve"># Access web application in browser at: http://127.0.0.1:5000</w:t>
      </w:r>
    </w:p>
    <w:p>
      <w:pPr>
        <w:pStyle w:val="Normal"/>
        <w:jc w:val="both"/>
        <w:spacing w:line="360" w:lineRule="auto" w:before="100" w:after="100"/>
        <w:rPr>
          <w:rFonts w:ascii="Times New Roman" w:hAnsi="Times New Roman" w:cs="Times New Roman"/>
          <w:sz w:val="24"/>
          <w:szCs w:val="24"/>
        </w:rPr>
      </w:pPr>
      <w:r>
        <w:rPr>
          <w:rFonts w:ascii="Times New Roman" w:hAnsi="Times New Roman" w:cs="Times New Roman"/>
          <w:sz w:val="24"/>
          <w:szCs w:val="24"/>
        </w:rPr>
        <w:t xml:space="preserve"/>
      </w:r>
    </w:p>
    <w:p>
      <w:pPr>
        <w:pStyle w:val="Heading1"/>
        <w:jc w:val="left"/>
        <w:spacing w:line="360" w:lineRule="auto" w:before="240" w:after="120"/>
        <w:rPr>
          <w:rFonts w:ascii="Times New Roman" w:hAnsi="Times New Roman" w:cs="Times New Roman"/>
          <w:sz w:val="32"/>
          <w:szCs w:val="32"/>
          <w:b/>
        </w:rPr>
      </w:pPr>
      <w:r>
        <w:rPr>
          <w:rFonts w:ascii="Times New Roman" w:hAnsi="Times New Roman" w:cs="Times New Roman"/>
          <w:sz w:val="32"/>
          <w:szCs w:val="32"/>
          <w:b/>
        </w:rPr>
        <w:t xml:space="preserve">REFERENCES</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[1] Esteva, A., Kuprel, B., Novoa, R. A., Ko, J., Swetter, S. M., Blau, H. M., &amp; Thrun, S. (2017). Dermatologist-level classification of skin lesions with deep neural networks. Nature, 542(7639), 115-118.</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[2] Sandler, M., Howard, A., Zhu, M., Zhmoginov, A., &amp; Chen, L. C. (2018). MobileNetV2: Inverted Residuals and Linear Bottlenecks. Proceedings of the IEEE/CVF Conference on Computer Vision and Pattern Recognition (CVPR), 4510-4520.</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[3] He, K., Zhang, X., Ren, S., &amp; Sun, J. (2016). Deep Residual Learning for Image Recognition. Proceedings of the IEEE Conference on Computer Vision and Pattern Recognition (CVPR), 770-778.</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[4] Tschandl, P., Rosendahl, C., &amp; Kittler, H. (2018). The HAM10000 dataset, a large collection of multi-source dermatological images of common pigmented skin lesions. Scientific Data, 5, 180161.</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[5] Ahmed, Khaled R. (2021). Smart Pothole Detection and Image Processing Using Deep Learning Based on Dilated Convolution. Sensors, 21(24), 8406.</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[6] Codella, N. C., Gutman, D., Celebi, M. E., et al. (2018). Skin lesion analysis toward melanoma detection: A challenge at the International Symposium on Biomedical Imaging (ISBI). IEEE ISBI, 168-172.</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[7] Haenssle, H. A., Fink, C., Schneiderbauer, R., et al. (2018). Man against machine: diagnostic performance of a deep learning convolutional neural network for dermoscopic melanoma recognition in comparison to 58 dermatologists. Annals of Oncology, 29(8), 1836-1842.</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[8] Howard, A. G., Zhu, M., Chen, B., et al. (2017). MobileNets: Efficient Convolutional Neural Networks for Mobile Vision Applications. arXiv preprint arXiv:1704.04861.</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[9] Tan, M., &amp; Le, Q. (2019). EfficientNet: Rethinking model scaling for convolutional neural networks. International Conference on Machine Learning (ICML), 6105-6114.</w:t>
      </w:r>
    </w:p>
    <w:p>
      <w:pPr>
        <w:pStyle w:val="Normal"/>
        <w:jc w:val="left"/>
        <w:spacing w:line="360" w:lineRule="auto" w:before="40" w:after="80"/>
        <w:rPr>
          <w:rFonts w:ascii="Times New Roman" w:hAnsi="Times New Roman" w:cs="Times New Roman"/>
          <w:sz w:val="22"/>
          <w:szCs w:val="22"/>
        </w:rPr>
      </w:pPr>
      <w:r>
        <w:rPr>
          <w:rFonts w:ascii="Times New Roman" w:hAnsi="Times New Roman" w:cs="Times New Roman"/>
          <w:sz w:val="22"/>
          <w:szCs w:val="22"/>
        </w:rPr>
        <w:t xml:space="preserve">[10] World Health Organization (WHO). (2023). Global report on neglected tropical skin diseases and dermatological public health burden. Geneva: World Health Organization.</w:t>
      </w:r>
    </w:p>
    <w:sectPr>
      <w:headerReference w:type="default" r:id="rId16"/>
      <w:footerReference w:type="default" r:id="rId17"/>
      <w:pgSz w:w="11910" w:h="16840"/>
      <w:pgMar w:top="1580" w:right="740" w:bottom="1820" w:left="740" w:header="749" w:footer="16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3A6C" w14:textId="77777777" w:rsidR="00D1142A" w:rsidRDefault="00D1142A">
      <w:r>
        <w:separator/>
      </w:r>
    </w:p>
  </w:endnote>
  <w:endnote w:type="continuationSeparator" w:id="0">
    <w:p w14:paraId="09DC81E9" w14:textId="77777777" w:rsidR="00D1142A" w:rsidRDefault="00D11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EE9F0" w14:textId="77777777" w:rsidR="00CA4C18" w:rsidRDefault="00CA4C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9A21" w14:textId="77777777" w:rsidR="00CA4C18" w:rsidRDefault="00CA4C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EAAD" w14:textId="77777777" w:rsidR="00CA4C18" w:rsidRDefault="00CA4C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4507" w14:textId="77777777" w:rsidR="00781E7D" w:rsidRDefault="00CA4C18">
    <w:pPr>
      <w:pStyle w:val="BodyText"/>
      <w:spacing w:line="14" w:lineRule="auto"/>
      <w:rPr>
        <w:sz w:val="20"/>
      </w:rPr>
    </w:pPr>
    <w:r>
      <w:rPr>
        <w:noProof/>
      </w:rPr>
      <mc:AlternateContent>
        <mc:Choice Requires="wps">
          <w:drawing>
            <wp:anchor distT="0" distB="0" distL="114300" distR="114300" simplePos="0" relativeHeight="487236096" behindDoc="1" locked="0" layoutInCell="1" allowOverlap="1" wp14:anchorId="6EB03C62" wp14:editId="7A095D01">
              <wp:simplePos x="0" y="0"/>
              <wp:positionH relativeFrom="page">
                <wp:posOffset>6657975</wp:posOffset>
              </wp:positionH>
              <wp:positionV relativeFrom="page">
                <wp:posOffset>9753600</wp:posOffset>
              </wp:positionV>
              <wp:extent cx="647700" cy="173990"/>
              <wp:effectExtent l="0" t="0" r="0" b="16510"/>
              <wp:wrapNone/>
              <wp:docPr id="4580876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BA0EF" w14:textId="77777777" w:rsidR="00781E7D" w:rsidRDefault="00000000">
                          <w:pPr>
                            <w:spacing w:before="19"/>
                            <w:ind w:left="20"/>
                            <w:rPr>
                              <w:rFonts w:ascii="Cambria"/>
                              <w:b/>
                              <w:sz w:val="20"/>
                            </w:rPr>
                          </w:pPr>
                          <w:r>
                            <w:rPr>
                              <w:rFonts w:ascii="Cambria"/>
                              <w:b/>
                              <w:sz w:val="20"/>
                            </w:rPr>
                            <w:t>Page</w:t>
                          </w:r>
                          <w:r>
                            <w:rPr>
                              <w:rFonts w:ascii="Cambria"/>
                              <w:b/>
                              <w:spacing w:val="-2"/>
                              <w:sz w:val="20"/>
                            </w:rPr>
                            <w:t xml:space="preserve"> </w:t>
                          </w:r>
                          <w:r w:rsidR="00CA4C18">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B03C62" id="_x0000_t202" coordsize="21600,21600" o:spt="202" path="m,l,21600r21600,l21600,xe">
              <v:stroke joinstyle="miter"/>
              <v:path gradientshapeok="t" o:connecttype="rect"/>
            </v:shapetype>
            <v:shape id="Text Box 1" o:spid="_x0000_s1027" type="#_x0000_t202" style="position:absolute;margin-left:524.25pt;margin-top:768pt;width:51pt;height:13.7pt;z-index:-1608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" filled="f" stroked="f">
              <v:textbox inset="0,0,0,0">
                <w:txbxContent>
                  <w:p w14:paraId="233BA0EF" w14:textId="77777777" w:rsidR="00781E7D" w:rsidRDefault="00000000">
                    <w:pPr>
                      <w:spacing w:before="19"/>
                      <w:ind w:left="20"/>
                      <w:rPr>
                        <w:rFonts w:ascii="Cambria"/>
                        <w:b/>
                        <w:sz w:val="20"/>
                      </w:rPr>
                    </w:pPr>
                    <w:r>
                      <w:rPr>
                        <w:rFonts w:ascii="Cambria"/>
                        <w:b/>
                        <w:sz w:val="20"/>
                      </w:rPr>
                      <w:t>Page</w:t>
                    </w:r>
                    <w:r>
                      <w:rPr>
                        <w:rFonts w:ascii="Cambria"/>
                        <w:b/>
                        <w:spacing w:val="-2"/>
                        <w:sz w:val="20"/>
                      </w:rPr>
                      <w:t xml:space="preserve"> </w:t>
                    </w:r>
                    <w:r w:rsidR="00CA4C18">
                      <w:t>No.</w:t>
                    </w:r>
                  </w:p>
                </w:txbxContent>
              </v:textbox>
              <w10:wrap anchorx="page" anchory="page"/>
            </v:shape>
          </w:pict>
        </mc:Fallback>
      </mc:AlternateContent>
    </w:r>
    <w:r>
      <w:rPr>
        <w:noProof/>
      </w:rPr>
      <mc:AlternateContent>
        <mc:Choice Requires="wps">
          <w:drawing>
            <wp:anchor distT="0" distB="0" distL="114300" distR="114300" simplePos="0" relativeHeight="487238144" behindDoc="1" locked="0" layoutInCell="1" allowOverlap="1" wp14:anchorId="5441F4A9" wp14:editId="0153D6A2">
              <wp:simplePos x="0" y="0"/>
              <wp:positionH relativeFrom="page">
                <wp:posOffset>466725</wp:posOffset>
              </wp:positionH>
              <wp:positionV relativeFrom="page">
                <wp:posOffset>9648824</wp:posOffset>
              </wp:positionV>
              <wp:extent cx="3733800" cy="278765"/>
              <wp:effectExtent l="0" t="0" r="0" b="6985"/>
              <wp:wrapNone/>
              <wp:docPr id="461959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C68FA" w14:textId="77777777" w:rsidR="00CA4C18" w:rsidRDefault="00CA4C18" w:rsidP="00CA4C18">
                          <w:pPr>
                            <w:spacing w:before="6"/>
                            <w:ind w:left="20"/>
                            <w:rPr>
                              <w:sz w:val="28"/>
                            </w:rPr>
                          </w:pPr>
                          <w:r>
                            <w:rPr>
                              <w:sz w:val="28"/>
                            </w:rPr>
                            <w:t>Department</w:t>
                          </w:r>
                          <w:r>
                            <w:rPr>
                              <w:spacing w:val="-9"/>
                              <w:sz w:val="28"/>
                            </w:rPr>
                            <w:t xml:space="preserve"> </w:t>
                          </w:r>
                          <w:r>
                            <w:rPr>
                              <w:sz w:val="28"/>
                            </w:rPr>
                            <w:t>of</w:t>
                          </w:r>
                          <w:r>
                            <w:rPr>
                              <w:spacing w:val="-11"/>
                              <w:sz w:val="28"/>
                            </w:rPr>
                            <w:t xml:space="preserve"> </w:t>
                          </w:r>
                          <w:r>
                            <w:rPr>
                              <w:sz w:val="28"/>
                            </w:rPr>
                            <w:t>Computer</w:t>
                          </w:r>
                          <w:r>
                            <w:rPr>
                              <w:spacing w:val="-5"/>
                              <w:sz w:val="28"/>
                            </w:rPr>
                            <w:t xml:space="preserve"> </w:t>
                          </w:r>
                          <w:r>
                            <w:rPr>
                              <w:sz w:val="28"/>
                            </w:rPr>
                            <w:t>Applications,</w:t>
                          </w:r>
                          <w:r>
                            <w:rPr>
                              <w:spacing w:val="-5"/>
                              <w:sz w:val="28"/>
                            </w:rPr>
                            <w:t xml:space="preserve"> </w:t>
                          </w:r>
                          <w:r>
                            <w:rPr>
                              <w:sz w:val="28"/>
                            </w:rPr>
                            <w:t>MBITS</w:t>
                          </w:r>
                        </w:p>
                        <w:p w14:paraId="287413A4" w14:textId="77777777" w:rsidR="00CA4C18" w:rsidRDefault="00CA4C18" w:rsidP="00CA4C18">
                          <w:pPr>
                            <w:spacing w:before="19"/>
                            <w:ind w:left="20"/>
                            <w:rPr>
                              <w:rFonts w:ascii="Cambria"/>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1F4A9" id="_x0000_s1028" type="#_x0000_t202" style="position:absolute;margin-left:36.75pt;margin-top:759.75pt;width:294pt;height:21.95pt;z-index:-1607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" filled="f" stroked="f">
              <v:textbox inset="0,0,0,0">
                <w:txbxContent>
                  <w:p w14:paraId="419C68FA" w14:textId="77777777" w:rsidR="00CA4C18" w:rsidRDefault="00CA4C18" w:rsidP="00CA4C18">
                    <w:pPr>
                      <w:spacing w:before="6"/>
                      <w:ind w:left="20"/>
                      <w:rPr>
                        <w:sz w:val="28"/>
                      </w:rPr>
                    </w:pPr>
                    <w:r>
                      <w:rPr>
                        <w:sz w:val="28"/>
                      </w:rPr>
                      <w:t>Department</w:t>
                    </w:r>
                    <w:r>
                      <w:rPr>
                        <w:spacing w:val="-9"/>
                        <w:sz w:val="28"/>
                      </w:rPr>
                      <w:t xml:space="preserve"> </w:t>
                    </w:r>
                    <w:r>
                      <w:rPr>
                        <w:sz w:val="28"/>
                      </w:rPr>
                      <w:t>of</w:t>
                    </w:r>
                    <w:r>
                      <w:rPr>
                        <w:spacing w:val="-11"/>
                        <w:sz w:val="28"/>
                      </w:rPr>
                      <w:t xml:space="preserve"> </w:t>
                    </w:r>
                    <w:r>
                      <w:rPr>
                        <w:sz w:val="28"/>
                      </w:rPr>
                      <w:t>Computer</w:t>
                    </w:r>
                    <w:r>
                      <w:rPr>
                        <w:spacing w:val="-5"/>
                        <w:sz w:val="28"/>
                      </w:rPr>
                      <w:t xml:space="preserve"> </w:t>
                    </w:r>
                    <w:r>
                      <w:rPr>
                        <w:sz w:val="28"/>
                      </w:rPr>
                      <w:t>Applications,</w:t>
                    </w:r>
                    <w:r>
                      <w:rPr>
                        <w:spacing w:val="-5"/>
                        <w:sz w:val="28"/>
                      </w:rPr>
                      <w:t xml:space="preserve"> </w:t>
                    </w:r>
                    <w:r>
                      <w:rPr>
                        <w:sz w:val="28"/>
                      </w:rPr>
                      <w:t>MBITS</w:t>
                    </w:r>
                  </w:p>
                  <w:p w14:paraId="287413A4" w14:textId="77777777" w:rsidR="00CA4C18" w:rsidRDefault="00CA4C18" w:rsidP="00CA4C18">
                    <w:pPr>
                      <w:spacing w:before="19"/>
                      <w:ind w:left="20"/>
                      <w:rPr>
                        <w:rFonts w:ascii="Cambria"/>
                        <w:b/>
                        <w:sz w:val="20"/>
                      </w:rPr>
                    </w:pPr>
                  </w:p>
                </w:txbxContent>
              </v:textbox>
              <w10:wrap anchorx="page" anchory="page"/>
            </v:shape>
          </w:pict>
        </mc:Fallback>
      </mc:AlternateContent>
    </w:r>
    <w:r w:rsidR="007D28EA">
      <w:rPr>
        <w:noProof/>
      </w:rPr>
      <mc:AlternateContent>
        <mc:Choice Requires="wps">
          <w:drawing>
            <wp:anchor distT="0" distB="0" distL="114300" distR="114300" simplePos="0" relativeHeight="487235072" behindDoc="1" locked="0" layoutInCell="1" allowOverlap="1" wp14:anchorId="085DB329" wp14:editId="0DAEE91E">
              <wp:simplePos x="0" y="0"/>
              <wp:positionH relativeFrom="page">
                <wp:posOffset>650875</wp:posOffset>
              </wp:positionH>
              <wp:positionV relativeFrom="page">
                <wp:posOffset>9603740</wp:posOffset>
              </wp:positionV>
              <wp:extent cx="2816860" cy="6350"/>
              <wp:effectExtent l="0" t="0" r="0" b="0"/>
              <wp:wrapNone/>
              <wp:docPr id="1495656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860" cy="635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B0FEE" id="Rectangle 3" o:spid="_x0000_s1026" style="position:absolute;margin-left:51.25pt;margin-top:756.2pt;width:221.8pt;height:.5pt;z-index:-1608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" fillcolor="#4f81bc" stroked="f">
              <w10:wrap anchorx="page" anchory="page"/>
            </v:rect>
          </w:pict>
        </mc:Fallback>
      </mc:AlternateContent>
    </w:r>
    <w:r w:rsidR="007D28EA">
      <w:rPr>
        <w:noProof/>
      </w:rPr>
      <mc:AlternateContent>
        <mc:Choice Requires="wps">
          <w:drawing>
            <wp:anchor distT="0" distB="0" distL="114300" distR="114300" simplePos="0" relativeHeight="487235584" behindDoc="1" locked="0" layoutInCell="1" allowOverlap="1" wp14:anchorId="0A31CBE0" wp14:editId="33671366">
              <wp:simplePos x="0" y="0"/>
              <wp:positionH relativeFrom="page">
                <wp:posOffset>4092575</wp:posOffset>
              </wp:positionH>
              <wp:positionV relativeFrom="page">
                <wp:posOffset>9603740</wp:posOffset>
              </wp:positionV>
              <wp:extent cx="2816860" cy="6350"/>
              <wp:effectExtent l="0" t="0" r="0" b="0"/>
              <wp:wrapNone/>
              <wp:docPr id="34092808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860" cy="635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73E77" id="Rectangle 2" o:spid="_x0000_s1026" style="position:absolute;margin-left:322.25pt;margin-top:756.2pt;width:221.8pt;height:.5pt;z-index:-1608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" fillcolor="#4f81bc"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809C4" w14:textId="77777777" w:rsidR="00D1142A" w:rsidRDefault="00D1142A">
      <w:r>
        <w:separator/>
      </w:r>
    </w:p>
  </w:footnote>
  <w:footnote w:type="continuationSeparator" w:id="0">
    <w:p w14:paraId="2397DD48" w14:textId="77777777" w:rsidR="00D1142A" w:rsidRDefault="00D11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860C" w14:textId="77777777" w:rsidR="00CA4C18" w:rsidRDefault="00CA4C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C22A" w14:textId="77777777" w:rsidR="00CA4C18" w:rsidRDefault="00CA4C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1959" w14:textId="77777777" w:rsidR="00CA4C18" w:rsidRDefault="00CA4C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530B0" w14:textId="77777777" w:rsidR="00781E7D" w:rsidRDefault="00CA4C18">
    <w:pPr>
      <w:pStyle w:val="BodyText"/>
      <w:spacing w:line="14" w:lineRule="auto"/>
      <w:rPr>
        <w:sz w:val="20"/>
      </w:rPr>
    </w:pPr>
    <w:r>
      <w:rPr>
        <w:noProof/>
      </w:rPr>
      <mc:AlternateContent>
        <mc:Choice Requires="wps">
          <w:drawing>
            <wp:anchor distT="0" distB="0" distL="114300" distR="114300" simplePos="0" relativeHeight="487234560" behindDoc="1" locked="0" layoutInCell="1" allowOverlap="1" wp14:anchorId="7F16D5FA" wp14:editId="2A1BDFBE">
              <wp:simplePos x="0" y="0"/>
              <wp:positionH relativeFrom="page">
                <wp:posOffset>5953125</wp:posOffset>
              </wp:positionH>
              <wp:positionV relativeFrom="page">
                <wp:posOffset>409575</wp:posOffset>
              </wp:positionV>
              <wp:extent cx="1275080" cy="228600"/>
              <wp:effectExtent l="0" t="0" r="1270" b="0"/>
              <wp:wrapNone/>
              <wp:docPr id="2054955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0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00909" w14:textId="77777777" w:rsidR="00781E7D" w:rsidRPr="00981E25" w:rsidRDefault="00981E25">
                          <w:pPr>
                            <w:spacing w:line="245" w:lineRule="exact"/>
                            <w:ind w:left="20"/>
                            <w:rPr>
                              <w:rFonts w:ascii="Calibri"/>
                              <w:lang w:val="en-IN"/>
                            </w:rPr>
                          </w:pPr>
                          <w:r>
                            <w:rPr>
                              <w:rFonts w:ascii="Calibri"/>
                              <w:lang w:val="en-IN"/>
                            </w:rPr>
                            <w:t>SKIN DISEASE PREDICTION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16D5FA" id="_x0000_t202" coordsize="21600,21600" o:spt="202" path="m,l,21600r21600,l21600,xe">
              <v:stroke joinstyle="miter"/>
              <v:path gradientshapeok="t" o:connecttype="rect"/>
            </v:shapetype>
            <v:shape id="Text Box 4" o:spid="_x0000_s1026" type="#_x0000_t202" style="position:absolute;margin-left:468.75pt;margin-top:32.25pt;width:100.4pt;height:18pt;z-index:-1608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" filled="f" stroked="f">
              <v:textbox inset="0,0,0,0">
                <w:txbxContent>
                  <w:p w14:paraId="14600909" w14:textId="77777777" w:rsidR="00781E7D" w:rsidRPr="00981E25" w:rsidRDefault="00981E25">
                    <w:pPr>
                      <w:spacing w:line="245" w:lineRule="exact"/>
                      <w:ind w:left="20"/>
                      <w:rPr>
                        <w:rFonts w:ascii="Calibri"/>
                        <w:lang w:val="en-IN"/>
                      </w:rPr>
                    </w:pPr>
                    <w:r>
                      <w:rPr>
                        <w:rFonts w:ascii="Calibri"/>
                        <w:lang w:val="en-IN"/>
                      </w:rPr>
                      <w:t>SKIN DISEASE PREDICTION</w:t>
                    </w:r>
                  </w:p>
                </w:txbxContent>
              </v:textbox>
              <w10:wrap anchorx="page" anchory="page"/>
            </v:shape>
          </w:pict>
        </mc:Fallback>
      </mc:AlternateContent>
    </w:r>
    <w:r w:rsidR="007D28EA">
      <w:rPr>
        <w:noProof/>
      </w:rPr>
      <mc:AlternateContent>
        <mc:Choice Requires="wps">
          <w:drawing>
            <wp:anchor distT="0" distB="0" distL="114300" distR="114300" simplePos="0" relativeHeight="487234048" behindDoc="1" locked="0" layoutInCell="1" allowOverlap="1" wp14:anchorId="0A6342AF" wp14:editId="1D01F211">
              <wp:simplePos x="0" y="0"/>
              <wp:positionH relativeFrom="page">
                <wp:posOffset>635</wp:posOffset>
              </wp:positionH>
              <wp:positionV relativeFrom="page">
                <wp:posOffset>640080</wp:posOffset>
              </wp:positionV>
              <wp:extent cx="7538085" cy="0"/>
              <wp:effectExtent l="0" t="0" r="0" b="0"/>
              <wp:wrapNone/>
              <wp:docPr id="154716439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8085" cy="0"/>
                      </a:xfrm>
                      <a:prstGeom prst="line">
                        <a:avLst/>
                      </a:prstGeom>
                      <a:noFill/>
                      <a:ln w="9525">
                        <a:solidFill>
                          <a:srgbClr val="30849B"/>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215B5" id="Line 5" o:spid="_x0000_s1026" style="position:absolute;z-index:-1608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5pt,50.4pt" to="593.6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" strokecolor="#30849b">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0B0"/>
    <w:multiLevelType w:val="hybridMultilevel"/>
    <w:tmpl w:val="C8D40D10"/>
    <w:lvl w:ilvl="0" w:tplc="99A4CA9C">
      <w:numFmt w:val="bullet"/>
      <w:lvlText w:val=""/>
      <w:lvlJc w:val="left"/>
      <w:pPr>
        <w:ind w:left="1175" w:hanging="360"/>
      </w:pPr>
      <w:rPr>
        <w:rFonts w:ascii="Symbol" w:eastAsia="Symbol" w:hAnsi="Symbol" w:cs="Symbol" w:hint="default"/>
        <w:w w:val="100"/>
        <w:sz w:val="28"/>
        <w:szCs w:val="28"/>
        <w:lang w:val="en-US" w:eastAsia="en-US" w:bidi="ar-SA"/>
      </w:rPr>
    </w:lvl>
    <w:lvl w:ilvl="1" w:tplc="43E2A868">
      <w:numFmt w:val="bullet"/>
      <w:lvlText w:val="•"/>
      <w:lvlJc w:val="left"/>
      <w:pPr>
        <w:ind w:left="2104" w:hanging="360"/>
      </w:pPr>
      <w:rPr>
        <w:rFonts w:hint="default"/>
        <w:lang w:val="en-US" w:eastAsia="en-US" w:bidi="ar-SA"/>
      </w:rPr>
    </w:lvl>
    <w:lvl w:ilvl="2" w:tplc="51DA7AEE">
      <w:numFmt w:val="bullet"/>
      <w:lvlText w:val="•"/>
      <w:lvlJc w:val="left"/>
      <w:pPr>
        <w:ind w:left="3029" w:hanging="360"/>
      </w:pPr>
      <w:rPr>
        <w:rFonts w:hint="default"/>
        <w:lang w:val="en-US" w:eastAsia="en-US" w:bidi="ar-SA"/>
      </w:rPr>
    </w:lvl>
    <w:lvl w:ilvl="3" w:tplc="5BA091E8">
      <w:numFmt w:val="bullet"/>
      <w:lvlText w:val="•"/>
      <w:lvlJc w:val="left"/>
      <w:pPr>
        <w:ind w:left="3953" w:hanging="360"/>
      </w:pPr>
      <w:rPr>
        <w:rFonts w:hint="default"/>
        <w:lang w:val="en-US" w:eastAsia="en-US" w:bidi="ar-SA"/>
      </w:rPr>
    </w:lvl>
    <w:lvl w:ilvl="4" w:tplc="1E062788">
      <w:numFmt w:val="bullet"/>
      <w:lvlText w:val="•"/>
      <w:lvlJc w:val="left"/>
      <w:pPr>
        <w:ind w:left="4878" w:hanging="360"/>
      </w:pPr>
      <w:rPr>
        <w:rFonts w:hint="default"/>
        <w:lang w:val="en-US" w:eastAsia="en-US" w:bidi="ar-SA"/>
      </w:rPr>
    </w:lvl>
    <w:lvl w:ilvl="5" w:tplc="D0B2D280">
      <w:numFmt w:val="bullet"/>
      <w:lvlText w:val="•"/>
      <w:lvlJc w:val="left"/>
      <w:pPr>
        <w:ind w:left="5803" w:hanging="360"/>
      </w:pPr>
      <w:rPr>
        <w:rFonts w:hint="default"/>
        <w:lang w:val="en-US" w:eastAsia="en-US" w:bidi="ar-SA"/>
      </w:rPr>
    </w:lvl>
    <w:lvl w:ilvl="6" w:tplc="08E0D4B6">
      <w:numFmt w:val="bullet"/>
      <w:lvlText w:val="•"/>
      <w:lvlJc w:val="left"/>
      <w:pPr>
        <w:ind w:left="6727" w:hanging="360"/>
      </w:pPr>
      <w:rPr>
        <w:rFonts w:hint="default"/>
        <w:lang w:val="en-US" w:eastAsia="en-US" w:bidi="ar-SA"/>
      </w:rPr>
    </w:lvl>
    <w:lvl w:ilvl="7" w:tplc="0856246A">
      <w:numFmt w:val="bullet"/>
      <w:lvlText w:val="•"/>
      <w:lvlJc w:val="left"/>
      <w:pPr>
        <w:ind w:left="7652" w:hanging="360"/>
      </w:pPr>
      <w:rPr>
        <w:rFonts w:hint="default"/>
        <w:lang w:val="en-US" w:eastAsia="en-US" w:bidi="ar-SA"/>
      </w:rPr>
    </w:lvl>
    <w:lvl w:ilvl="8" w:tplc="4DCAA44E">
      <w:numFmt w:val="bullet"/>
      <w:lvlText w:val="•"/>
      <w:lvlJc w:val="left"/>
      <w:pPr>
        <w:ind w:left="8577" w:hanging="360"/>
      </w:pPr>
      <w:rPr>
        <w:rFonts w:hint="default"/>
        <w:lang w:val="en-US" w:eastAsia="en-US" w:bidi="ar-SA"/>
      </w:rPr>
    </w:lvl>
  </w:abstractNum>
  <w:abstractNum w:abstractNumId="1" w15:restartNumberingAfterBreak="0">
    <w:nsid w:val="014A280A"/>
    <w:multiLevelType w:val="hybridMultilevel"/>
    <w:tmpl w:val="828A58E8"/>
    <w:lvl w:ilvl="0" w:tplc="38EE5476">
      <w:numFmt w:val="bullet"/>
      <w:lvlText w:val=""/>
      <w:lvlJc w:val="left"/>
      <w:pPr>
        <w:ind w:left="1113" w:hanging="360"/>
      </w:pPr>
      <w:rPr>
        <w:rFonts w:ascii="Symbol" w:eastAsia="Symbol" w:hAnsi="Symbol" w:cs="Symbol" w:hint="default"/>
        <w:w w:val="100"/>
        <w:sz w:val="28"/>
        <w:szCs w:val="28"/>
        <w:lang w:val="en-US" w:eastAsia="en-US" w:bidi="ar-SA"/>
      </w:rPr>
    </w:lvl>
    <w:lvl w:ilvl="1" w:tplc="98B874BC">
      <w:numFmt w:val="bullet"/>
      <w:lvlText w:val="•"/>
      <w:lvlJc w:val="left"/>
      <w:pPr>
        <w:ind w:left="2050" w:hanging="360"/>
      </w:pPr>
      <w:rPr>
        <w:rFonts w:hint="default"/>
        <w:lang w:val="en-US" w:eastAsia="en-US" w:bidi="ar-SA"/>
      </w:rPr>
    </w:lvl>
    <w:lvl w:ilvl="2" w:tplc="C7941BCC">
      <w:numFmt w:val="bullet"/>
      <w:lvlText w:val="•"/>
      <w:lvlJc w:val="left"/>
      <w:pPr>
        <w:ind w:left="2981" w:hanging="360"/>
      </w:pPr>
      <w:rPr>
        <w:rFonts w:hint="default"/>
        <w:lang w:val="en-US" w:eastAsia="en-US" w:bidi="ar-SA"/>
      </w:rPr>
    </w:lvl>
    <w:lvl w:ilvl="3" w:tplc="E8687284">
      <w:numFmt w:val="bullet"/>
      <w:lvlText w:val="•"/>
      <w:lvlJc w:val="left"/>
      <w:pPr>
        <w:ind w:left="3911" w:hanging="360"/>
      </w:pPr>
      <w:rPr>
        <w:rFonts w:hint="default"/>
        <w:lang w:val="en-US" w:eastAsia="en-US" w:bidi="ar-SA"/>
      </w:rPr>
    </w:lvl>
    <w:lvl w:ilvl="4" w:tplc="A8788140">
      <w:numFmt w:val="bullet"/>
      <w:lvlText w:val="•"/>
      <w:lvlJc w:val="left"/>
      <w:pPr>
        <w:ind w:left="4842" w:hanging="360"/>
      </w:pPr>
      <w:rPr>
        <w:rFonts w:hint="default"/>
        <w:lang w:val="en-US" w:eastAsia="en-US" w:bidi="ar-SA"/>
      </w:rPr>
    </w:lvl>
    <w:lvl w:ilvl="5" w:tplc="176CF1AA">
      <w:numFmt w:val="bullet"/>
      <w:lvlText w:val="•"/>
      <w:lvlJc w:val="left"/>
      <w:pPr>
        <w:ind w:left="5773" w:hanging="360"/>
      </w:pPr>
      <w:rPr>
        <w:rFonts w:hint="default"/>
        <w:lang w:val="en-US" w:eastAsia="en-US" w:bidi="ar-SA"/>
      </w:rPr>
    </w:lvl>
    <w:lvl w:ilvl="6" w:tplc="CD467D72">
      <w:numFmt w:val="bullet"/>
      <w:lvlText w:val="•"/>
      <w:lvlJc w:val="left"/>
      <w:pPr>
        <w:ind w:left="6703" w:hanging="360"/>
      </w:pPr>
      <w:rPr>
        <w:rFonts w:hint="default"/>
        <w:lang w:val="en-US" w:eastAsia="en-US" w:bidi="ar-SA"/>
      </w:rPr>
    </w:lvl>
    <w:lvl w:ilvl="7" w:tplc="DC5C7824">
      <w:numFmt w:val="bullet"/>
      <w:lvlText w:val="•"/>
      <w:lvlJc w:val="left"/>
      <w:pPr>
        <w:ind w:left="7634" w:hanging="360"/>
      </w:pPr>
      <w:rPr>
        <w:rFonts w:hint="default"/>
        <w:lang w:val="en-US" w:eastAsia="en-US" w:bidi="ar-SA"/>
      </w:rPr>
    </w:lvl>
    <w:lvl w:ilvl="8" w:tplc="6C989026">
      <w:numFmt w:val="bullet"/>
      <w:lvlText w:val="•"/>
      <w:lvlJc w:val="left"/>
      <w:pPr>
        <w:ind w:left="8565" w:hanging="360"/>
      </w:pPr>
      <w:rPr>
        <w:rFonts w:hint="default"/>
        <w:lang w:val="en-US" w:eastAsia="en-US" w:bidi="ar-SA"/>
      </w:rPr>
    </w:lvl>
  </w:abstractNum>
  <w:abstractNum w:abstractNumId="2" w15:restartNumberingAfterBreak="0">
    <w:nsid w:val="04107CE1"/>
    <w:multiLevelType w:val="multilevel"/>
    <w:tmpl w:val="18A24DAA"/>
    <w:lvl w:ilvl="0">
      <w:start w:val="3"/>
      <w:numFmt w:val="decimal"/>
      <w:lvlText w:val="%1"/>
      <w:lvlJc w:val="left"/>
      <w:pPr>
        <w:ind w:left="1113" w:hanging="798"/>
        <w:jc w:val="left"/>
      </w:pPr>
      <w:rPr>
        <w:rFonts w:hint="default"/>
        <w:lang w:val="en-US" w:eastAsia="en-US" w:bidi="ar-SA"/>
      </w:rPr>
    </w:lvl>
    <w:lvl w:ilvl="1">
      <w:start w:val="6"/>
      <w:numFmt w:val="decimal"/>
      <w:lvlText w:val="%1.%2"/>
      <w:lvlJc w:val="left"/>
      <w:pPr>
        <w:ind w:left="1113" w:hanging="798"/>
        <w:jc w:val="left"/>
      </w:pPr>
      <w:rPr>
        <w:rFonts w:hint="default"/>
        <w:lang w:val="en-US" w:eastAsia="en-US" w:bidi="ar-SA"/>
      </w:rPr>
    </w:lvl>
    <w:lvl w:ilvl="2">
      <w:start w:val="1"/>
      <w:numFmt w:val="decimal"/>
      <w:lvlText w:val="%1.%2.%3."/>
      <w:lvlJc w:val="left"/>
      <w:pPr>
        <w:ind w:left="1113" w:hanging="798"/>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3911" w:hanging="798"/>
      </w:pPr>
      <w:rPr>
        <w:rFonts w:hint="default"/>
        <w:lang w:val="en-US" w:eastAsia="en-US" w:bidi="ar-SA"/>
      </w:rPr>
    </w:lvl>
    <w:lvl w:ilvl="4">
      <w:numFmt w:val="bullet"/>
      <w:lvlText w:val="•"/>
      <w:lvlJc w:val="left"/>
      <w:pPr>
        <w:ind w:left="4842" w:hanging="798"/>
      </w:pPr>
      <w:rPr>
        <w:rFonts w:hint="default"/>
        <w:lang w:val="en-US" w:eastAsia="en-US" w:bidi="ar-SA"/>
      </w:rPr>
    </w:lvl>
    <w:lvl w:ilvl="5">
      <w:numFmt w:val="bullet"/>
      <w:lvlText w:val="•"/>
      <w:lvlJc w:val="left"/>
      <w:pPr>
        <w:ind w:left="5773" w:hanging="798"/>
      </w:pPr>
      <w:rPr>
        <w:rFonts w:hint="default"/>
        <w:lang w:val="en-US" w:eastAsia="en-US" w:bidi="ar-SA"/>
      </w:rPr>
    </w:lvl>
    <w:lvl w:ilvl="6">
      <w:numFmt w:val="bullet"/>
      <w:lvlText w:val="•"/>
      <w:lvlJc w:val="left"/>
      <w:pPr>
        <w:ind w:left="6703" w:hanging="798"/>
      </w:pPr>
      <w:rPr>
        <w:rFonts w:hint="default"/>
        <w:lang w:val="en-US" w:eastAsia="en-US" w:bidi="ar-SA"/>
      </w:rPr>
    </w:lvl>
    <w:lvl w:ilvl="7">
      <w:numFmt w:val="bullet"/>
      <w:lvlText w:val="•"/>
      <w:lvlJc w:val="left"/>
      <w:pPr>
        <w:ind w:left="7634" w:hanging="798"/>
      </w:pPr>
      <w:rPr>
        <w:rFonts w:hint="default"/>
        <w:lang w:val="en-US" w:eastAsia="en-US" w:bidi="ar-SA"/>
      </w:rPr>
    </w:lvl>
    <w:lvl w:ilvl="8">
      <w:numFmt w:val="bullet"/>
      <w:lvlText w:val="•"/>
      <w:lvlJc w:val="left"/>
      <w:pPr>
        <w:ind w:left="8565" w:hanging="798"/>
      </w:pPr>
      <w:rPr>
        <w:rFonts w:hint="default"/>
        <w:lang w:val="en-US" w:eastAsia="en-US" w:bidi="ar-SA"/>
      </w:rPr>
    </w:lvl>
  </w:abstractNum>
  <w:abstractNum w:abstractNumId="3" w15:restartNumberingAfterBreak="0">
    <w:nsid w:val="08D92106"/>
    <w:multiLevelType w:val="hybridMultilevel"/>
    <w:tmpl w:val="1624DE8C"/>
    <w:lvl w:ilvl="0" w:tplc="337695BE">
      <w:numFmt w:val="bullet"/>
      <w:lvlText w:val=""/>
      <w:lvlJc w:val="left"/>
      <w:pPr>
        <w:ind w:left="753" w:hanging="361"/>
      </w:pPr>
      <w:rPr>
        <w:rFonts w:ascii="Symbol" w:eastAsia="Symbol" w:hAnsi="Symbol" w:cs="Symbol" w:hint="default"/>
        <w:w w:val="100"/>
        <w:sz w:val="28"/>
        <w:szCs w:val="28"/>
        <w:lang w:val="en-US" w:eastAsia="en-US" w:bidi="ar-SA"/>
      </w:rPr>
    </w:lvl>
    <w:lvl w:ilvl="1" w:tplc="277E6944">
      <w:numFmt w:val="bullet"/>
      <w:lvlText w:val="•"/>
      <w:lvlJc w:val="left"/>
      <w:pPr>
        <w:ind w:left="1726" w:hanging="361"/>
      </w:pPr>
      <w:rPr>
        <w:rFonts w:hint="default"/>
        <w:lang w:val="en-US" w:eastAsia="en-US" w:bidi="ar-SA"/>
      </w:rPr>
    </w:lvl>
    <w:lvl w:ilvl="2" w:tplc="F0F45A32">
      <w:numFmt w:val="bullet"/>
      <w:lvlText w:val="•"/>
      <w:lvlJc w:val="left"/>
      <w:pPr>
        <w:ind w:left="2693" w:hanging="361"/>
      </w:pPr>
      <w:rPr>
        <w:rFonts w:hint="default"/>
        <w:lang w:val="en-US" w:eastAsia="en-US" w:bidi="ar-SA"/>
      </w:rPr>
    </w:lvl>
    <w:lvl w:ilvl="3" w:tplc="B5FC12D4">
      <w:numFmt w:val="bullet"/>
      <w:lvlText w:val="•"/>
      <w:lvlJc w:val="left"/>
      <w:pPr>
        <w:ind w:left="3659" w:hanging="361"/>
      </w:pPr>
      <w:rPr>
        <w:rFonts w:hint="default"/>
        <w:lang w:val="en-US" w:eastAsia="en-US" w:bidi="ar-SA"/>
      </w:rPr>
    </w:lvl>
    <w:lvl w:ilvl="4" w:tplc="9DE4BFF4">
      <w:numFmt w:val="bullet"/>
      <w:lvlText w:val="•"/>
      <w:lvlJc w:val="left"/>
      <w:pPr>
        <w:ind w:left="4626" w:hanging="361"/>
      </w:pPr>
      <w:rPr>
        <w:rFonts w:hint="default"/>
        <w:lang w:val="en-US" w:eastAsia="en-US" w:bidi="ar-SA"/>
      </w:rPr>
    </w:lvl>
    <w:lvl w:ilvl="5" w:tplc="7A06BACC">
      <w:numFmt w:val="bullet"/>
      <w:lvlText w:val="•"/>
      <w:lvlJc w:val="left"/>
      <w:pPr>
        <w:ind w:left="5593" w:hanging="361"/>
      </w:pPr>
      <w:rPr>
        <w:rFonts w:hint="default"/>
        <w:lang w:val="en-US" w:eastAsia="en-US" w:bidi="ar-SA"/>
      </w:rPr>
    </w:lvl>
    <w:lvl w:ilvl="6" w:tplc="98A2E988">
      <w:numFmt w:val="bullet"/>
      <w:lvlText w:val="•"/>
      <w:lvlJc w:val="left"/>
      <w:pPr>
        <w:ind w:left="6559" w:hanging="361"/>
      </w:pPr>
      <w:rPr>
        <w:rFonts w:hint="default"/>
        <w:lang w:val="en-US" w:eastAsia="en-US" w:bidi="ar-SA"/>
      </w:rPr>
    </w:lvl>
    <w:lvl w:ilvl="7" w:tplc="C1069DA6">
      <w:numFmt w:val="bullet"/>
      <w:lvlText w:val="•"/>
      <w:lvlJc w:val="left"/>
      <w:pPr>
        <w:ind w:left="7526" w:hanging="361"/>
      </w:pPr>
      <w:rPr>
        <w:rFonts w:hint="default"/>
        <w:lang w:val="en-US" w:eastAsia="en-US" w:bidi="ar-SA"/>
      </w:rPr>
    </w:lvl>
    <w:lvl w:ilvl="8" w:tplc="5AB07B3E">
      <w:numFmt w:val="bullet"/>
      <w:lvlText w:val="•"/>
      <w:lvlJc w:val="left"/>
      <w:pPr>
        <w:ind w:left="8493" w:hanging="361"/>
      </w:pPr>
      <w:rPr>
        <w:rFonts w:hint="default"/>
        <w:lang w:val="en-US" w:eastAsia="en-US" w:bidi="ar-SA"/>
      </w:rPr>
    </w:lvl>
  </w:abstractNum>
  <w:abstractNum w:abstractNumId="4" w15:restartNumberingAfterBreak="0">
    <w:nsid w:val="24034104"/>
    <w:multiLevelType w:val="multilevel"/>
    <w:tmpl w:val="01103A82"/>
    <w:lvl w:ilvl="0">
      <w:numFmt w:val="bullet"/>
      <w:lvlText w:val=""/>
      <w:lvlJc w:val="left"/>
      <w:pPr>
        <w:ind w:left="539" w:hanging="361"/>
      </w:pPr>
      <w:rPr>
        <w:rFonts w:ascii="Symbol" w:eastAsia="Symbol" w:hAnsi="Symbol" w:cs="Symbol" w:hint="default"/>
        <w:w w:val="99"/>
        <w:sz w:val="20"/>
        <w:szCs w:val="20"/>
        <w:lang w:val="en-US" w:eastAsia="en-US" w:bidi="ar-SA"/>
      </w:rPr>
    </w:lvl>
    <w:lvl w:ilvl="1">
      <w:start w:val="1"/>
      <w:numFmt w:val="decimal"/>
      <w:lvlText w:val="%2."/>
      <w:lvlJc w:val="left"/>
      <w:pPr>
        <w:ind w:left="753" w:hanging="361"/>
        <w:jc w:val="right"/>
      </w:pPr>
      <w:rPr>
        <w:rFonts w:ascii="Times New Roman" w:eastAsia="Times New Roman" w:hAnsi="Times New Roman" w:cs="Times New Roman" w:hint="default"/>
        <w:b/>
        <w:bCs/>
        <w:w w:val="100"/>
        <w:sz w:val="36"/>
        <w:szCs w:val="36"/>
        <w:lang w:val="en-US" w:eastAsia="en-US" w:bidi="ar-SA"/>
      </w:rPr>
    </w:lvl>
    <w:lvl w:ilvl="2">
      <w:start w:val="1"/>
      <w:numFmt w:val="decimal"/>
      <w:lvlText w:val="%2.%3."/>
      <w:lvlJc w:val="left"/>
      <w:pPr>
        <w:ind w:left="1185" w:hanging="432"/>
        <w:jc w:val="left"/>
      </w:pPr>
      <w:rPr>
        <w:rFonts w:ascii="Times New Roman" w:eastAsia="Times New Roman" w:hAnsi="Times New Roman" w:cs="Times New Roman" w:hint="default"/>
        <w:b/>
        <w:bCs/>
        <w:w w:val="100"/>
        <w:sz w:val="26"/>
        <w:szCs w:val="26"/>
        <w:lang w:val="en-US" w:eastAsia="en-US" w:bidi="ar-SA"/>
      </w:rPr>
    </w:lvl>
    <w:lvl w:ilvl="3">
      <w:start w:val="1"/>
      <w:numFmt w:val="decimal"/>
      <w:lvlText w:val="%2.%3.%4."/>
      <w:lvlJc w:val="left"/>
      <w:pPr>
        <w:ind w:left="1833" w:hanging="720"/>
        <w:jc w:val="left"/>
      </w:pPr>
      <w:rPr>
        <w:rFonts w:ascii="Times New Roman" w:eastAsia="Times New Roman" w:hAnsi="Times New Roman" w:cs="Times New Roman" w:hint="default"/>
        <w:b/>
        <w:bCs/>
        <w:spacing w:val="-3"/>
        <w:w w:val="100"/>
        <w:sz w:val="28"/>
        <w:szCs w:val="28"/>
        <w:lang w:val="en-US" w:eastAsia="en-US" w:bidi="ar-SA"/>
      </w:rPr>
    </w:lvl>
    <w:lvl w:ilvl="4">
      <w:numFmt w:val="bullet"/>
      <w:lvlText w:val=""/>
      <w:lvlJc w:val="left"/>
      <w:pPr>
        <w:ind w:left="1101" w:hanging="360"/>
      </w:pPr>
      <w:rPr>
        <w:rFonts w:ascii="Symbol" w:eastAsia="Symbol" w:hAnsi="Symbol" w:cs="Symbol" w:hint="default"/>
        <w:w w:val="100"/>
        <w:sz w:val="28"/>
        <w:szCs w:val="28"/>
        <w:lang w:val="en-US" w:eastAsia="en-US" w:bidi="ar-SA"/>
      </w:rPr>
    </w:lvl>
    <w:lvl w:ilvl="5">
      <w:numFmt w:val="bullet"/>
      <w:lvlText w:val="•"/>
      <w:lvlJc w:val="left"/>
      <w:pPr>
        <w:ind w:left="1260" w:hanging="360"/>
      </w:pPr>
      <w:rPr>
        <w:rFonts w:hint="default"/>
        <w:lang w:val="en-US" w:eastAsia="en-US" w:bidi="ar-SA"/>
      </w:rPr>
    </w:lvl>
    <w:lvl w:ilvl="6">
      <w:numFmt w:val="bullet"/>
      <w:lvlText w:val="•"/>
      <w:lvlJc w:val="left"/>
      <w:pPr>
        <w:ind w:left="1620" w:hanging="360"/>
      </w:pPr>
      <w:rPr>
        <w:rFonts w:hint="default"/>
        <w:lang w:val="en-US" w:eastAsia="en-US" w:bidi="ar-SA"/>
      </w:rPr>
    </w:lvl>
    <w:lvl w:ilvl="7">
      <w:numFmt w:val="bullet"/>
      <w:lvlText w:val="•"/>
      <w:lvlJc w:val="left"/>
      <w:pPr>
        <w:ind w:left="1840" w:hanging="360"/>
      </w:pPr>
      <w:rPr>
        <w:rFonts w:hint="default"/>
        <w:lang w:val="en-US" w:eastAsia="en-US" w:bidi="ar-SA"/>
      </w:rPr>
    </w:lvl>
    <w:lvl w:ilvl="8">
      <w:numFmt w:val="bullet"/>
      <w:lvlText w:val="•"/>
      <w:lvlJc w:val="left"/>
      <w:pPr>
        <w:ind w:left="2200" w:hanging="360"/>
      </w:pPr>
      <w:rPr>
        <w:rFonts w:hint="default"/>
        <w:lang w:val="en-US" w:eastAsia="en-US" w:bidi="ar-SA"/>
      </w:rPr>
    </w:lvl>
  </w:abstractNum>
  <w:abstractNum w:abstractNumId="5" w15:restartNumberingAfterBreak="0">
    <w:nsid w:val="3AA620FE"/>
    <w:multiLevelType w:val="hybridMultilevel"/>
    <w:tmpl w:val="E0D4CD78"/>
    <w:lvl w:ilvl="0" w:tplc="F4B68DDE">
      <w:numFmt w:val="bullet"/>
      <w:lvlText w:val=""/>
      <w:lvlJc w:val="left"/>
      <w:pPr>
        <w:ind w:left="760" w:hanging="265"/>
      </w:pPr>
      <w:rPr>
        <w:rFonts w:ascii="Wingdings" w:eastAsia="Wingdings" w:hAnsi="Wingdings" w:cs="Wingdings" w:hint="default"/>
        <w:w w:val="100"/>
        <w:sz w:val="15"/>
        <w:szCs w:val="15"/>
        <w:lang w:val="en-US" w:eastAsia="en-US" w:bidi="ar-SA"/>
      </w:rPr>
    </w:lvl>
    <w:lvl w:ilvl="1" w:tplc="059438F6">
      <w:numFmt w:val="bullet"/>
      <w:lvlText w:val="•"/>
      <w:lvlJc w:val="left"/>
      <w:pPr>
        <w:ind w:left="1726" w:hanging="265"/>
      </w:pPr>
      <w:rPr>
        <w:rFonts w:hint="default"/>
        <w:lang w:val="en-US" w:eastAsia="en-US" w:bidi="ar-SA"/>
      </w:rPr>
    </w:lvl>
    <w:lvl w:ilvl="2" w:tplc="B404B4C2">
      <w:numFmt w:val="bullet"/>
      <w:lvlText w:val="•"/>
      <w:lvlJc w:val="left"/>
      <w:pPr>
        <w:ind w:left="2693" w:hanging="265"/>
      </w:pPr>
      <w:rPr>
        <w:rFonts w:hint="default"/>
        <w:lang w:val="en-US" w:eastAsia="en-US" w:bidi="ar-SA"/>
      </w:rPr>
    </w:lvl>
    <w:lvl w:ilvl="3" w:tplc="1C184EB8">
      <w:numFmt w:val="bullet"/>
      <w:lvlText w:val="•"/>
      <w:lvlJc w:val="left"/>
      <w:pPr>
        <w:ind w:left="3659" w:hanging="265"/>
      </w:pPr>
      <w:rPr>
        <w:rFonts w:hint="default"/>
        <w:lang w:val="en-US" w:eastAsia="en-US" w:bidi="ar-SA"/>
      </w:rPr>
    </w:lvl>
    <w:lvl w:ilvl="4" w:tplc="6B26FB70">
      <w:numFmt w:val="bullet"/>
      <w:lvlText w:val="•"/>
      <w:lvlJc w:val="left"/>
      <w:pPr>
        <w:ind w:left="4626" w:hanging="265"/>
      </w:pPr>
      <w:rPr>
        <w:rFonts w:hint="default"/>
        <w:lang w:val="en-US" w:eastAsia="en-US" w:bidi="ar-SA"/>
      </w:rPr>
    </w:lvl>
    <w:lvl w:ilvl="5" w:tplc="C3345746">
      <w:numFmt w:val="bullet"/>
      <w:lvlText w:val="•"/>
      <w:lvlJc w:val="left"/>
      <w:pPr>
        <w:ind w:left="5593" w:hanging="265"/>
      </w:pPr>
      <w:rPr>
        <w:rFonts w:hint="default"/>
        <w:lang w:val="en-US" w:eastAsia="en-US" w:bidi="ar-SA"/>
      </w:rPr>
    </w:lvl>
    <w:lvl w:ilvl="6" w:tplc="855C9A74">
      <w:numFmt w:val="bullet"/>
      <w:lvlText w:val="•"/>
      <w:lvlJc w:val="left"/>
      <w:pPr>
        <w:ind w:left="6559" w:hanging="265"/>
      </w:pPr>
      <w:rPr>
        <w:rFonts w:hint="default"/>
        <w:lang w:val="en-US" w:eastAsia="en-US" w:bidi="ar-SA"/>
      </w:rPr>
    </w:lvl>
    <w:lvl w:ilvl="7" w:tplc="D9FE662E">
      <w:numFmt w:val="bullet"/>
      <w:lvlText w:val="•"/>
      <w:lvlJc w:val="left"/>
      <w:pPr>
        <w:ind w:left="7526" w:hanging="265"/>
      </w:pPr>
      <w:rPr>
        <w:rFonts w:hint="default"/>
        <w:lang w:val="en-US" w:eastAsia="en-US" w:bidi="ar-SA"/>
      </w:rPr>
    </w:lvl>
    <w:lvl w:ilvl="8" w:tplc="69A08EC2">
      <w:numFmt w:val="bullet"/>
      <w:lvlText w:val="•"/>
      <w:lvlJc w:val="left"/>
      <w:pPr>
        <w:ind w:left="8493" w:hanging="265"/>
      </w:pPr>
      <w:rPr>
        <w:rFonts w:hint="default"/>
        <w:lang w:val="en-US" w:eastAsia="en-US" w:bidi="ar-SA"/>
      </w:rPr>
    </w:lvl>
  </w:abstractNum>
  <w:abstractNum w:abstractNumId="6" w15:restartNumberingAfterBreak="0">
    <w:nsid w:val="4CA05F45"/>
    <w:multiLevelType w:val="hybridMultilevel"/>
    <w:tmpl w:val="6526D0C2"/>
    <w:lvl w:ilvl="0" w:tplc="26FC1AC6">
      <w:numFmt w:val="bullet"/>
      <w:lvlText w:val=""/>
      <w:lvlJc w:val="left"/>
      <w:pPr>
        <w:ind w:left="820" w:hanging="361"/>
      </w:pPr>
      <w:rPr>
        <w:rFonts w:hint="default"/>
        <w:w w:val="100"/>
        <w:lang w:val="en-US" w:eastAsia="en-US" w:bidi="ar-SA"/>
      </w:rPr>
    </w:lvl>
    <w:lvl w:ilvl="1" w:tplc="5FD60E84">
      <w:numFmt w:val="bullet"/>
      <w:lvlText w:val="•"/>
      <w:lvlJc w:val="left"/>
      <w:pPr>
        <w:ind w:left="1780" w:hanging="361"/>
      </w:pPr>
      <w:rPr>
        <w:rFonts w:hint="default"/>
        <w:lang w:val="en-US" w:eastAsia="en-US" w:bidi="ar-SA"/>
      </w:rPr>
    </w:lvl>
    <w:lvl w:ilvl="2" w:tplc="2FCCF1A2">
      <w:numFmt w:val="bullet"/>
      <w:lvlText w:val="•"/>
      <w:lvlJc w:val="left"/>
      <w:pPr>
        <w:ind w:left="2741" w:hanging="361"/>
      </w:pPr>
      <w:rPr>
        <w:rFonts w:hint="default"/>
        <w:lang w:val="en-US" w:eastAsia="en-US" w:bidi="ar-SA"/>
      </w:rPr>
    </w:lvl>
    <w:lvl w:ilvl="3" w:tplc="5E44C528">
      <w:numFmt w:val="bullet"/>
      <w:lvlText w:val="•"/>
      <w:lvlJc w:val="left"/>
      <w:pPr>
        <w:ind w:left="3701" w:hanging="361"/>
      </w:pPr>
      <w:rPr>
        <w:rFonts w:hint="default"/>
        <w:lang w:val="en-US" w:eastAsia="en-US" w:bidi="ar-SA"/>
      </w:rPr>
    </w:lvl>
    <w:lvl w:ilvl="4" w:tplc="1E2A7BD8">
      <w:numFmt w:val="bullet"/>
      <w:lvlText w:val="•"/>
      <w:lvlJc w:val="left"/>
      <w:pPr>
        <w:ind w:left="4662" w:hanging="361"/>
      </w:pPr>
      <w:rPr>
        <w:rFonts w:hint="default"/>
        <w:lang w:val="en-US" w:eastAsia="en-US" w:bidi="ar-SA"/>
      </w:rPr>
    </w:lvl>
    <w:lvl w:ilvl="5" w:tplc="93F826AA">
      <w:numFmt w:val="bullet"/>
      <w:lvlText w:val="•"/>
      <w:lvlJc w:val="left"/>
      <w:pPr>
        <w:ind w:left="5623" w:hanging="361"/>
      </w:pPr>
      <w:rPr>
        <w:rFonts w:hint="default"/>
        <w:lang w:val="en-US" w:eastAsia="en-US" w:bidi="ar-SA"/>
      </w:rPr>
    </w:lvl>
    <w:lvl w:ilvl="6" w:tplc="C0C84A66">
      <w:numFmt w:val="bullet"/>
      <w:lvlText w:val="•"/>
      <w:lvlJc w:val="left"/>
      <w:pPr>
        <w:ind w:left="6583" w:hanging="361"/>
      </w:pPr>
      <w:rPr>
        <w:rFonts w:hint="default"/>
        <w:lang w:val="en-US" w:eastAsia="en-US" w:bidi="ar-SA"/>
      </w:rPr>
    </w:lvl>
    <w:lvl w:ilvl="7" w:tplc="B1BC18E4">
      <w:numFmt w:val="bullet"/>
      <w:lvlText w:val="•"/>
      <w:lvlJc w:val="left"/>
      <w:pPr>
        <w:ind w:left="7544" w:hanging="361"/>
      </w:pPr>
      <w:rPr>
        <w:rFonts w:hint="default"/>
        <w:lang w:val="en-US" w:eastAsia="en-US" w:bidi="ar-SA"/>
      </w:rPr>
    </w:lvl>
    <w:lvl w:ilvl="8" w:tplc="3B6052A2">
      <w:numFmt w:val="bullet"/>
      <w:lvlText w:val="•"/>
      <w:lvlJc w:val="left"/>
      <w:pPr>
        <w:ind w:left="8505" w:hanging="361"/>
      </w:pPr>
      <w:rPr>
        <w:rFonts w:hint="default"/>
        <w:lang w:val="en-US" w:eastAsia="en-US" w:bidi="ar-SA"/>
      </w:rPr>
    </w:lvl>
  </w:abstractNum>
  <w:abstractNum w:abstractNumId="7" w15:restartNumberingAfterBreak="0">
    <w:nsid w:val="4E7942E7"/>
    <w:multiLevelType w:val="hybridMultilevel"/>
    <w:tmpl w:val="C0FC2D92"/>
    <w:lvl w:ilvl="0" w:tplc="AA1C7FD4">
      <w:numFmt w:val="bullet"/>
      <w:lvlText w:val=""/>
      <w:lvlJc w:val="left"/>
      <w:pPr>
        <w:ind w:left="1113" w:hanging="360"/>
      </w:pPr>
      <w:rPr>
        <w:rFonts w:ascii="Symbol" w:eastAsia="Symbol" w:hAnsi="Symbol" w:cs="Symbol" w:hint="default"/>
        <w:w w:val="100"/>
        <w:sz w:val="28"/>
        <w:szCs w:val="28"/>
        <w:lang w:val="en-US" w:eastAsia="en-US" w:bidi="ar-SA"/>
      </w:rPr>
    </w:lvl>
    <w:lvl w:ilvl="1" w:tplc="6EE4BA5A">
      <w:numFmt w:val="bullet"/>
      <w:lvlText w:val="•"/>
      <w:lvlJc w:val="left"/>
      <w:pPr>
        <w:ind w:left="2050" w:hanging="360"/>
      </w:pPr>
      <w:rPr>
        <w:rFonts w:hint="default"/>
        <w:lang w:val="en-US" w:eastAsia="en-US" w:bidi="ar-SA"/>
      </w:rPr>
    </w:lvl>
    <w:lvl w:ilvl="2" w:tplc="A95814B0">
      <w:numFmt w:val="bullet"/>
      <w:lvlText w:val="•"/>
      <w:lvlJc w:val="left"/>
      <w:pPr>
        <w:ind w:left="2981" w:hanging="360"/>
      </w:pPr>
      <w:rPr>
        <w:rFonts w:hint="default"/>
        <w:lang w:val="en-US" w:eastAsia="en-US" w:bidi="ar-SA"/>
      </w:rPr>
    </w:lvl>
    <w:lvl w:ilvl="3" w:tplc="E550E510">
      <w:numFmt w:val="bullet"/>
      <w:lvlText w:val="•"/>
      <w:lvlJc w:val="left"/>
      <w:pPr>
        <w:ind w:left="3911" w:hanging="360"/>
      </w:pPr>
      <w:rPr>
        <w:rFonts w:hint="default"/>
        <w:lang w:val="en-US" w:eastAsia="en-US" w:bidi="ar-SA"/>
      </w:rPr>
    </w:lvl>
    <w:lvl w:ilvl="4" w:tplc="47CE1B90">
      <w:numFmt w:val="bullet"/>
      <w:lvlText w:val="•"/>
      <w:lvlJc w:val="left"/>
      <w:pPr>
        <w:ind w:left="4842" w:hanging="360"/>
      </w:pPr>
      <w:rPr>
        <w:rFonts w:hint="default"/>
        <w:lang w:val="en-US" w:eastAsia="en-US" w:bidi="ar-SA"/>
      </w:rPr>
    </w:lvl>
    <w:lvl w:ilvl="5" w:tplc="B5728DDA">
      <w:numFmt w:val="bullet"/>
      <w:lvlText w:val="•"/>
      <w:lvlJc w:val="left"/>
      <w:pPr>
        <w:ind w:left="5773" w:hanging="360"/>
      </w:pPr>
      <w:rPr>
        <w:rFonts w:hint="default"/>
        <w:lang w:val="en-US" w:eastAsia="en-US" w:bidi="ar-SA"/>
      </w:rPr>
    </w:lvl>
    <w:lvl w:ilvl="6" w:tplc="63B8282E">
      <w:numFmt w:val="bullet"/>
      <w:lvlText w:val="•"/>
      <w:lvlJc w:val="left"/>
      <w:pPr>
        <w:ind w:left="6703" w:hanging="360"/>
      </w:pPr>
      <w:rPr>
        <w:rFonts w:hint="default"/>
        <w:lang w:val="en-US" w:eastAsia="en-US" w:bidi="ar-SA"/>
      </w:rPr>
    </w:lvl>
    <w:lvl w:ilvl="7" w:tplc="B526F360">
      <w:numFmt w:val="bullet"/>
      <w:lvlText w:val="•"/>
      <w:lvlJc w:val="left"/>
      <w:pPr>
        <w:ind w:left="7634" w:hanging="360"/>
      </w:pPr>
      <w:rPr>
        <w:rFonts w:hint="default"/>
        <w:lang w:val="en-US" w:eastAsia="en-US" w:bidi="ar-SA"/>
      </w:rPr>
    </w:lvl>
    <w:lvl w:ilvl="8" w:tplc="5EAC8842">
      <w:numFmt w:val="bullet"/>
      <w:lvlText w:val="•"/>
      <w:lvlJc w:val="left"/>
      <w:pPr>
        <w:ind w:left="8565" w:hanging="360"/>
      </w:pPr>
      <w:rPr>
        <w:rFonts w:hint="default"/>
        <w:lang w:val="en-US" w:eastAsia="en-US" w:bidi="ar-SA"/>
      </w:rPr>
    </w:lvl>
  </w:abstractNum>
  <w:abstractNum w:abstractNumId="8" w15:restartNumberingAfterBreak="0">
    <w:nsid w:val="4F135E7F"/>
    <w:multiLevelType w:val="multilevel"/>
    <w:tmpl w:val="CE60E89E"/>
    <w:lvl w:ilvl="0">
      <w:start w:val="1"/>
      <w:numFmt w:val="decimal"/>
      <w:lvlText w:val="%1."/>
      <w:lvlJc w:val="left"/>
      <w:pPr>
        <w:ind w:left="929" w:hanging="708"/>
        <w:jc w:val="right"/>
      </w:pPr>
      <w:rPr>
        <w:rFonts w:ascii="Times New Roman" w:eastAsia="Times New Roman" w:hAnsi="Times New Roman" w:cs="Times New Roman" w:hint="default"/>
        <w:b/>
        <w:bCs/>
        <w:w w:val="92"/>
        <w:sz w:val="32"/>
        <w:szCs w:val="32"/>
        <w:lang w:val="en-US" w:eastAsia="en-US" w:bidi="ar-SA"/>
      </w:rPr>
    </w:lvl>
    <w:lvl w:ilvl="1">
      <w:start w:val="1"/>
      <w:numFmt w:val="decimal"/>
      <w:lvlText w:val="%1.%2"/>
      <w:lvlJc w:val="left"/>
      <w:pPr>
        <w:ind w:left="1044" w:hanging="824"/>
        <w:jc w:val="left"/>
      </w:pPr>
      <w:rPr>
        <w:rFonts w:ascii="Times New Roman" w:eastAsia="Times New Roman" w:hAnsi="Times New Roman" w:cs="Times New Roman" w:hint="default"/>
        <w:b/>
        <w:bCs/>
        <w:w w:val="100"/>
        <w:sz w:val="30"/>
        <w:szCs w:val="30"/>
        <w:lang w:val="en-US" w:eastAsia="en-US" w:bidi="ar-SA"/>
      </w:rPr>
    </w:lvl>
    <w:lvl w:ilvl="2">
      <w:start w:val="1"/>
      <w:numFmt w:val="decimal"/>
      <w:lvlText w:val="%1.%2.%3."/>
      <w:lvlJc w:val="left"/>
      <w:pPr>
        <w:ind w:left="1060" w:hanging="840"/>
        <w:jc w:val="left"/>
      </w:pPr>
      <w:rPr>
        <w:rFonts w:ascii="Times New Roman" w:eastAsia="Times New Roman" w:hAnsi="Times New Roman" w:cs="Times New Roman" w:hint="default"/>
        <w:b/>
        <w:bCs/>
        <w:spacing w:val="-4"/>
        <w:w w:val="100"/>
        <w:sz w:val="28"/>
        <w:szCs w:val="28"/>
        <w:lang w:val="en-US" w:eastAsia="en-US" w:bidi="ar-SA"/>
      </w:rPr>
    </w:lvl>
    <w:lvl w:ilvl="3">
      <w:numFmt w:val="bullet"/>
      <w:lvlText w:val="•"/>
      <w:lvlJc w:val="left"/>
      <w:pPr>
        <w:ind w:left="2197" w:hanging="840"/>
      </w:pPr>
      <w:rPr>
        <w:rFonts w:hint="default"/>
        <w:lang w:val="en-US" w:eastAsia="en-US" w:bidi="ar-SA"/>
      </w:rPr>
    </w:lvl>
    <w:lvl w:ilvl="4">
      <w:numFmt w:val="bullet"/>
      <w:lvlText w:val="•"/>
      <w:lvlJc w:val="left"/>
      <w:pPr>
        <w:ind w:left="3335" w:hanging="840"/>
      </w:pPr>
      <w:rPr>
        <w:rFonts w:hint="default"/>
        <w:lang w:val="en-US" w:eastAsia="en-US" w:bidi="ar-SA"/>
      </w:rPr>
    </w:lvl>
    <w:lvl w:ilvl="5">
      <w:numFmt w:val="bullet"/>
      <w:lvlText w:val="•"/>
      <w:lvlJc w:val="left"/>
      <w:pPr>
        <w:ind w:left="4472" w:hanging="840"/>
      </w:pPr>
      <w:rPr>
        <w:rFonts w:hint="default"/>
        <w:lang w:val="en-US" w:eastAsia="en-US" w:bidi="ar-SA"/>
      </w:rPr>
    </w:lvl>
    <w:lvl w:ilvl="6">
      <w:numFmt w:val="bullet"/>
      <w:lvlText w:val="•"/>
      <w:lvlJc w:val="left"/>
      <w:pPr>
        <w:ind w:left="5610" w:hanging="840"/>
      </w:pPr>
      <w:rPr>
        <w:rFonts w:hint="default"/>
        <w:lang w:val="en-US" w:eastAsia="en-US" w:bidi="ar-SA"/>
      </w:rPr>
    </w:lvl>
    <w:lvl w:ilvl="7">
      <w:numFmt w:val="bullet"/>
      <w:lvlText w:val="•"/>
      <w:lvlJc w:val="left"/>
      <w:pPr>
        <w:ind w:left="6747" w:hanging="840"/>
      </w:pPr>
      <w:rPr>
        <w:rFonts w:hint="default"/>
        <w:lang w:val="en-US" w:eastAsia="en-US" w:bidi="ar-SA"/>
      </w:rPr>
    </w:lvl>
    <w:lvl w:ilvl="8">
      <w:numFmt w:val="bullet"/>
      <w:lvlText w:val="•"/>
      <w:lvlJc w:val="left"/>
      <w:pPr>
        <w:ind w:left="7885" w:hanging="840"/>
      </w:pPr>
      <w:rPr>
        <w:rFonts w:hint="default"/>
        <w:lang w:val="en-US" w:eastAsia="en-US" w:bidi="ar-SA"/>
      </w:rPr>
    </w:lvl>
  </w:abstractNum>
  <w:abstractNum w:abstractNumId="9" w15:restartNumberingAfterBreak="0">
    <w:nsid w:val="7D254F4A"/>
    <w:multiLevelType w:val="hybridMultilevel"/>
    <w:tmpl w:val="25E2D8A4"/>
    <w:lvl w:ilvl="0" w:tplc="8B8E4542">
      <w:numFmt w:val="bullet"/>
      <w:lvlText w:val=""/>
      <w:lvlJc w:val="left"/>
      <w:pPr>
        <w:ind w:left="1113" w:hanging="360"/>
      </w:pPr>
      <w:rPr>
        <w:rFonts w:ascii="Symbol" w:eastAsia="Symbol" w:hAnsi="Symbol" w:cs="Symbol" w:hint="default"/>
        <w:w w:val="100"/>
        <w:sz w:val="28"/>
        <w:szCs w:val="28"/>
        <w:lang w:val="en-US" w:eastAsia="en-US" w:bidi="ar-SA"/>
      </w:rPr>
    </w:lvl>
    <w:lvl w:ilvl="1" w:tplc="623AC282">
      <w:numFmt w:val="bullet"/>
      <w:lvlText w:val="•"/>
      <w:lvlJc w:val="left"/>
      <w:pPr>
        <w:ind w:left="2050" w:hanging="360"/>
      </w:pPr>
      <w:rPr>
        <w:rFonts w:hint="default"/>
        <w:lang w:val="en-US" w:eastAsia="en-US" w:bidi="ar-SA"/>
      </w:rPr>
    </w:lvl>
    <w:lvl w:ilvl="2" w:tplc="88B29886">
      <w:numFmt w:val="bullet"/>
      <w:lvlText w:val="•"/>
      <w:lvlJc w:val="left"/>
      <w:pPr>
        <w:ind w:left="2981" w:hanging="360"/>
      </w:pPr>
      <w:rPr>
        <w:rFonts w:hint="default"/>
        <w:lang w:val="en-US" w:eastAsia="en-US" w:bidi="ar-SA"/>
      </w:rPr>
    </w:lvl>
    <w:lvl w:ilvl="3" w:tplc="D896A36C">
      <w:numFmt w:val="bullet"/>
      <w:lvlText w:val="•"/>
      <w:lvlJc w:val="left"/>
      <w:pPr>
        <w:ind w:left="3911" w:hanging="360"/>
      </w:pPr>
      <w:rPr>
        <w:rFonts w:hint="default"/>
        <w:lang w:val="en-US" w:eastAsia="en-US" w:bidi="ar-SA"/>
      </w:rPr>
    </w:lvl>
    <w:lvl w:ilvl="4" w:tplc="187A4776">
      <w:numFmt w:val="bullet"/>
      <w:lvlText w:val="•"/>
      <w:lvlJc w:val="left"/>
      <w:pPr>
        <w:ind w:left="4842" w:hanging="360"/>
      </w:pPr>
      <w:rPr>
        <w:rFonts w:hint="default"/>
        <w:lang w:val="en-US" w:eastAsia="en-US" w:bidi="ar-SA"/>
      </w:rPr>
    </w:lvl>
    <w:lvl w:ilvl="5" w:tplc="09429F02">
      <w:numFmt w:val="bullet"/>
      <w:lvlText w:val="•"/>
      <w:lvlJc w:val="left"/>
      <w:pPr>
        <w:ind w:left="5773" w:hanging="360"/>
      </w:pPr>
      <w:rPr>
        <w:rFonts w:hint="default"/>
        <w:lang w:val="en-US" w:eastAsia="en-US" w:bidi="ar-SA"/>
      </w:rPr>
    </w:lvl>
    <w:lvl w:ilvl="6" w:tplc="BAC003D6">
      <w:numFmt w:val="bullet"/>
      <w:lvlText w:val="•"/>
      <w:lvlJc w:val="left"/>
      <w:pPr>
        <w:ind w:left="6703" w:hanging="360"/>
      </w:pPr>
      <w:rPr>
        <w:rFonts w:hint="default"/>
        <w:lang w:val="en-US" w:eastAsia="en-US" w:bidi="ar-SA"/>
      </w:rPr>
    </w:lvl>
    <w:lvl w:ilvl="7" w:tplc="6F2A3EF2">
      <w:numFmt w:val="bullet"/>
      <w:lvlText w:val="•"/>
      <w:lvlJc w:val="left"/>
      <w:pPr>
        <w:ind w:left="7634" w:hanging="360"/>
      </w:pPr>
      <w:rPr>
        <w:rFonts w:hint="default"/>
        <w:lang w:val="en-US" w:eastAsia="en-US" w:bidi="ar-SA"/>
      </w:rPr>
    </w:lvl>
    <w:lvl w:ilvl="8" w:tplc="4210AFD4">
      <w:numFmt w:val="bullet"/>
      <w:lvlText w:val="•"/>
      <w:lvlJc w:val="left"/>
      <w:pPr>
        <w:ind w:left="8565" w:hanging="360"/>
      </w:pPr>
      <w:rPr>
        <w:rFonts w:hint="default"/>
        <w:lang w:val="en-US" w:eastAsia="en-US" w:bidi="ar-SA"/>
      </w:rPr>
    </w:lvl>
  </w:abstractNum>
  <w:num w:numId="1" w16cid:durableId="1568110465">
    <w:abstractNumId w:val="0"/>
  </w:num>
  <w:num w:numId="2" w16cid:durableId="1080524312">
    <w:abstractNumId w:val="7"/>
  </w:num>
  <w:num w:numId="3" w16cid:durableId="1016729677">
    <w:abstractNumId w:val="3"/>
  </w:num>
  <w:num w:numId="4" w16cid:durableId="629166528">
    <w:abstractNumId w:val="2"/>
  </w:num>
  <w:num w:numId="5" w16cid:durableId="773280173">
    <w:abstractNumId w:val="5"/>
  </w:num>
  <w:num w:numId="6" w16cid:durableId="355928724">
    <w:abstractNumId w:val="9"/>
  </w:num>
  <w:num w:numId="7" w16cid:durableId="1689603902">
    <w:abstractNumId w:val="6"/>
  </w:num>
  <w:num w:numId="8" w16cid:durableId="1592546262">
    <w:abstractNumId w:val="1"/>
  </w:num>
  <w:num w:numId="9" w16cid:durableId="788205234">
    <w:abstractNumId w:val="4"/>
  </w:num>
  <w:num w:numId="10" w16cid:durableId="9701364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7D"/>
    <w:rsid w:val="000B09F3"/>
    <w:rsid w:val="00185F15"/>
    <w:rsid w:val="001C6B1B"/>
    <w:rsid w:val="003A7062"/>
    <w:rsid w:val="004044D7"/>
    <w:rsid w:val="0054176E"/>
    <w:rsid w:val="00564848"/>
    <w:rsid w:val="00595D09"/>
    <w:rsid w:val="00621761"/>
    <w:rsid w:val="006F200F"/>
    <w:rsid w:val="00781E7D"/>
    <w:rsid w:val="007D28EA"/>
    <w:rsid w:val="00863915"/>
    <w:rsid w:val="00880BF3"/>
    <w:rsid w:val="008B1179"/>
    <w:rsid w:val="008B2EF0"/>
    <w:rsid w:val="008C4C36"/>
    <w:rsid w:val="00903CAF"/>
    <w:rsid w:val="00981E25"/>
    <w:rsid w:val="009B3DDF"/>
    <w:rsid w:val="00A32213"/>
    <w:rsid w:val="00CA4C18"/>
    <w:rsid w:val="00D1142A"/>
    <w:rsid w:val="00E02AC2"/>
    <w:rsid w:val="00F17CC0"/>
    <w:rsid w:val="00FD2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011F2"/>
  <w15:docId w15:val="{C524101F-7921-4294-978F-B5B5BA0F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2"/>
      <w:outlineLvl w:val="0"/>
    </w:pPr>
    <w:rPr>
      <w:b/>
      <w:bCs/>
      <w:sz w:val="36"/>
      <w:szCs w:val="36"/>
    </w:rPr>
  </w:style>
  <w:style w:type="paragraph" w:styleId="Heading2">
    <w:name w:val="heading 2"/>
    <w:basedOn w:val="Normal"/>
    <w:uiPriority w:val="9"/>
    <w:unhideWhenUsed/>
    <w:qFormat/>
    <w:pPr>
      <w:spacing w:before="85"/>
      <w:ind w:left="753" w:hanging="362"/>
      <w:outlineLvl w:val="1"/>
    </w:pPr>
    <w:rPr>
      <w:b/>
      <w:bCs/>
      <w:sz w:val="32"/>
      <w:szCs w:val="32"/>
    </w:rPr>
  </w:style>
  <w:style w:type="paragraph" w:styleId="Heading3">
    <w:name w:val="heading 3"/>
    <w:basedOn w:val="Normal"/>
    <w:uiPriority w:val="9"/>
    <w:unhideWhenUsed/>
    <w:qFormat/>
    <w:pPr>
      <w:ind w:left="1833"/>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113"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32213"/>
    <w:rPr>
      <w:sz w:val="24"/>
      <w:szCs w:val="24"/>
    </w:rPr>
  </w:style>
  <w:style w:type="paragraph" w:styleId="Header">
    <w:name w:val="header"/>
    <w:basedOn w:val="Normal"/>
    <w:link w:val="HeaderChar"/>
    <w:uiPriority w:val="99"/>
    <w:unhideWhenUsed/>
    <w:rsid w:val="00981E25"/>
    <w:pPr>
      <w:tabs>
        <w:tab w:val="center" w:pos="4513"/>
        <w:tab w:val="right" w:pos="9026"/>
      </w:tabs>
    </w:pPr>
  </w:style>
  <w:style w:type="character" w:customStyle="1" w:styleId="HeaderChar">
    <w:name w:val="Header Char"/>
    <w:basedOn w:val="DefaultParagraphFont"/>
    <w:link w:val="Header"/>
    <w:uiPriority w:val="99"/>
    <w:rsid w:val="00981E25"/>
    <w:rPr>
      <w:rFonts w:ascii="Times New Roman" w:eastAsia="Times New Roman" w:hAnsi="Times New Roman" w:cs="Times New Roman"/>
    </w:rPr>
  </w:style>
  <w:style w:type="paragraph" w:styleId="Footer">
    <w:name w:val="footer"/>
    <w:basedOn w:val="Normal"/>
    <w:link w:val="FooterChar"/>
    <w:uiPriority w:val="99"/>
    <w:unhideWhenUsed/>
    <w:rsid w:val="00981E25"/>
    <w:pPr>
      <w:tabs>
        <w:tab w:val="center" w:pos="4513"/>
        <w:tab w:val="right" w:pos="9026"/>
      </w:tabs>
    </w:pPr>
  </w:style>
  <w:style w:type="character" w:customStyle="1" w:styleId="FooterChar">
    <w:name w:val="Footer Char"/>
    <w:basedOn w:val="DefaultParagraphFont"/>
    <w:link w:val="Footer"/>
    <w:uiPriority w:val="99"/>
    <w:rsid w:val="00981E2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035859">
      <w:bodyDiv w:val="1"/>
      <w:marLeft w:val="0"/>
      <w:marRight w:val="0"/>
      <w:marTop w:val="0"/>
      <w:marBottom w:val="0"/>
      <w:divBdr>
        <w:top w:val="none" w:sz="0" w:space="0" w:color="auto"/>
        <w:left w:val="none" w:sz="0" w:space="0" w:color="auto"/>
        <w:bottom w:val="none" w:sz="0" w:space="0" w:color="auto"/>
        <w:right w:val="none" w:sz="0" w:space="0" w:color="auto"/>
      </w:divBdr>
    </w:div>
    <w:div w:id="924723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hyperlink" Target="https://iq.opengenus.org/resnet/" TargetMode="External"/><Relationship Id="rId39" Type="http://schemas.openxmlformats.org/officeDocument/2006/relationships/image" Target="media/image23.png"/><Relationship Id="rId21" Type="http://schemas.openxmlformats.org/officeDocument/2006/relationships/image" Target="media/image6.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jpeg"/><Relationship Id="rId50" Type="http://schemas.openxmlformats.org/officeDocument/2006/relationships/image" Target="media/image33.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3.jpeg"/><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hyperlink" Target="https://www.kaggle.com/datasets/atulyakumar98/pothole-detection-dataset" TargetMode="Externa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hyperlink" Target="https://github.com/bibybinu/mace_lab/commits/main/S3_Mini%20Project" TargetMode="Externa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7.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jpe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jpeg"/><Relationship Id="rId20" Type="http://schemas.openxmlformats.org/officeDocument/2006/relationships/image" Target="media/image5.png"/><Relationship Id="rId41"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endnotes" Target="endnotes.xml"/><Relationship Id="rId60" Type="http://schemas.openxmlformats.org/officeDocument/2006/relationships/image" Target="media/sample_skin_grid.png"/><Relationship Id="rId61" Type="http://schemas.openxmlformats.org/officeDocument/2006/relationships/image" Target="media/class_distribution.png"/><Relationship Id="rId62" Type="http://schemas.openxmlformats.org/officeDocument/2006/relationships/image" Target="media/accuracy_curve.png"/><Relationship Id="rId63" Type="http://schemas.openxmlformats.org/officeDocument/2006/relationships/image" Target="media/loss_curve.png"/><Relationship Id="rId64" Type="http://schemas.openxmlformats.org/officeDocument/2006/relationships/image" Target="media/confusion_matrix.png"/><Relationship Id="rId65" Type="http://schemas.openxmlformats.org/officeDocument/2006/relationships/image" Target="media/project_pipeline.png"/><Relationship Id="rId66" Type="http://schemas.openxmlformats.org/officeDocument/2006/relationships/image" Target="media/system_architecture.png"/><Relationship Id="rId67" Type="http://schemas.openxmlformats.org/officeDocument/2006/relationships/image" Target="media/mobilenetv2_bloc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41</Pages>
  <Words>5134</Words>
  <Characters>29264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Merin Joy</dc:creator>
  <cp:lastModifiedBy>Merin Joy</cp:lastModifiedBy>
  <cp:revision>8</cp:revision>
  <dcterms:created xsi:type="dcterms:W3CDTF">2024-09-02T06:53:00Z</dcterms:created>
  <dcterms:modified xsi:type="dcterms:W3CDTF">2026-09-23T14:39:00Z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2024-09-02T00:00:00Z</vt:filetime>
  </property>
</Properties>
</file>