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Source Han Sans SC" w:hAnsi="Source Han Sans SC" w:eastAsia="Source Han Sans SC"/>
          <w:b/>
          <w:color w:val="595959"/>
          <w:sz w:val="21"/>
        </w:rPr>
        <w:t>项目备忘录</w:t>
      </w:r>
    </w:p>
    <w:p>
      <w:pPr>
        <w:spacing w:before="0" w:after="80" w:line="252" w:lineRule="auto"/>
      </w:pPr>
      <w:r>
        <w:rPr>
          <w:rFonts w:ascii="Source Han Sans SC" w:hAnsi="Source Han Sans SC" w:eastAsia="Source Han Sans SC"/>
          <w:b/>
          <w:color w:val="000000"/>
          <w:sz w:val="48"/>
        </w:rPr>
        <w:t>SpaceX 公司介绍</w:t>
      </w:r>
    </w:p>
    <w:p>
      <w:pPr>
        <w:spacing w:before="0" w:after="280" w:line="264" w:lineRule="auto"/>
      </w:pPr>
      <w:r>
        <w:rPr>
          <w:rFonts w:ascii="Source Han Sans SC" w:hAnsi="Source Han Sans SC" w:eastAsia="Source Han Sans SC"/>
          <w:b w:val="0"/>
          <w:color w:val="595959"/>
          <w:sz w:val="26"/>
        </w:rPr>
        <w:t>从可复用火箭到星际运输体系的商业航天样本</w:t>
      </w:r>
    </w:p>
    <w:p>
      <w:pPr>
        <w:spacing w:after="40" w:line="264" w:lineRule="auto"/>
      </w:pPr>
      <w:r>
        <w:rPr>
          <w:rFonts w:ascii="Source Han Sans SC" w:hAnsi="Source Han Sans SC" w:eastAsia="Source Han Sans SC"/>
          <w:b/>
          <w:sz w:val="22"/>
        </w:rPr>
        <w:t>致：</w:t>
      </w:r>
      <w:r>
        <w:rPr>
          <w:rFonts w:ascii="Source Han Sans SC" w:hAnsi="Source Han Sans SC" w:eastAsia="Source Han Sans SC"/>
          <w:sz w:val="22"/>
        </w:rPr>
        <w:t>项目团队 / 管理层参考</w:t>
      </w:r>
    </w:p>
    <w:p>
      <w:pPr>
        <w:spacing w:after="40" w:line="264" w:lineRule="auto"/>
      </w:pPr>
      <w:r>
        <w:rPr>
          <w:rFonts w:ascii="Source Han Sans SC" w:hAnsi="Source Han Sans SC" w:eastAsia="Source Han Sans SC"/>
          <w:b/>
          <w:sz w:val="22"/>
        </w:rPr>
        <w:t>自：</w:t>
      </w:r>
      <w:r>
        <w:rPr>
          <w:rFonts w:ascii="Source Han Sans SC" w:hAnsi="Source Han Sans SC" w:eastAsia="Source Han Sans SC"/>
          <w:sz w:val="22"/>
        </w:rPr>
        <w:t>Codex 文档助手</w:t>
      </w:r>
    </w:p>
    <w:p>
      <w:pPr>
        <w:spacing w:after="40" w:line="264" w:lineRule="auto"/>
      </w:pPr>
      <w:r>
        <w:rPr>
          <w:rFonts w:ascii="Source Han Sans SC" w:hAnsi="Source Han Sans SC" w:eastAsia="Source Han Sans SC"/>
          <w:b/>
          <w:sz w:val="22"/>
        </w:rPr>
        <w:t>日期：</w:t>
      </w:r>
      <w:r>
        <w:rPr>
          <w:rFonts w:ascii="Source Han Sans SC" w:hAnsi="Source Han Sans SC" w:eastAsia="Source Han Sans SC"/>
          <w:sz w:val="22"/>
        </w:rPr>
        <w:t>2026年6月16日</w:t>
      </w:r>
    </w:p>
    <w:p>
      <w:pPr>
        <w:spacing w:after="40" w:line="264" w:lineRule="auto"/>
      </w:pPr>
      <w:r>
        <w:rPr>
          <w:rFonts w:ascii="Source Han Sans SC" w:hAnsi="Source Han Sans SC" w:eastAsia="Source Han Sans SC"/>
          <w:b/>
          <w:sz w:val="22"/>
        </w:rPr>
        <w:t>主题：</w:t>
      </w:r>
      <w:r>
        <w:rPr>
          <w:rFonts w:ascii="Source Han Sans SC" w:hAnsi="Source Han Sans SC" w:eastAsia="Source Han Sans SC"/>
          <w:sz w:val="22"/>
        </w:rPr>
        <w:t>SpaceX 业务、技术路线与战略价值概览</w:t>
      </w:r>
    </w:p>
    <w:p>
      <w:pPr>
        <w:spacing w:after="40" w:line="264" w:lineRule="auto"/>
      </w:pPr>
      <w:r>
        <w:rPr>
          <w:rFonts w:ascii="Source Han Sans SC" w:hAnsi="Source Han Sans SC" w:eastAsia="Source Han Sans SC"/>
          <w:b/>
          <w:sz w:val="22"/>
        </w:rPr>
        <w:t>状态：</w:t>
      </w:r>
      <w:r>
        <w:rPr>
          <w:rFonts w:ascii="Source Han Sans SC" w:hAnsi="Source Han Sans SC" w:eastAsia="Source Han Sans SC"/>
          <w:sz w:val="22"/>
        </w:rPr>
        <w:t>草案，可按用途继续扩展为路演材料或研究报告</w:t>
      </w:r>
    </w:p>
    <w:p>
      <w:pPr>
        <w:pBdr>
          <w:bottom w:val="single" w:sz="12" w:space="4" w:color="2E74B5"/>
        </w:pBdr>
      </w:pPr>
    </w:p>
    <w:p>
      <w:pPr>
        <w:pStyle w:val="Heading1"/>
      </w:pPr>
      <w:r>
        <w:t>一、执行摘要</w:t>
      </w:r>
    </w:p>
    <w:p>
      <w:pPr>
        <w:spacing w:before="0" w:after="120" w:line="264" w:lineRule="auto"/>
      </w:pPr>
      <w:r>
        <w:rPr>
          <w:rFonts w:ascii="Source Han Sans SC" w:hAnsi="Source Han Sans SC" w:eastAsia="Source Han Sans SC"/>
          <w:b w:val="0"/>
          <w:color w:val="000000"/>
          <w:sz w:val="22"/>
        </w:rPr>
        <w:t>SpaceX（Space Exploration Technologies Corp.）是一家以降低进入太空成本、提升发射频次、并最终支持人类向月球和火星等深空目的地扩展为核心目标的美国商业航天公司。它的竞争力并不只来自单一火箭型号，而来自“火箭发射、飞船运输、卫星互联网、深空系统”相互强化的工程与商业组合。</w:t>
      </w:r>
    </w:p>
    <w:p>
      <w:pPr>
        <w:pStyle w:val="ListBullet"/>
        <w:spacing w:after="160" w:line="280" w:lineRule="auto"/>
      </w:pPr>
      <w:r>
        <w:rPr>
          <w:rFonts w:ascii="Source Han Sans SC" w:hAnsi="Source Han Sans SC" w:eastAsia="Source Han Sans SC"/>
          <w:sz w:val="22"/>
        </w:rPr>
        <w:t>在发射领域，Falcon 9 通过一级火箭回收复用改变了商业发射的成本结构和节奏。</w:t>
      </w:r>
    </w:p>
    <w:p>
      <w:pPr>
        <w:pStyle w:val="ListBullet"/>
        <w:spacing w:after="160" w:line="280" w:lineRule="auto"/>
      </w:pPr>
      <w:r>
        <w:rPr>
          <w:rFonts w:ascii="Source Han Sans SC" w:hAnsi="Source Han Sans SC" w:eastAsia="Source Han Sans SC"/>
          <w:sz w:val="22"/>
        </w:rPr>
        <w:t>在载人和货运领域，Dragon 飞船已成为美国商业载人航天和国际空间站补给的重要系统之一。</w:t>
      </w:r>
    </w:p>
    <w:p>
      <w:pPr>
        <w:pStyle w:val="ListBullet"/>
        <w:spacing w:after="160" w:line="280" w:lineRule="auto"/>
      </w:pPr>
      <w:r>
        <w:rPr>
          <w:rFonts w:ascii="Source Han Sans SC" w:hAnsi="Source Han Sans SC" w:eastAsia="Source Han Sans SC"/>
          <w:sz w:val="22"/>
        </w:rPr>
        <w:t>在卫星互联网领域，Starlink 让 SpaceX 拥有持续现金流、全球网络基础设施和高频发射需求。</w:t>
      </w:r>
    </w:p>
    <w:p>
      <w:pPr>
        <w:pStyle w:val="ListBullet"/>
        <w:spacing w:after="160" w:line="280" w:lineRule="auto"/>
      </w:pPr>
      <w:r>
        <w:rPr>
          <w:rFonts w:ascii="Source Han Sans SC" w:hAnsi="Source Han Sans SC" w:eastAsia="Source Han Sans SC"/>
          <w:sz w:val="22"/>
        </w:rPr>
        <w:t>在未来架构上，Starship 被定位为完全可复用的超重型运输系统，目标覆盖近地轨道、月球、火星及更大规模载荷运输。</w:t>
      </w:r>
    </w:p>
    <w:p>
      <w:pPr>
        <w:pStyle w:val="Heading1"/>
      </w:pPr>
      <w:r>
        <w:t>二、公司定位与使命</w:t>
      </w:r>
    </w:p>
    <w:p>
      <w:pPr>
        <w:spacing w:before="0" w:after="120" w:line="264" w:lineRule="auto"/>
      </w:pPr>
      <w:r>
        <w:rPr>
          <w:rFonts w:ascii="Source Han Sans SC" w:hAnsi="Source Han Sans SC" w:eastAsia="Source Han Sans SC"/>
          <w:b w:val="0"/>
          <w:color w:val="000000"/>
          <w:sz w:val="22"/>
        </w:rPr>
        <w:t>SpaceX 的核心叙事是把航天从低频、高成本、政府主导的工程项目，推进为更高频、更可复用、更接近工业化生产的运输体系。其长期愿景经常被概括为“让人类成为多星球物种”，但在商业层面，公司通过发射服务、航天器运输、卫星通信和政府项目形成了较完整的收入与技术闭环。</w:t>
      </w:r>
    </w:p>
    <w:p>
      <w:pPr>
        <w:spacing w:before="0" w:after="120" w:line="264" w:lineRule="auto"/>
      </w:pPr>
      <w:r>
        <w:rPr>
          <w:rFonts w:ascii="Source Han Sans SC" w:hAnsi="Source Han Sans SC" w:eastAsia="Source Han Sans SC"/>
          <w:b w:val="0"/>
          <w:color w:val="000000"/>
          <w:sz w:val="22"/>
        </w:rPr>
        <w:t>这种定位使 SpaceX 同时具备技术公司、制造公司、基础设施运营商和政府承包商的特征。它不是单纯售卖火箭，而是在构建一个可反复使用、可扩容、可商业化的太空交通与通信平台。</w:t>
      </w:r>
    </w:p>
    <w:p>
      <w:pPr>
        <w:pStyle w:val="Heading1"/>
      </w:pPr>
      <w:r>
        <w:t>三、核心业务板块</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980"/>
        <w:gridCol w:w="3690"/>
        <w:gridCol w:w="3690"/>
      </w:tblGrid>
      <w:tr>
        <w:tc>
          <w:tcPr>
            <w:tcW w:type="dxa" w:w="198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板块</w:t>
            </w:r>
          </w:p>
        </w:tc>
        <w:tc>
          <w:tcPr>
            <w:tcW w:type="dxa" w:w="369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代表产品 / 系统</w:t>
            </w:r>
          </w:p>
        </w:tc>
        <w:tc>
          <w:tcPr>
            <w:tcW w:type="dxa" w:w="369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作用与价值</w:t>
            </w:r>
          </w:p>
        </w:tc>
      </w:tr>
      <w:tr>
        <w:tc>
          <w:tcPr>
            <w:tcW w:type="dxa" w:w="1980"/>
          </w:tcPr>
          <w:p>
            <w:pPr>
              <w:jc w:val="center"/>
            </w:pPr>
            <w:r>
              <w:rPr>
                <w:rFonts w:ascii="Source Han Sans SC" w:hAnsi="Source Han Sans SC" w:eastAsia="Source Han Sans SC"/>
                <w:b/>
                <w:sz w:val="20"/>
              </w:rPr>
              <w:t>发射服务</w:t>
            </w:r>
          </w:p>
        </w:tc>
        <w:tc>
          <w:tcPr>
            <w:tcW w:type="dxa" w:w="3690"/>
          </w:tcPr>
          <w:p>
            <w:pPr>
              <w:jc w:val="left"/>
            </w:pPr>
            <w:r>
              <w:rPr>
                <w:rFonts w:ascii="Source Han Sans SC" w:hAnsi="Source Han Sans SC" w:eastAsia="Source Han Sans SC"/>
                <w:b w:val="0"/>
                <w:sz w:val="20"/>
              </w:rPr>
              <w:t>Falcon 9、Falcon Heavy</w:t>
            </w:r>
          </w:p>
        </w:tc>
        <w:tc>
          <w:tcPr>
            <w:tcW w:type="dxa" w:w="3690"/>
          </w:tcPr>
          <w:p>
            <w:pPr>
              <w:jc w:val="left"/>
            </w:pPr>
            <w:r>
              <w:rPr>
                <w:rFonts w:ascii="Source Han Sans SC" w:hAnsi="Source Han Sans SC" w:eastAsia="Source Han Sans SC"/>
                <w:b w:val="0"/>
                <w:sz w:val="20"/>
              </w:rPr>
              <w:t>承担商业卫星、政府任务、载人航天与 Starlink 部署；复用能力提升周转效率。</w:t>
            </w:r>
          </w:p>
        </w:tc>
      </w:tr>
      <w:tr>
        <w:tc>
          <w:tcPr>
            <w:tcW w:type="dxa" w:w="1980"/>
          </w:tcPr>
          <w:p>
            <w:pPr>
              <w:jc w:val="center"/>
            </w:pPr>
            <w:r>
              <w:rPr>
                <w:rFonts w:ascii="Source Han Sans SC" w:hAnsi="Source Han Sans SC" w:eastAsia="Source Han Sans SC"/>
                <w:b/>
                <w:sz w:val="20"/>
              </w:rPr>
              <w:t>航天器运输</w:t>
            </w:r>
          </w:p>
        </w:tc>
        <w:tc>
          <w:tcPr>
            <w:tcW w:type="dxa" w:w="3690"/>
          </w:tcPr>
          <w:p>
            <w:pPr>
              <w:jc w:val="left"/>
            </w:pPr>
            <w:r>
              <w:rPr>
                <w:rFonts w:ascii="Source Han Sans SC" w:hAnsi="Source Han Sans SC" w:eastAsia="Source Han Sans SC"/>
                <w:b w:val="0"/>
                <w:sz w:val="20"/>
              </w:rPr>
              <w:t>Dragon / Crew Dragon / Cargo Dragon</w:t>
            </w:r>
          </w:p>
        </w:tc>
        <w:tc>
          <w:tcPr>
            <w:tcW w:type="dxa" w:w="3690"/>
          </w:tcPr>
          <w:p>
            <w:pPr>
              <w:jc w:val="left"/>
            </w:pPr>
            <w:r>
              <w:rPr>
                <w:rFonts w:ascii="Source Han Sans SC" w:hAnsi="Source Han Sans SC" w:eastAsia="Source Han Sans SC"/>
                <w:b w:val="0"/>
                <w:sz w:val="20"/>
              </w:rPr>
              <w:t>服务国际空间站货运与载人任务，也是商业载人航天的重要平台。</w:t>
            </w:r>
          </w:p>
        </w:tc>
      </w:tr>
      <w:tr>
        <w:tc>
          <w:tcPr>
            <w:tcW w:type="dxa" w:w="1980"/>
          </w:tcPr>
          <w:p>
            <w:pPr>
              <w:jc w:val="center"/>
            </w:pPr>
            <w:r>
              <w:rPr>
                <w:rFonts w:ascii="Source Han Sans SC" w:hAnsi="Source Han Sans SC" w:eastAsia="Source Han Sans SC"/>
                <w:b/>
                <w:sz w:val="20"/>
              </w:rPr>
              <w:t>卫星互联网</w:t>
            </w:r>
          </w:p>
        </w:tc>
        <w:tc>
          <w:tcPr>
            <w:tcW w:type="dxa" w:w="3690"/>
          </w:tcPr>
          <w:p>
            <w:pPr>
              <w:jc w:val="left"/>
            </w:pPr>
            <w:r>
              <w:rPr>
                <w:rFonts w:ascii="Source Han Sans SC" w:hAnsi="Source Han Sans SC" w:eastAsia="Source Han Sans SC"/>
                <w:b w:val="0"/>
                <w:sz w:val="20"/>
              </w:rPr>
              <w:t>Starlink</w:t>
            </w:r>
          </w:p>
        </w:tc>
        <w:tc>
          <w:tcPr>
            <w:tcW w:type="dxa" w:w="3690"/>
          </w:tcPr>
          <w:p>
            <w:pPr>
              <w:jc w:val="left"/>
            </w:pPr>
            <w:r>
              <w:rPr>
                <w:rFonts w:ascii="Source Han Sans SC" w:hAnsi="Source Han Sans SC" w:eastAsia="Source Han Sans SC"/>
                <w:b w:val="0"/>
                <w:sz w:val="20"/>
              </w:rPr>
              <w:t>面向家庭、企业、移动平台和偏远地区提供低轨卫星互联网服务，并为火箭发射形成内部需求。</w:t>
            </w:r>
          </w:p>
        </w:tc>
      </w:tr>
      <w:tr>
        <w:tc>
          <w:tcPr>
            <w:tcW w:type="dxa" w:w="1980"/>
          </w:tcPr>
          <w:p>
            <w:pPr>
              <w:jc w:val="center"/>
            </w:pPr>
            <w:r>
              <w:rPr>
                <w:rFonts w:ascii="Source Han Sans SC" w:hAnsi="Source Han Sans SC" w:eastAsia="Source Han Sans SC"/>
                <w:b/>
                <w:sz w:val="20"/>
              </w:rPr>
              <w:t>下一代深空系统</w:t>
            </w:r>
          </w:p>
        </w:tc>
        <w:tc>
          <w:tcPr>
            <w:tcW w:type="dxa" w:w="3690"/>
          </w:tcPr>
          <w:p>
            <w:pPr>
              <w:jc w:val="left"/>
            </w:pPr>
            <w:r>
              <w:rPr>
                <w:rFonts w:ascii="Source Han Sans SC" w:hAnsi="Source Han Sans SC" w:eastAsia="Source Han Sans SC"/>
                <w:b w:val="0"/>
                <w:sz w:val="20"/>
              </w:rPr>
              <w:t>Starship / Super Heavy</w:t>
            </w:r>
          </w:p>
        </w:tc>
        <w:tc>
          <w:tcPr>
            <w:tcW w:type="dxa" w:w="3690"/>
          </w:tcPr>
          <w:p>
            <w:pPr>
              <w:jc w:val="left"/>
            </w:pPr>
            <w:r>
              <w:rPr>
                <w:rFonts w:ascii="Source Han Sans SC" w:hAnsi="Source Han Sans SC" w:eastAsia="Source Han Sans SC"/>
                <w:b w:val="0"/>
                <w:sz w:val="20"/>
              </w:rPr>
              <w:t>目标是完全可复用的大型运输系统，支撑月球、火星和大规模轨道运输。</w:t>
            </w:r>
          </w:p>
        </w:tc>
      </w:tr>
    </w:tbl>
    <w:p>
      <w:pPr>
        <w:pStyle w:val="Heading1"/>
      </w:pPr>
      <w:r>
        <w:t>四、关键产品与技术路线</w:t>
      </w:r>
    </w:p>
    <w:p>
      <w:pPr>
        <w:pStyle w:val="Heading2"/>
      </w:pPr>
      <w:r>
        <w:t>1. Falcon 9：复用火箭的商业化基石</w:t>
      </w:r>
    </w:p>
    <w:p>
      <w:pPr>
        <w:spacing w:before="0" w:after="120" w:line="264" w:lineRule="auto"/>
      </w:pPr>
      <w:r>
        <w:rPr>
          <w:rFonts w:ascii="Source Han Sans SC" w:hAnsi="Source Han Sans SC" w:eastAsia="Source Han Sans SC"/>
          <w:b w:val="0"/>
          <w:color w:val="000000"/>
          <w:sz w:val="22"/>
        </w:rPr>
        <w:t>Falcon 9 是 SpaceX 当前最具代表性的运载火箭。其核心创新在于一级火箭可回收和重复使用：这使发射不再完全依赖“一次性硬件消耗”，从而为更高频率的商业发射、NASA 任务以及 Starlink 卫星组网提供基础。</w:t>
      </w:r>
    </w:p>
    <w:p>
      <w:pPr>
        <w:pStyle w:val="Heading2"/>
      </w:pPr>
      <w:r>
        <w:t>2. Dragon：连接近地轨道与国际空间站</w:t>
      </w:r>
    </w:p>
    <w:p>
      <w:pPr>
        <w:spacing w:before="0" w:after="120" w:line="264" w:lineRule="auto"/>
      </w:pPr>
      <w:r>
        <w:rPr>
          <w:rFonts w:ascii="Source Han Sans SC" w:hAnsi="Source Han Sans SC" w:eastAsia="Source Han Sans SC"/>
          <w:b w:val="0"/>
          <w:color w:val="000000"/>
          <w:sz w:val="22"/>
        </w:rPr>
        <w:t>Dragon 系列飞船覆盖货运和载人任务。对 SpaceX 来说，Dragon 不仅证明了公司具备轨道飞行器研制、对接、返回和载人安全体系能力，也使其成为 NASA 商业航天生态中的关键伙伴。</w:t>
      </w:r>
    </w:p>
    <w:p>
      <w:pPr>
        <w:pStyle w:val="Heading2"/>
      </w:pPr>
      <w:r>
        <w:t>3. Starlink：把发射能力转化为网络基础设施</w:t>
      </w:r>
    </w:p>
    <w:p>
      <w:pPr>
        <w:spacing w:before="0" w:after="120" w:line="264" w:lineRule="auto"/>
      </w:pPr>
      <w:r>
        <w:rPr>
          <w:rFonts w:ascii="Source Han Sans SC" w:hAnsi="Source Han Sans SC" w:eastAsia="Source Han Sans SC"/>
          <w:b w:val="0"/>
          <w:color w:val="000000"/>
          <w:sz w:val="22"/>
        </w:rPr>
        <w:t>Starlink 是 SpaceX 的低地球轨道卫星互联网项目。它把公司高频、低成本发射能力转化为持续运营的通信网络，并反过来为发射业务提供大规模内部载荷需求。这个闭环是 SpaceX 与传统发射服务公司的重要差异。</w:t>
      </w:r>
    </w:p>
    <w:p>
      <w:pPr>
        <w:pStyle w:val="Heading2"/>
      </w:pPr>
      <w:r>
        <w:t>4. Starship：下一代完全可复用系统</w:t>
      </w:r>
    </w:p>
    <w:p>
      <w:pPr>
        <w:spacing w:before="0" w:after="120" w:line="264" w:lineRule="auto"/>
      </w:pPr>
      <w:r>
        <w:rPr>
          <w:rFonts w:ascii="Source Han Sans SC" w:hAnsi="Source Han Sans SC" w:eastAsia="Source Han Sans SC"/>
          <w:b w:val="0"/>
          <w:color w:val="000000"/>
          <w:sz w:val="22"/>
        </w:rPr>
        <w:t>Starship 与 Super Heavy 组合代表 SpaceX 的下一代技术路线：更大载荷、更高复用率、更低边际发射成本。NASA 已选择基于 Starship 的人类着陆系统用于 Artemis 月球任务开发，这让 Starship 同时具备商业、政府和深空探索三重战略意义。</w:t>
      </w:r>
    </w:p>
    <w:p>
      <w:pPr>
        <w:pStyle w:val="Heading1"/>
      </w:pPr>
      <w:r>
        <w:t>五、发展里程碑</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20"/>
        <w:gridCol w:w="2640"/>
        <w:gridCol w:w="5400"/>
      </w:tblGrid>
      <w:tr>
        <w:tc>
          <w:tcPr>
            <w:tcW w:type="dxa" w:w="1320"/>
            <w:tcMar>
              <w:top w:w="80" w:type="dxa"/>
              <w:bottom w:w="80" w:type="dxa"/>
              <w:start w:w="120" w:type="dxa"/>
              <w:end w:w="120" w:type="dxa"/>
            </w:tcMar>
            <w:vAlign w:val="center"/>
            <w:shd w:fill="E8EEF5"/>
          </w:tcPr>
          <w:p>
            <w:pPr>
              <w:jc w:val="center"/>
            </w:pPr>
            <w:r>
              <w:rPr>
                <w:rFonts w:ascii="Source Han Sans SC" w:hAnsi="Source Han Sans SC" w:eastAsia="Source Han Sans SC"/>
                <w:b/>
                <w:sz w:val="21"/>
              </w:rPr>
              <w:t>年份</w:t>
            </w:r>
          </w:p>
        </w:tc>
        <w:tc>
          <w:tcPr>
            <w:tcW w:type="dxa" w:w="2640"/>
            <w:tcMar>
              <w:top w:w="80" w:type="dxa"/>
              <w:bottom w:w="80" w:type="dxa"/>
              <w:start w:w="120" w:type="dxa"/>
              <w:end w:w="120" w:type="dxa"/>
            </w:tcMar>
            <w:vAlign w:val="center"/>
            <w:shd w:fill="E8EEF5"/>
          </w:tcPr>
          <w:p>
            <w:pPr>
              <w:jc w:val="center"/>
            </w:pPr>
            <w:r>
              <w:rPr>
                <w:rFonts w:ascii="Source Han Sans SC" w:hAnsi="Source Han Sans SC" w:eastAsia="Source Han Sans SC"/>
                <w:b/>
                <w:sz w:val="21"/>
              </w:rPr>
              <w:t>事件</w:t>
            </w:r>
          </w:p>
        </w:tc>
        <w:tc>
          <w:tcPr>
            <w:tcW w:type="dxa" w:w="5400"/>
            <w:tcMar>
              <w:top w:w="80" w:type="dxa"/>
              <w:bottom w:w="80" w:type="dxa"/>
              <w:start w:w="120" w:type="dxa"/>
              <w:end w:w="120" w:type="dxa"/>
            </w:tcMar>
            <w:vAlign w:val="center"/>
            <w:shd w:fill="E8EEF5"/>
          </w:tcPr>
          <w:p>
            <w:pPr>
              <w:jc w:val="center"/>
            </w:pPr>
            <w:r>
              <w:rPr>
                <w:rFonts w:ascii="Source Han Sans SC" w:hAnsi="Source Han Sans SC" w:eastAsia="Source Han Sans SC"/>
                <w:b/>
                <w:sz w:val="21"/>
              </w:rPr>
              <w:t>意义</w:t>
            </w:r>
          </w:p>
        </w:tc>
      </w:tr>
      <w:tr>
        <w:tc>
          <w:tcPr>
            <w:tcW w:type="dxa" w:w="1320"/>
          </w:tcPr>
          <w:p>
            <w:pPr>
              <w:jc w:val="center"/>
            </w:pPr>
            <w:r>
              <w:rPr>
                <w:rFonts w:ascii="Source Han Sans SC" w:hAnsi="Source Han Sans SC" w:eastAsia="Source Han Sans SC"/>
                <w:b/>
                <w:sz w:val="20"/>
              </w:rPr>
              <w:t>2002</w:t>
            </w:r>
          </w:p>
        </w:tc>
        <w:tc>
          <w:tcPr>
            <w:tcW w:type="dxa" w:w="2640"/>
          </w:tcPr>
          <w:p>
            <w:pPr>
              <w:jc w:val="left"/>
            </w:pPr>
            <w:r>
              <w:rPr>
                <w:rFonts w:ascii="Source Han Sans SC" w:hAnsi="Source Han Sans SC" w:eastAsia="Source Han Sans SC"/>
                <w:b w:val="0"/>
                <w:sz w:val="20"/>
              </w:rPr>
              <w:t>SpaceX 成立</w:t>
            </w:r>
          </w:p>
        </w:tc>
        <w:tc>
          <w:tcPr>
            <w:tcW w:type="dxa" w:w="5400"/>
          </w:tcPr>
          <w:p>
            <w:pPr>
              <w:jc w:val="left"/>
            </w:pPr>
            <w:r>
              <w:rPr>
                <w:rFonts w:ascii="Source Han Sans SC" w:hAnsi="Source Han Sans SC" w:eastAsia="Source Han Sans SC"/>
                <w:b w:val="0"/>
                <w:sz w:val="20"/>
              </w:rPr>
              <w:t>以降低航天运输成本、推动商业航天为长期方向。</w:t>
            </w:r>
          </w:p>
        </w:tc>
      </w:tr>
      <w:tr>
        <w:tc>
          <w:tcPr>
            <w:tcW w:type="dxa" w:w="1320"/>
          </w:tcPr>
          <w:p>
            <w:pPr>
              <w:jc w:val="center"/>
            </w:pPr>
            <w:r>
              <w:rPr>
                <w:rFonts w:ascii="Source Han Sans SC" w:hAnsi="Source Han Sans SC" w:eastAsia="Source Han Sans SC"/>
                <w:b/>
                <w:sz w:val="20"/>
              </w:rPr>
              <w:t>2008</w:t>
            </w:r>
          </w:p>
        </w:tc>
        <w:tc>
          <w:tcPr>
            <w:tcW w:type="dxa" w:w="2640"/>
          </w:tcPr>
          <w:p>
            <w:pPr>
              <w:jc w:val="left"/>
            </w:pPr>
            <w:r>
              <w:rPr>
                <w:rFonts w:ascii="Source Han Sans SC" w:hAnsi="Source Han Sans SC" w:eastAsia="Source Han Sans SC"/>
                <w:b w:val="0"/>
                <w:sz w:val="20"/>
              </w:rPr>
              <w:t>Falcon 1 入轨成功</w:t>
            </w:r>
          </w:p>
        </w:tc>
        <w:tc>
          <w:tcPr>
            <w:tcW w:type="dxa" w:w="5400"/>
          </w:tcPr>
          <w:p>
            <w:pPr>
              <w:jc w:val="left"/>
            </w:pPr>
            <w:r>
              <w:rPr>
                <w:rFonts w:ascii="Source Han Sans SC" w:hAnsi="Source Han Sans SC" w:eastAsia="Source Han Sans SC"/>
                <w:b w:val="0"/>
                <w:sz w:val="20"/>
              </w:rPr>
              <w:t>证明民营公司可独立完成液体燃料火箭轨道发射。</w:t>
            </w:r>
          </w:p>
        </w:tc>
      </w:tr>
      <w:tr>
        <w:tc>
          <w:tcPr>
            <w:tcW w:type="dxa" w:w="1320"/>
          </w:tcPr>
          <w:p>
            <w:pPr>
              <w:jc w:val="center"/>
            </w:pPr>
            <w:r>
              <w:rPr>
                <w:rFonts w:ascii="Source Han Sans SC" w:hAnsi="Source Han Sans SC" w:eastAsia="Source Han Sans SC"/>
                <w:b/>
                <w:sz w:val="20"/>
              </w:rPr>
              <w:t>2012</w:t>
            </w:r>
          </w:p>
        </w:tc>
        <w:tc>
          <w:tcPr>
            <w:tcW w:type="dxa" w:w="2640"/>
          </w:tcPr>
          <w:p>
            <w:pPr>
              <w:jc w:val="left"/>
            </w:pPr>
            <w:r>
              <w:rPr>
                <w:rFonts w:ascii="Source Han Sans SC" w:hAnsi="Source Han Sans SC" w:eastAsia="Source Han Sans SC"/>
                <w:b w:val="0"/>
                <w:sz w:val="20"/>
              </w:rPr>
              <w:t>Dragon 与国际空间站交会并执行补给任务</w:t>
            </w:r>
          </w:p>
        </w:tc>
        <w:tc>
          <w:tcPr>
            <w:tcW w:type="dxa" w:w="5400"/>
          </w:tcPr>
          <w:p>
            <w:pPr>
              <w:jc w:val="left"/>
            </w:pPr>
            <w:r>
              <w:rPr>
                <w:rFonts w:ascii="Source Han Sans SC" w:hAnsi="Source Han Sans SC" w:eastAsia="Source Han Sans SC"/>
                <w:b w:val="0"/>
                <w:sz w:val="20"/>
              </w:rPr>
              <w:t>商业飞船进入国际空间站服务体系。</w:t>
            </w:r>
          </w:p>
        </w:tc>
      </w:tr>
      <w:tr>
        <w:tc>
          <w:tcPr>
            <w:tcW w:type="dxa" w:w="1320"/>
          </w:tcPr>
          <w:p>
            <w:pPr>
              <w:jc w:val="center"/>
            </w:pPr>
            <w:r>
              <w:rPr>
                <w:rFonts w:ascii="Source Han Sans SC" w:hAnsi="Source Han Sans SC" w:eastAsia="Source Han Sans SC"/>
                <w:b/>
                <w:sz w:val="20"/>
              </w:rPr>
              <w:t>2015-2017</w:t>
            </w:r>
          </w:p>
        </w:tc>
        <w:tc>
          <w:tcPr>
            <w:tcW w:type="dxa" w:w="2640"/>
          </w:tcPr>
          <w:p>
            <w:pPr>
              <w:jc w:val="left"/>
            </w:pPr>
            <w:r>
              <w:rPr>
                <w:rFonts w:ascii="Source Han Sans SC" w:hAnsi="Source Han Sans SC" w:eastAsia="Source Han Sans SC"/>
                <w:b w:val="0"/>
                <w:sz w:val="20"/>
              </w:rPr>
              <w:t>Falcon 9 一级回收与复飞逐步成熟</w:t>
            </w:r>
          </w:p>
        </w:tc>
        <w:tc>
          <w:tcPr>
            <w:tcW w:type="dxa" w:w="5400"/>
          </w:tcPr>
          <w:p>
            <w:pPr>
              <w:jc w:val="left"/>
            </w:pPr>
            <w:r>
              <w:rPr>
                <w:rFonts w:ascii="Source Han Sans SC" w:hAnsi="Source Han Sans SC" w:eastAsia="Source Han Sans SC"/>
                <w:b w:val="0"/>
                <w:sz w:val="20"/>
              </w:rPr>
              <w:t>可复用火箭从演示走向运营。</w:t>
            </w:r>
          </w:p>
        </w:tc>
      </w:tr>
      <w:tr>
        <w:tc>
          <w:tcPr>
            <w:tcW w:type="dxa" w:w="1320"/>
          </w:tcPr>
          <w:p>
            <w:pPr>
              <w:jc w:val="center"/>
            </w:pPr>
            <w:r>
              <w:rPr>
                <w:rFonts w:ascii="Source Han Sans SC" w:hAnsi="Source Han Sans SC" w:eastAsia="Source Han Sans SC"/>
                <w:b/>
                <w:sz w:val="20"/>
              </w:rPr>
              <w:t>2020</w:t>
            </w:r>
          </w:p>
        </w:tc>
        <w:tc>
          <w:tcPr>
            <w:tcW w:type="dxa" w:w="2640"/>
          </w:tcPr>
          <w:p>
            <w:pPr>
              <w:jc w:val="left"/>
            </w:pPr>
            <w:r>
              <w:rPr>
                <w:rFonts w:ascii="Source Han Sans SC" w:hAnsi="Source Han Sans SC" w:eastAsia="Source Han Sans SC"/>
                <w:b w:val="0"/>
                <w:sz w:val="20"/>
              </w:rPr>
              <w:t>Crew Dragon 载人任务开启</w:t>
            </w:r>
          </w:p>
        </w:tc>
        <w:tc>
          <w:tcPr>
            <w:tcW w:type="dxa" w:w="5400"/>
          </w:tcPr>
          <w:p>
            <w:pPr>
              <w:jc w:val="left"/>
            </w:pPr>
            <w:r>
              <w:rPr>
                <w:rFonts w:ascii="Source Han Sans SC" w:hAnsi="Source Han Sans SC" w:eastAsia="Source Han Sans SC"/>
                <w:b w:val="0"/>
                <w:sz w:val="20"/>
              </w:rPr>
              <w:t>美国商业载人航天进入常态化阶段。</w:t>
            </w:r>
          </w:p>
        </w:tc>
      </w:tr>
      <w:tr>
        <w:tc>
          <w:tcPr>
            <w:tcW w:type="dxa" w:w="1320"/>
          </w:tcPr>
          <w:p>
            <w:pPr>
              <w:jc w:val="center"/>
            </w:pPr>
            <w:r>
              <w:rPr>
                <w:rFonts w:ascii="Source Han Sans SC" w:hAnsi="Source Han Sans SC" w:eastAsia="Source Han Sans SC"/>
                <w:b/>
                <w:sz w:val="20"/>
              </w:rPr>
              <w:t>2020s</w:t>
            </w:r>
          </w:p>
        </w:tc>
        <w:tc>
          <w:tcPr>
            <w:tcW w:type="dxa" w:w="2640"/>
          </w:tcPr>
          <w:p>
            <w:pPr>
              <w:jc w:val="left"/>
            </w:pPr>
            <w:r>
              <w:rPr>
                <w:rFonts w:ascii="Source Han Sans SC" w:hAnsi="Source Han Sans SC" w:eastAsia="Source Han Sans SC"/>
                <w:b w:val="0"/>
                <w:sz w:val="20"/>
              </w:rPr>
              <w:t>Starlink 大规模部署</w:t>
            </w:r>
          </w:p>
        </w:tc>
        <w:tc>
          <w:tcPr>
            <w:tcW w:type="dxa" w:w="5400"/>
          </w:tcPr>
          <w:p>
            <w:pPr>
              <w:jc w:val="left"/>
            </w:pPr>
            <w:r>
              <w:rPr>
                <w:rFonts w:ascii="Source Han Sans SC" w:hAnsi="Source Han Sans SC" w:eastAsia="Source Han Sans SC"/>
                <w:b w:val="0"/>
                <w:sz w:val="20"/>
              </w:rPr>
              <w:t>形成面向全球市场的低轨卫星互联网业务。</w:t>
            </w:r>
          </w:p>
        </w:tc>
      </w:tr>
      <w:tr>
        <w:tc>
          <w:tcPr>
            <w:tcW w:type="dxa" w:w="1320"/>
          </w:tcPr>
          <w:p>
            <w:pPr>
              <w:jc w:val="center"/>
            </w:pPr>
            <w:r>
              <w:rPr>
                <w:rFonts w:ascii="Source Han Sans SC" w:hAnsi="Source Han Sans SC" w:eastAsia="Source Han Sans SC"/>
                <w:b/>
                <w:sz w:val="20"/>
              </w:rPr>
              <w:t>2021 以后</w:t>
            </w:r>
          </w:p>
        </w:tc>
        <w:tc>
          <w:tcPr>
            <w:tcW w:type="dxa" w:w="2640"/>
          </w:tcPr>
          <w:p>
            <w:pPr>
              <w:jc w:val="left"/>
            </w:pPr>
            <w:r>
              <w:rPr>
                <w:rFonts w:ascii="Source Han Sans SC" w:hAnsi="Source Han Sans SC" w:eastAsia="Source Han Sans SC"/>
                <w:b w:val="0"/>
                <w:sz w:val="20"/>
              </w:rPr>
              <w:t>Starship 获 NASA 月球着陆系统合同并持续试飞</w:t>
            </w:r>
          </w:p>
        </w:tc>
        <w:tc>
          <w:tcPr>
            <w:tcW w:type="dxa" w:w="5400"/>
          </w:tcPr>
          <w:p>
            <w:pPr>
              <w:jc w:val="left"/>
            </w:pPr>
            <w:r>
              <w:rPr>
                <w:rFonts w:ascii="Source Han Sans SC" w:hAnsi="Source Han Sans SC" w:eastAsia="Source Han Sans SC"/>
                <w:b w:val="0"/>
                <w:sz w:val="20"/>
              </w:rPr>
              <w:t>支撑 Artemis 及更远期深空运输愿景。</w:t>
            </w:r>
          </w:p>
        </w:tc>
      </w:tr>
    </w:tbl>
    <w:p>
      <w:pPr>
        <w:pStyle w:val="Heading1"/>
      </w:pPr>
      <w:r>
        <w:t>六、商业与战略价值</w:t>
      </w:r>
    </w:p>
    <w:p>
      <w:pPr>
        <w:spacing w:before="0" w:after="120" w:line="264" w:lineRule="auto"/>
      </w:pPr>
      <w:r>
        <w:rPr>
          <w:rFonts w:ascii="Source Han Sans SC" w:hAnsi="Source Han Sans SC" w:eastAsia="Source Han Sans SC"/>
          <w:b w:val="0"/>
          <w:color w:val="000000"/>
          <w:sz w:val="22"/>
        </w:rPr>
        <w:t>SpaceX 的价值不只是“造火箭更便宜”，而是通过垂直整合和高频迭代，把太空运输变成可持续扩张的平台业务。其优势可以概括为四点：</w:t>
      </w:r>
    </w:p>
    <w:p>
      <w:pPr>
        <w:pStyle w:val="ListBullet"/>
        <w:spacing w:after="160" w:line="280" w:lineRule="auto"/>
      </w:pPr>
      <w:r>
        <w:rPr>
          <w:rFonts w:ascii="Source Han Sans SC" w:hAnsi="Source Han Sans SC" w:eastAsia="Source Han Sans SC"/>
          <w:sz w:val="22"/>
        </w:rPr>
        <w:t>工程迭代速度快：通过密集测试、快速制造和飞行反馈缩短技术学习周期。</w:t>
      </w:r>
    </w:p>
    <w:p>
      <w:pPr>
        <w:pStyle w:val="ListBullet"/>
        <w:spacing w:after="160" w:line="280" w:lineRule="auto"/>
      </w:pPr>
      <w:r>
        <w:rPr>
          <w:rFonts w:ascii="Source Han Sans SC" w:hAnsi="Source Han Sans SC" w:eastAsia="Source Han Sans SC"/>
          <w:sz w:val="22"/>
        </w:rPr>
        <w:t>硬件复用降低边际成本：复用火箭与飞船提高资产利用率，为价格竞争和任务密度创造空间。</w:t>
      </w:r>
    </w:p>
    <w:p>
      <w:pPr>
        <w:pStyle w:val="ListBullet"/>
        <w:spacing w:after="160" w:line="280" w:lineRule="auto"/>
      </w:pPr>
      <w:r>
        <w:rPr>
          <w:rFonts w:ascii="Source Han Sans SC" w:hAnsi="Source Han Sans SC" w:eastAsia="Source Han Sans SC"/>
          <w:sz w:val="22"/>
        </w:rPr>
        <w:t>内部需求支撑规模化：Starlink 需要大量卫星部署，为 Falcon 9 与未来 Starship 提供稳定任务来源。</w:t>
      </w:r>
    </w:p>
    <w:p>
      <w:pPr>
        <w:pStyle w:val="ListBullet"/>
        <w:spacing w:after="160" w:line="280" w:lineRule="auto"/>
      </w:pPr>
      <w:r>
        <w:rPr>
          <w:rFonts w:ascii="Source Han Sans SC" w:hAnsi="Source Han Sans SC" w:eastAsia="Source Han Sans SC"/>
          <w:sz w:val="22"/>
        </w:rPr>
        <w:t>政府与商业双轮驱动：NASA 与国防相关任务提供高标准验证，商业通信和发射市场提供增长空间。</w:t>
      </w:r>
    </w:p>
    <w:p>
      <w:pPr>
        <w:pStyle w:val="Heading1"/>
      </w:pPr>
      <w:r>
        <w:t>七、主要风险与观察点</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160"/>
        <w:gridCol w:w="4320"/>
        <w:gridCol w:w="2880"/>
      </w:tblGrid>
      <w:tr>
        <w:tc>
          <w:tcPr>
            <w:tcW w:type="dxa" w:w="216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观察点</w:t>
            </w:r>
          </w:p>
        </w:tc>
        <w:tc>
          <w:tcPr>
            <w:tcW w:type="dxa" w:w="432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说明</w:t>
            </w:r>
          </w:p>
        </w:tc>
        <w:tc>
          <w:tcPr>
            <w:tcW w:type="dxa" w:w="2880"/>
            <w:tcMar>
              <w:top w:w="80" w:type="dxa"/>
              <w:bottom w:w="80" w:type="dxa"/>
              <w:start w:w="120" w:type="dxa"/>
              <w:end w:w="120" w:type="dxa"/>
            </w:tcMar>
            <w:vAlign w:val="center"/>
            <w:shd w:fill="F2F4F7"/>
          </w:tcPr>
          <w:p>
            <w:pPr>
              <w:jc w:val="center"/>
            </w:pPr>
            <w:r>
              <w:rPr>
                <w:rFonts w:ascii="Source Han Sans SC" w:hAnsi="Source Han Sans SC" w:eastAsia="Source Han Sans SC"/>
                <w:b/>
                <w:sz w:val="21"/>
              </w:rPr>
              <w:t>影响</w:t>
            </w:r>
          </w:p>
        </w:tc>
      </w:tr>
      <w:tr>
        <w:tc>
          <w:tcPr>
            <w:tcW w:type="dxa" w:w="2160"/>
          </w:tcPr>
          <w:p>
            <w:pPr>
              <w:jc w:val="left"/>
            </w:pPr>
            <w:r>
              <w:rPr>
                <w:rFonts w:ascii="Source Han Sans SC" w:hAnsi="Source Han Sans SC" w:eastAsia="Source Han Sans SC"/>
                <w:b/>
                <w:sz w:val="20"/>
              </w:rPr>
              <w:t>Starship 进度</w:t>
            </w:r>
          </w:p>
        </w:tc>
        <w:tc>
          <w:tcPr>
            <w:tcW w:type="dxa" w:w="4320"/>
          </w:tcPr>
          <w:p>
            <w:pPr>
              <w:jc w:val="left"/>
            </w:pPr>
            <w:r>
              <w:rPr>
                <w:rFonts w:ascii="Source Han Sans SC" w:hAnsi="Source Han Sans SC" w:eastAsia="Source Han Sans SC"/>
                <w:b w:val="0"/>
                <w:sz w:val="20"/>
              </w:rPr>
              <w:t>完全可复用超重型系统仍需持续试飞、验证可靠性和快速复用流程。</w:t>
            </w:r>
          </w:p>
        </w:tc>
        <w:tc>
          <w:tcPr>
            <w:tcW w:type="dxa" w:w="2880"/>
          </w:tcPr>
          <w:p>
            <w:pPr>
              <w:jc w:val="left"/>
            </w:pPr>
            <w:r>
              <w:rPr>
                <w:rFonts w:ascii="Source Han Sans SC" w:hAnsi="Source Han Sans SC" w:eastAsia="Source Han Sans SC"/>
                <w:b w:val="0"/>
                <w:sz w:val="20"/>
              </w:rPr>
              <w:t>决定深空战略和大规模低成本运输目标的兑现节奏。</w:t>
            </w:r>
          </w:p>
        </w:tc>
      </w:tr>
      <w:tr>
        <w:tc>
          <w:tcPr>
            <w:tcW w:type="dxa" w:w="2160"/>
          </w:tcPr>
          <w:p>
            <w:pPr>
              <w:jc w:val="left"/>
            </w:pPr>
            <w:r>
              <w:rPr>
                <w:rFonts w:ascii="Source Han Sans SC" w:hAnsi="Source Han Sans SC" w:eastAsia="Source Han Sans SC"/>
                <w:b/>
                <w:sz w:val="20"/>
              </w:rPr>
              <w:t>监管与发射场约束</w:t>
            </w:r>
          </w:p>
        </w:tc>
        <w:tc>
          <w:tcPr>
            <w:tcW w:type="dxa" w:w="4320"/>
          </w:tcPr>
          <w:p>
            <w:pPr>
              <w:jc w:val="left"/>
            </w:pPr>
            <w:r>
              <w:rPr>
                <w:rFonts w:ascii="Source Han Sans SC" w:hAnsi="Source Han Sans SC" w:eastAsia="Source Han Sans SC"/>
                <w:b w:val="0"/>
                <w:sz w:val="20"/>
              </w:rPr>
              <w:t>高频发射涉及环境评估、空域海域协调和地方监管。</w:t>
            </w:r>
          </w:p>
        </w:tc>
        <w:tc>
          <w:tcPr>
            <w:tcW w:type="dxa" w:w="2880"/>
          </w:tcPr>
          <w:p>
            <w:pPr>
              <w:jc w:val="left"/>
            </w:pPr>
            <w:r>
              <w:rPr>
                <w:rFonts w:ascii="Source Han Sans SC" w:hAnsi="Source Han Sans SC" w:eastAsia="Source Han Sans SC"/>
                <w:b w:val="0"/>
                <w:sz w:val="20"/>
              </w:rPr>
              <w:t>可能影响发射节奏和试验窗口。</w:t>
            </w:r>
          </w:p>
        </w:tc>
      </w:tr>
      <w:tr>
        <w:tc>
          <w:tcPr>
            <w:tcW w:type="dxa" w:w="2160"/>
          </w:tcPr>
          <w:p>
            <w:pPr>
              <w:jc w:val="left"/>
            </w:pPr>
            <w:r>
              <w:rPr>
                <w:rFonts w:ascii="Source Han Sans SC" w:hAnsi="Source Han Sans SC" w:eastAsia="Source Han Sans SC"/>
                <w:b/>
                <w:sz w:val="20"/>
              </w:rPr>
              <w:t>Starlink 竞争与容量</w:t>
            </w:r>
          </w:p>
        </w:tc>
        <w:tc>
          <w:tcPr>
            <w:tcW w:type="dxa" w:w="4320"/>
          </w:tcPr>
          <w:p>
            <w:pPr>
              <w:jc w:val="left"/>
            </w:pPr>
            <w:r>
              <w:rPr>
                <w:rFonts w:ascii="Source Han Sans SC" w:hAnsi="Source Han Sans SC" w:eastAsia="Source Han Sans SC"/>
                <w:b w:val="0"/>
                <w:sz w:val="20"/>
              </w:rPr>
              <w:t>低轨卫星通信面临频谱、终端成本、竞争网络和各国监管。</w:t>
            </w:r>
          </w:p>
        </w:tc>
        <w:tc>
          <w:tcPr>
            <w:tcW w:type="dxa" w:w="2880"/>
          </w:tcPr>
          <w:p>
            <w:pPr>
              <w:jc w:val="left"/>
            </w:pPr>
            <w:r>
              <w:rPr>
                <w:rFonts w:ascii="Source Han Sans SC" w:hAnsi="Source Han Sans SC" w:eastAsia="Source Han Sans SC"/>
                <w:b w:val="0"/>
                <w:sz w:val="20"/>
              </w:rPr>
              <w:t>影响现金流、全球扩张速度和服务质量。</w:t>
            </w:r>
          </w:p>
        </w:tc>
      </w:tr>
      <w:tr>
        <w:tc>
          <w:tcPr>
            <w:tcW w:type="dxa" w:w="2160"/>
          </w:tcPr>
          <w:p>
            <w:pPr>
              <w:jc w:val="left"/>
            </w:pPr>
            <w:r>
              <w:rPr>
                <w:rFonts w:ascii="Source Han Sans SC" w:hAnsi="Source Han Sans SC" w:eastAsia="Source Han Sans SC"/>
                <w:b/>
                <w:sz w:val="20"/>
              </w:rPr>
              <w:t>安全与任务可靠性</w:t>
            </w:r>
          </w:p>
        </w:tc>
        <w:tc>
          <w:tcPr>
            <w:tcW w:type="dxa" w:w="4320"/>
          </w:tcPr>
          <w:p>
            <w:pPr>
              <w:jc w:val="left"/>
            </w:pPr>
            <w:r>
              <w:rPr>
                <w:rFonts w:ascii="Source Han Sans SC" w:hAnsi="Source Han Sans SC" w:eastAsia="Source Han Sans SC"/>
                <w:b w:val="0"/>
                <w:sz w:val="20"/>
              </w:rPr>
              <w:t>载人航天和政府任务对安全冗余、质量控制和事故响应要求极高。</w:t>
            </w:r>
          </w:p>
        </w:tc>
        <w:tc>
          <w:tcPr>
            <w:tcW w:type="dxa" w:w="2880"/>
          </w:tcPr>
          <w:p>
            <w:pPr>
              <w:jc w:val="left"/>
            </w:pPr>
            <w:r>
              <w:rPr>
                <w:rFonts w:ascii="Source Han Sans SC" w:hAnsi="Source Han Sans SC" w:eastAsia="Source Han Sans SC"/>
                <w:b w:val="0"/>
                <w:sz w:val="20"/>
              </w:rPr>
              <w:t>影响客户信任、合同履约和品牌声誉。</w:t>
            </w:r>
          </w:p>
        </w:tc>
      </w:tr>
    </w:tbl>
    <w:p>
      <w:pPr>
        <w:pStyle w:val="Heading1"/>
      </w:pPr>
      <w:r>
        <w:t>八、结论</w:t>
      </w:r>
    </w:p>
    <w:p>
      <w:pPr>
        <w:spacing w:before="0" w:after="120" w:line="264" w:lineRule="auto"/>
      </w:pPr>
      <w:r>
        <w:rPr>
          <w:rFonts w:ascii="Source Han Sans SC" w:hAnsi="Source Han Sans SC" w:eastAsia="Source Han Sans SC"/>
          <w:b w:val="0"/>
          <w:color w:val="000000"/>
          <w:sz w:val="22"/>
        </w:rPr>
        <w:t>SpaceX 是商业航天从“任务承包”走向“基础设施平台”的代表案例。它用 Falcon 9 建立稳定发射能力，用 Dragon 建立载人和货运可信度，用 Starlink 建立持续商业网络，用 Starship 争取下一代运输体系的上限。对于研究航天产业、卫星互联网、先进制造和政府商业合作模式的团队而言，SpaceX 的关键启示在于：高风险硬科技可以通过复用、规模化需求和快速迭代形成复合竞争壁垒。</w:t>
      </w:r>
    </w:p>
    <w:p>
      <w:pPr>
        <w:pStyle w:val="Heading1"/>
      </w:pPr>
      <w:r>
        <w:t>资料来源</w:t>
      </w:r>
    </w:p>
    <w:p>
      <w:pPr>
        <w:pStyle w:val="ListBullet"/>
        <w:spacing w:after="80"/>
      </w:pPr>
      <w:r>
        <w:rPr>
          <w:rFonts w:ascii="Source Han Sans SC" w:hAnsi="Source Han Sans SC" w:eastAsia="Source Han Sans SC"/>
          <w:b/>
          <w:sz w:val="21"/>
        </w:rPr>
        <w:t>SpaceX 官方网站：Falcon 9：</w:t>
      </w:r>
      <w:hyperlink r:id="rId11">
        <w:r>
          <w:rPr>
            <w:color w:val="0563C1"/>
            <w:u w:val="single"/>
          </w:rPr>
          <w:t>https://www.spacex.com/vehicles/falcon-9/</w:t>
        </w:r>
      </w:hyperlink>
    </w:p>
    <w:p>
      <w:pPr>
        <w:pStyle w:val="ListBullet"/>
        <w:spacing w:after="80"/>
      </w:pPr>
      <w:r>
        <w:rPr>
          <w:rFonts w:ascii="Source Han Sans SC" w:hAnsi="Source Han Sans SC" w:eastAsia="Source Han Sans SC"/>
          <w:b/>
          <w:sz w:val="21"/>
        </w:rPr>
        <w:t>SpaceX 官方网站：Dragon：</w:t>
      </w:r>
      <w:hyperlink r:id="rId12">
        <w:r>
          <w:rPr>
            <w:color w:val="0563C1"/>
            <w:u w:val="single"/>
          </w:rPr>
          <w:t>https://www.spacex.com/vehicles/dragon/</w:t>
        </w:r>
      </w:hyperlink>
    </w:p>
    <w:p>
      <w:pPr>
        <w:pStyle w:val="ListBullet"/>
        <w:spacing w:after="80"/>
      </w:pPr>
      <w:r>
        <w:rPr>
          <w:rFonts w:ascii="Source Han Sans SC" w:hAnsi="Source Han Sans SC" w:eastAsia="Source Han Sans SC"/>
          <w:b/>
          <w:sz w:val="21"/>
        </w:rPr>
        <w:t>SpaceX 官方网站：Starship：</w:t>
      </w:r>
      <w:hyperlink r:id="rId13">
        <w:r>
          <w:rPr>
            <w:color w:val="0563C1"/>
            <w:u w:val="single"/>
          </w:rPr>
          <w:t>https://www.spacex.com/vehicles/starship/</w:t>
        </w:r>
      </w:hyperlink>
    </w:p>
    <w:p>
      <w:pPr>
        <w:pStyle w:val="ListBullet"/>
        <w:spacing w:after="80"/>
      </w:pPr>
      <w:r>
        <w:rPr>
          <w:rFonts w:ascii="Source Han Sans SC" w:hAnsi="Source Han Sans SC" w:eastAsia="Source Han Sans SC"/>
          <w:b/>
          <w:sz w:val="21"/>
        </w:rPr>
        <w:t>Starlink 官方网站：</w:t>
      </w:r>
      <w:hyperlink r:id="rId14">
        <w:r>
          <w:rPr>
            <w:color w:val="0563C1"/>
            <w:u w:val="single"/>
          </w:rPr>
          <w:t>https://www.starlink.com/</w:t>
        </w:r>
      </w:hyperlink>
    </w:p>
    <w:p>
      <w:pPr>
        <w:pStyle w:val="ListBullet"/>
        <w:spacing w:after="80"/>
      </w:pPr>
      <w:r>
        <w:rPr>
          <w:rFonts w:ascii="Source Han Sans SC" w:hAnsi="Source Han Sans SC" w:eastAsia="Source Han Sans SC"/>
          <w:b/>
          <w:sz w:val="21"/>
        </w:rPr>
        <w:t>NASA：SpaceX Artemis 人类着陆系统合同：</w:t>
      </w:r>
      <w:hyperlink r:id="rId15">
        <w:r>
          <w:rPr>
            <w:color w:val="0563C1"/>
            <w:u w:val="single"/>
          </w:rPr>
          <w:t>https://www.nasa.gov/news-release/as-artemis-moves-forward-nasa-picks-spacex-to-land-next-americans-on-moon/</w:t>
        </w:r>
      </w:hyperlink>
    </w:p>
    <w:p>
      <w:pPr>
        <w:pStyle w:val="ListBullet"/>
        <w:spacing w:after="80"/>
      </w:pPr>
      <w:r>
        <w:rPr>
          <w:rFonts w:ascii="Source Han Sans SC" w:hAnsi="Source Han Sans SC" w:eastAsia="Source Han Sans SC"/>
          <w:b/>
          <w:sz w:val="21"/>
        </w:rPr>
        <w:t>NASA：商业月面着陆系统供应商补充说明：</w:t>
      </w:r>
      <w:hyperlink r:id="rId16">
        <w:r>
          <w:rPr>
            <w:color w:val="0563C1"/>
            <w:u w:val="single"/>
          </w:rPr>
          <w:t>https://www.nasa.gov/news-release/nasa-selects-blue-origin-as-second-artemis-lunar-lander-provider/</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urce Han Sans SC" w:hAnsi="Source Han Sans SC" w:eastAsia="Source Han Sans SC"/>
        <w:color w:val="595959"/>
        <w:sz w:val="18"/>
      </w:rPr>
      <w:t xml:space="preserve">第 </w:t>
    </w:r>
    <w:r>
      <w:fldChar w:fldCharType="begin"/>
      <w:instrText xml:space="preserve">PAGE</w:instrText>
      <w:fldChar w:fldCharType="end"/>
    </w:r>
    <w:r>
      <w:rPr>
        <w:rFonts w:ascii="Source Han Sans SC" w:hAnsi="Source Han Sans SC" w:eastAsia="Source Han Sans SC"/>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E2EC"/>
      </w:pBdr>
    </w:pPr>
    <w:r/>
    <w:r>
      <w:rPr>
        <w:rFonts w:ascii="Source Han Sans SC" w:hAnsi="Source Han Sans SC" w:eastAsia="Source Han Sans SC"/>
        <w:color w:val="595959"/>
        <w:sz w:val="18"/>
      </w:rPr>
      <w:t>项目备忘录 | SpaceX 公司介绍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Source Han Sans SC" w:hAnsi="Source Han Sans SC" w:eastAsia="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Source Han Sans SC" w:hAnsi="Source Han Sans SC" w:eastAsia="Source Han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Source Han Sans SC" w:hAnsi="Source Han Sans SC" w:eastAsia="Source Han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Source Han Sans SC" w:hAnsi="Source Han Sans SC" w:eastAsia="Source Han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Source Han Sans SC" w:hAnsi="Source Han Sans SC" w:eastAsia="Source Han Sans S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Source Han Sans SC" w:hAnsi="Source Han Sans SC" w:eastAsia="Source Han Sans S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pacex.com/vehicles/falcon-9/" TargetMode="External"/><Relationship Id="rId12" Type="http://schemas.openxmlformats.org/officeDocument/2006/relationships/hyperlink" Target="https://www.spacex.com/vehicles/dragon/" TargetMode="External"/><Relationship Id="rId13" Type="http://schemas.openxmlformats.org/officeDocument/2006/relationships/hyperlink" Target="https://www.spacex.com/vehicles/starship/" TargetMode="External"/><Relationship Id="rId14" Type="http://schemas.openxmlformats.org/officeDocument/2006/relationships/hyperlink" Target="https://www.starlink.com/" TargetMode="External"/><Relationship Id="rId15" Type="http://schemas.openxmlformats.org/officeDocument/2006/relationships/hyperlink" Target="https://www.nasa.gov/news-release/as-artemis-moves-forward-nasa-picks-spacex-to-land-next-americans-on-moon/" TargetMode="External"/><Relationship Id="rId16" Type="http://schemas.openxmlformats.org/officeDocument/2006/relationships/hyperlink" Target="https://www.nasa.gov/news-release/nasa-selects-blue-origin-as-second-artemis-lunar-lander-prov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SpaceX 公司介绍</dc:title>
  <dc:subject>项目备忘录</dc:subject>
  <dc:creator>Codex</dc:creator>
  <cp:keywords>SpaceX, Falcon 9, Dragon, Starlink, Starship, 商业航天</cp:keywords>
  <dc:description>generated by python-docx</dc:description>
  <cp:lastModifiedBy/>
  <cp:revision>1</cp:revision>
  <dcterms:created xsi:type="dcterms:W3CDTF">2013-12-23T23:15:00Z</dcterms:created>
  <dcterms:modified xsi:type="dcterms:W3CDTF">2013-12-23T23:15:00Z</dcterms:modified>
  <cp:category/>
</cp:coreProperties>
</file>