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B365D"/>
          <w:sz w:val="44"/>
        </w:rPr>
        <w:t>Thesis Methodology Terminologies &amp; Mathematical Reference Guide</w:t>
      </w:r>
    </w:p>
    <w:p>
      <w:pPr>
        <w:spacing w:before="0" w:after="280"/>
        <w:jc w:val="center"/>
      </w:pPr>
      <w:r>
        <w:rPr>
          <w:rFonts w:ascii="Calibri" w:hAnsi="Calibri"/>
          <w:i/>
          <w:color w:val="4A5568"/>
          <w:sz w:val="24"/>
        </w:rPr>
        <w:t>Age-Stratified Dengue Severity Prediction and Subgroup-Conditioned Feature Attribution Analysis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B365D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2B6CB0"/>
                <w:sz w:val="21"/>
              </w:rPr>
              <w:t xml:space="preserve">📌 DOCUMENT METADATA &amp; DEFENSE GUIDE: </w:t>
            </w:r>
            <w:r>
              <w:rPr>
                <w:rFonts w:ascii="Calibri" w:hAnsi="Calibri"/>
                <w:sz w:val="20"/>
              </w:rPr>
              <w:t>Authors: Md. Aftabul Islam (ID: 22070103) &amp; Mohammad Mazharul Alam (ID: 22070116)</w:t>
            </w:r>
          </w:p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Supervisor: Mohammad Arif Hasan Chowdhury | Dept. of CSE, USTC</w:t>
            </w:r>
          </w:p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Purpose: Exhaustive reference manual for thesis defense covering every methodological concept, working flow, equation, and clinical interpretation.</w:t>
            </w:r>
          </w:p>
        </w:tc>
      </w:tr>
    </w:tbl>
    <w:p/>
    <w:p>
      <w:pPr>
        <w:keepNext/>
        <w:spacing w:before="360" w:after="120"/>
      </w:pPr>
      <w:r>
        <w:rPr>
          <w:rFonts w:ascii="Calibri" w:hAnsi="Calibri"/>
          <w:b/>
          <w:color w:val="1B365D"/>
          <w:sz w:val="30"/>
        </w:rPr>
        <w:t>1. Dataset Preprocessing &amp; Cohort Partitioning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Dengue NS1 Antigen (Non-Structural Protein 1): </w:t>
      </w:r>
      <w:r>
        <w:rPr>
          <w:rFonts w:ascii="Calibri" w:hAnsi="Calibri"/>
          <w:sz w:val="21"/>
        </w:rPr>
        <w:t xml:space="preserve">A highly conserved glycoprotein secreted by the dengue virus into human serum during the acute febrile/viremic phase (Days 1–7).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Raw dataset ingestion (1,329 records) -&gt; Filtering records -&gt; Retaining only confirmed NS1-positive cases (972 records).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Guarantees that models are trained strictly on biologically validated active dengue cases, removing non-dengue febrile confounders.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Cohort Partitioning (Age Stratification): </w:t>
      </w:r>
      <w:r>
        <w:rPr>
          <w:rFonts w:ascii="Calibri" w:hAnsi="Calibri"/>
          <w:sz w:val="21"/>
        </w:rPr>
        <w:t xml:space="preserve">Subdividing the global population into clinically distinct age brackets to uncover subgroup-specific predictive patterns.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Divided 972 NS1-positive records into Pediatric (Age &lt;= 18, n=158) and Adult (Age &gt; 18, n=814), keeping an Age-Pooled cohort (n=972) as baseline.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Children exhibit higher microvascular fragility and rapid capillary leakage compared to adults; stratification prevents adult majority dominance.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Median Imputation: </w:t>
      </w:r>
      <w:r>
        <w:rPr>
          <w:rFonts w:ascii="Calibri" w:hAnsi="Calibri"/>
          <w:sz w:val="21"/>
        </w:rPr>
        <w:t xml:space="preserve">A non-parametric missing-data replacement method where missing continuous values are substituted by the middle value of sorted observed features.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1. Extract non-null values for feature X_j: x_(1) &lt;= x_(2) &lt;= ... &lt;= x_(m). 2. Compute median x̃_j. 3. Substitute all missing cells with x̃_j.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Clinical enzymes like AST and ALT exhibit heavy right-skewed tails from acute liver injury; median is robust against extreme outlier distortion.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9FA"/>
            <w:tcMar>
              <w:top w:w="100" w:type="dxa"/>
              <w:bottom w:w="100" w:type="dxa"/>
              <w:left w:w="180" w:type="dxa"/>
              <w:right w:w="180" w:type="dxa"/>
            </w:tcMar>
            <w:tcBorders>
              <w:left w:val="single" w:sz="12" w:space="0" w:color="4A5568"/>
              <w:top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/>
              <w:jc w:val="center"/>
            </w:pPr>
            <w:r>
              <w:rPr>
                <w:rFonts w:ascii="Cambria Math" w:hAnsi="Cambria Math"/>
                <w:b/>
                <w:color w:val="1A202C"/>
                <w:sz w:val="22"/>
              </w:rPr>
              <w:t>x̃_j = x_((m+1)/2)  [if m is odd]   OR   0.5 * ( x_(m/2) + x_(m/2 + 1) )  [if m is even]</w:t>
            </w:r>
          </w:p>
          <w:p>
            <w:pPr>
              <w:spacing w:before="40" w:after="40"/>
            </w:pPr>
            <w:r>
              <w:rPr>
                <w:rFonts w:ascii="Calibri" w:hAnsi="Calibri"/>
                <w:i/>
                <w:color w:val="4A5568"/>
                <w:sz w:val="19"/>
              </w:rPr>
              <w:t>Where: m = number of non-missing samples for feature j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Routine Hematology Predictors: </w:t>
      </w:r>
      <w:r>
        <w:rPr>
          <w:rFonts w:ascii="Calibri" w:hAnsi="Calibri"/>
          <w:sz w:val="21"/>
        </w:rPr>
        <w:t xml:space="preserve">Standard Complete Blood Count (CBC) and liver function markers routinely available in resource-limited emergency triage settings.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Includes White Blood Cell (WBC) count, Hematocrit (HCT), Lymphocyte %, Neutrophil %, AST (SGOT), and ALT (SGPT).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Enables early, low-cost risk scoring before severe shock occurs, without requiring expensive specialized molecular assays.</w:t>
      </w: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0"/>
        </w:rPr>
        <w:t>2. Target Proxy Harmonization &amp; Target Leakage Prevention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Target Proxy Harmonization: </w:t>
      </w:r>
      <w:r>
        <w:rPr>
          <w:rFonts w:ascii="Calibri" w:hAnsi="Calibri"/>
          <w:sz w:val="21"/>
        </w:rPr>
        <w:t xml:space="preserve">Defining a clinically grounded binary surrogate label when official WHO 2009 multi-organ composite scores are unavailable in retrospective datasets.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Following Niazi &amp; Momand (2026), platelet count (PLT) was stratified: Severe (&lt; 50,000 / µL), Moderate (50,000 - 100,000 / µL), Minor (&gt; 100,000 / µL). Moderate and Minor were combined into Non-Severe.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Produces a clear binary outcome (Severe vs Non-Severe) matching clinical urgency for platelet transfusion/ICU admission.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9FA"/>
            <w:tcMar>
              <w:top w:w="100" w:type="dxa"/>
              <w:bottom w:w="100" w:type="dxa"/>
              <w:left w:w="180" w:type="dxa"/>
              <w:right w:w="180" w:type="dxa"/>
            </w:tcMar>
            <w:tcBorders>
              <w:left w:val="single" w:sz="12" w:space="0" w:color="4A5568"/>
              <w:top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/>
              <w:jc w:val="center"/>
            </w:pPr>
            <w:r>
              <w:rPr>
                <w:rFonts w:ascii="Cambria Math" w:hAnsi="Cambria Math"/>
                <w:b/>
                <w:color w:val="1A202C"/>
                <w:sz w:val="22"/>
              </w:rPr>
              <w:t>y_i = 1 (Severe) if PLT_i &lt; 50,000 / µL   |   y_i = 0 (Non-Severe) if PLT_i &gt;= 50,000 / µL</w:t>
            </w:r>
          </w:p>
          <w:p>
            <w:pPr>
              <w:spacing w:before="40" w:after="40"/>
            </w:pPr>
            <w:r>
              <w:rPr>
                <w:rFonts w:ascii="Calibri" w:hAnsi="Calibri"/>
                <w:i/>
                <w:color w:val="4A5568"/>
                <w:sz w:val="19"/>
              </w:rPr>
              <w:t>Where: y_i = binary outcome variable for patient i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Target Leakage Prevention: </w:t>
      </w:r>
      <w:r>
        <w:rPr>
          <w:rFonts w:ascii="Calibri" w:hAnsi="Calibri"/>
          <w:sz w:val="21"/>
        </w:rPr>
        <w:t xml:space="preserve">The systematic removal of features that directly contain information about the target variable, preventing trivial, over-optimistic performance.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Because y is derived directly from PLT, Platelet Count (PLT) and all its mathematical ratios (e.g., PLT/WBC) were strictly excluded from feature matrix X prior to model training.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Forces the ML models to identify true pathophysiological antecedents (leukopenia, transaminases, hemoconcentration) rather than trivial identity mappings.</w:t>
      </w: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0"/>
        </w:rPr>
        <w:t>3. Clinical Feature Engineering</w:t>
      </w:r>
    </w:p>
    <w:p>
      <w:pPr>
        <w:spacing w:after="80"/>
      </w:pPr>
      <w:r>
        <w:rPr>
          <w:rFonts w:ascii="Calibri" w:hAnsi="Calibri"/>
          <w:sz w:val="21"/>
        </w:rPr>
        <w:t>Domain-engineered binary indicators and interaction ratios based on standard clinical hematology guidelines: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3D3D3"/>
          <w:bottom w:val="single" w:sz="8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Feature Name</w:t>
            </w:r>
          </w:p>
        </w:tc>
        <w:tc>
          <w:tcPr>
            <w:tcW w:type="dxa" w:w="331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Logic / Threshold</w:t>
            </w:r>
          </w:p>
        </w:tc>
        <w:tc>
          <w:tcPr>
            <w:tcW w:type="dxa" w:w="331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Clinical Significance</w:t>
            </w:r>
          </w:p>
        </w:tc>
      </w:tr>
      <w:tr>
        <w:tc>
          <w:tcPr>
            <w:tcW w:type="dxa" w:w="2592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Leukopenia Flag</w:t>
            </w:r>
          </w:p>
        </w:tc>
        <w:tc>
          <w:tcPr>
            <w:tcW w:type="dxa" w:w="3168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I(WBC &lt; 4,000 cells/mm³)</w:t>
            </w:r>
          </w:p>
        </w:tc>
        <w:tc>
          <w:tcPr>
            <w:tcW w:type="dxa" w:w="3600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Bone marrow suppression &amp; virus-induced bone marrow hypoplasia in early dengue.</w:t>
            </w:r>
          </w:p>
        </w:tc>
      </w:tr>
      <w:tr>
        <w:tc>
          <w:tcPr>
            <w:tcW w:type="dxa" w:w="2592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Lymphopenia Flag</w:t>
            </w:r>
          </w:p>
        </w:tc>
        <w:tc>
          <w:tcPr>
            <w:tcW w:type="dxa" w:w="3168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I(Lymphocyte % &lt; 20%)</w:t>
            </w:r>
          </w:p>
        </w:tc>
        <w:tc>
          <w:tcPr>
            <w:tcW w:type="dxa" w:w="3600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Acute depletion of peripheral T-cells and circulating lymphocytes during early viremia.</w:t>
            </w:r>
          </w:p>
        </w:tc>
      </w:tr>
      <w:tr>
        <w:tc>
          <w:tcPr>
            <w:tcW w:type="dxa" w:w="2592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Neutrophilia Flag</w:t>
            </w:r>
          </w:p>
        </w:tc>
        <w:tc>
          <w:tcPr>
            <w:tcW w:type="dxa" w:w="3168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I(Neutrophil % &gt; 70%)</w:t>
            </w:r>
          </w:p>
        </w:tc>
        <w:tc>
          <w:tcPr>
            <w:tcW w:type="dxa" w:w="3600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Relative neutrophil dominance under stress response or secondary bacterial overlap.</w:t>
            </w:r>
          </w:p>
        </w:tc>
      </w:tr>
      <w:tr>
        <w:tc>
          <w:tcPr>
            <w:tcW w:type="dxa" w:w="2592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Transaminase Ratio (De Ritis Ratio)</w:t>
            </w:r>
          </w:p>
        </w:tc>
        <w:tc>
          <w:tcPr>
            <w:tcW w:type="dxa" w:w="3168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Ratio = AST / ALT</w:t>
            </w:r>
          </w:p>
        </w:tc>
        <w:tc>
          <w:tcPr>
            <w:tcW w:type="dxa" w:w="3600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Reflects disproportionate AST elevation characteristic of dengue hepatic injury.</w:t>
            </w:r>
          </w:p>
        </w:tc>
      </w:tr>
      <w:tr>
        <w:tc>
          <w:tcPr>
            <w:tcW w:type="dxa" w:w="2592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Elevated Transaminases Flag</w:t>
            </w:r>
          </w:p>
        </w:tc>
        <w:tc>
          <w:tcPr>
            <w:tcW w:type="dxa" w:w="3168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I(AST &gt; 40 U/L  or  ALT &gt; 40 U/L)</w:t>
            </w:r>
          </w:p>
        </w:tc>
        <w:tc>
          <w:tcPr>
            <w:tcW w:type="dxa" w:w="3600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Direct clinical indicator of acute dengue hepatitis / hepatic parenchymal damage.</w:t>
            </w:r>
          </w:p>
        </w:tc>
      </w:tr>
    </w:tbl>
    <w:p/>
    <w:p>
      <w:pPr>
        <w:keepNext/>
        <w:spacing w:before="360" w:after="120"/>
      </w:pPr>
      <w:r>
        <w:rPr>
          <w:rFonts w:ascii="Calibri" w:hAnsi="Calibri"/>
          <w:b/>
          <w:color w:val="1B365D"/>
          <w:sz w:val="30"/>
        </w:rPr>
        <w:t>4. Dataset Splitting &amp; Imbalance Management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Stratified Train-Test Split (80/20): </w:t>
      </w:r>
      <w:r>
        <w:rPr>
          <w:rFonts w:ascii="Calibri" w:hAnsi="Calibri"/>
          <w:sz w:val="21"/>
        </w:rPr>
        <w:t xml:space="preserve">A partitioning strategy where the 80% training set and 20% test set maintain the exact same ratio of Severe vs Non-Severe cases as the original dataset.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Implemented using scikit-learn's StratifiedShuffleSplit (random_state = 42).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Prevents severe cases from being disproportionately assigned to either train or test splits, ensuring unbiased evaluation.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Balanced Class Weighting: </w:t>
      </w:r>
      <w:r>
        <w:rPr>
          <w:rFonts w:ascii="Calibri" w:hAnsi="Calibri"/>
          <w:sz w:val="21"/>
        </w:rPr>
        <w:t xml:space="preserve">A cost-sensitive training technique that penalizes misclassifications in the minority class (Severe) more heavily than in the majority class.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Adjusts class weights in model loss functions inversely proportional to class frequencies.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Avoids model collapse where a classifier blindly predicts the majority non-severe class to achieve deceptively high raw accuracy.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9FA"/>
            <w:tcMar>
              <w:top w:w="100" w:type="dxa"/>
              <w:bottom w:w="100" w:type="dxa"/>
              <w:left w:w="180" w:type="dxa"/>
              <w:right w:w="180" w:type="dxa"/>
            </w:tcMar>
            <w:tcBorders>
              <w:left w:val="single" w:sz="12" w:space="0" w:color="4A5568"/>
              <w:top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/>
              <w:jc w:val="center"/>
            </w:pPr>
            <w:r>
              <w:rPr>
                <w:rFonts w:ascii="Cambria Math" w:hAnsi="Cambria Math"/>
                <w:b/>
                <w:color w:val="1A202C"/>
                <w:sz w:val="22"/>
              </w:rPr>
              <w:t>w_c = N / (K * n_c)</w:t>
            </w:r>
          </w:p>
          <w:p>
            <w:pPr>
              <w:spacing w:before="40" w:after="40"/>
            </w:pPr>
            <w:r>
              <w:rPr>
                <w:rFonts w:ascii="Calibri" w:hAnsi="Calibri"/>
                <w:i/>
                <w:color w:val="4A5568"/>
                <w:sz w:val="19"/>
              </w:rPr>
              <w:t>Where: w_c = weight for class c; N = total samples; K = total classes (2); n_c = samples in class c</w:t>
            </w:r>
          </w:p>
        </w:tc>
      </w:tr>
    </w:tbl>
    <w:p>
      <w:pPr>
        <w:spacing w:before="0" w:after="80"/>
      </w:pP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0"/>
        </w:rPr>
        <w:t>5. Machine Learning Classifiers &amp; Ensemble Architectures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Logistic Regression (LR): </w:t>
      </w:r>
      <w:r>
        <w:rPr>
          <w:rFonts w:ascii="Calibri" w:hAnsi="Calibri"/>
          <w:sz w:val="21"/>
        </w:rPr>
        <w:t xml:space="preserve">A generalized linear classifier that models the log-odds of severe dengue as a linear combination of hematological features via the sigmoid function.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Trained with L2 ridge regularization and balanced class weights as a transparent linear baseline.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Provides a baseline comparison against non-linear tree-based ensembles.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9FA"/>
            <w:tcMar>
              <w:top w:w="100" w:type="dxa"/>
              <w:bottom w:w="100" w:type="dxa"/>
              <w:left w:w="180" w:type="dxa"/>
              <w:right w:w="180" w:type="dxa"/>
            </w:tcMar>
            <w:tcBorders>
              <w:left w:val="single" w:sz="12" w:space="0" w:color="4A5568"/>
              <w:top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/>
              <w:jc w:val="center"/>
            </w:pPr>
            <w:r>
              <w:rPr>
                <w:rFonts w:ascii="Cambria Math" w:hAnsi="Cambria Math"/>
                <w:b/>
                <w:color w:val="1A202C"/>
                <w:sz w:val="22"/>
              </w:rPr>
              <w:t>P(y=1 | x) = sigma(w^T x + b) = 1 / ( 1 + exp( -(w^T x + b) ) )</w:t>
            </w:r>
          </w:p>
          <w:p>
            <w:pPr>
              <w:spacing w:before="40" w:after="40"/>
            </w:pPr>
            <w:r>
              <w:rPr>
                <w:rFonts w:ascii="Calibri" w:hAnsi="Calibri"/>
                <w:i/>
                <w:color w:val="4A5568"/>
                <w:sz w:val="19"/>
              </w:rPr>
              <w:t>Where: w = feature weight vector, b = bias intercept, x = input feature vector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Random Forest (RF) (Breiman, 2001): </w:t>
      </w:r>
      <w:r>
        <w:rPr>
          <w:rFonts w:ascii="Calibri" w:hAnsi="Calibri"/>
          <w:sz w:val="21"/>
        </w:rPr>
        <w:t xml:space="preserve">An ensemble of de-correlated decision trees constructed via Bootstrap Aggregation (Bagging) and Random Feature Subspace Selection.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1. Sample N observations with replacement. 2. At each node, select m = sqrt(d) random features. 3. Split by minimizing Gini impurity. 4. Average votes across all trees.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Highest performing model for the Adult cohort (Accuracy = 84.7%, AUC = 0.892, F1 = 0.820).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9FA"/>
            <w:tcMar>
              <w:top w:w="100" w:type="dxa"/>
              <w:bottom w:w="100" w:type="dxa"/>
              <w:left w:w="180" w:type="dxa"/>
              <w:right w:w="180" w:type="dxa"/>
            </w:tcMar>
            <w:tcBorders>
              <w:left w:val="single" w:sz="12" w:space="0" w:color="4A5568"/>
              <w:top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/>
              <w:jc w:val="center"/>
            </w:pPr>
            <w:r>
              <w:rPr>
                <w:rFonts w:ascii="Cambria Math" w:hAnsi="Cambria Math"/>
                <w:b/>
                <w:color w:val="1A202C"/>
                <w:sz w:val="22"/>
              </w:rPr>
              <w:t>I_G(t) = 1 - sum( p(k|t)^2 ) = 1 - ( p_0^2 + p_1^2 )</w:t>
            </w:r>
          </w:p>
          <w:p>
            <w:pPr>
              <w:spacing w:before="40" w:after="40"/>
            </w:pPr>
            <w:r>
              <w:rPr>
                <w:rFonts w:ascii="Calibri" w:hAnsi="Calibri"/>
                <w:i/>
                <w:color w:val="4A5568"/>
                <w:sz w:val="19"/>
              </w:rPr>
              <w:t>Where: I_G(t) = Gini impurity at tree node t; p(k|t) = proportion of class k at node t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XGBoost (Extreme Gradient Boosting) (Chen &amp; Guestrin, 2016): </w:t>
      </w:r>
      <w:r>
        <w:rPr>
          <w:rFonts w:ascii="Calibri" w:hAnsi="Calibri"/>
          <w:sz w:val="21"/>
        </w:rPr>
        <w:t xml:space="preserve">A highly regularized sequential boosting algorithm that fits successive decision trees to the negative gradient of the loss function using second-order Taylor expansion.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Computes exact 1st (gradient g_i) and 2nd (hessian h_i) order derivatives to evaluate split quality while penalizing tree complexity.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Primary model utilized for computing TreeSHAP feature attributions and dependence curves.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9FA"/>
            <w:tcMar>
              <w:top w:w="100" w:type="dxa"/>
              <w:bottom w:w="100" w:type="dxa"/>
              <w:left w:w="180" w:type="dxa"/>
              <w:right w:w="180" w:type="dxa"/>
            </w:tcMar>
            <w:tcBorders>
              <w:left w:val="single" w:sz="12" w:space="0" w:color="4A5568"/>
              <w:top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/>
              <w:jc w:val="center"/>
            </w:pPr>
            <w:r>
              <w:rPr>
                <w:rFonts w:ascii="Cambria Math" w:hAnsi="Cambria Math"/>
                <w:b/>
                <w:color w:val="1A202C"/>
                <w:sz w:val="22"/>
              </w:rPr>
              <w:t>Obj^(t) = sum[ g_i * f_t(x_i) + 0.5 * h_i * (f_t(x_i))^2 ] + gamma * T + 0.5 * lambda * sum( w_j^2 )</w:t>
            </w:r>
          </w:p>
          <w:p>
            <w:pPr>
              <w:spacing w:before="40" w:after="40"/>
            </w:pPr>
            <w:r>
              <w:rPr>
                <w:rFonts w:ascii="Calibri" w:hAnsi="Calibri"/>
                <w:i/>
                <w:color w:val="4A5568"/>
                <w:sz w:val="19"/>
              </w:rPr>
              <w:t>Where: g_i = gradient; h_i = hessian; T = leaf count; w_j = leaf weights; gamma, lambda = regularization terms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LightGBM (Light Gradient Boosting Machine) (Ke et al., 2017): </w:t>
      </w:r>
      <w:r>
        <w:rPr>
          <w:rFonts w:ascii="Calibri" w:hAnsi="Calibri"/>
          <w:sz w:val="21"/>
        </w:rPr>
        <w:t xml:space="preserve">A high-speed GBDT variant utilizing Gradient-based One-Side Sampling (GOSS) and Exclusive Feature Bundling (EFB) with leaf-wise (best-first) tree growth.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Expands the leaf with the highest loss reduction rather than splitting level-wise across the entire tree depth.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Provides ultra-fast training and handles potential non-linear feature interactions efficiently.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Stacking Ensemble Meta-Learner (Wolpert, 1992): </w:t>
      </w:r>
      <w:r>
        <w:rPr>
          <w:rFonts w:ascii="Calibri" w:hAnsi="Calibri"/>
          <w:sz w:val="21"/>
        </w:rPr>
        <w:t xml:space="preserve">A heterogeneous ensemble technique where predictions of multiple Level-0 base classifiers serve as input meta-features for a Level-1 meta-classifier.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Level-0 models (LR, RF, XGBoost, LightGBM) generate out-of-fold probability vectors z_i = [p_LR, p_RF, p_XGB, p_LGBM], which a Level-1 Logistic Regression meta-learner combines.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Highest performing model for the Pediatric cohort (Accuracy = 90.6%, AUC = 0.947, F1 = 0.800, Specificity = 100%).</w:t>
      </w: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0"/>
        </w:rPr>
        <w:t>6. Model Evaluation Metrics &amp; Formulations</w:t>
      </w:r>
    </w:p>
    <w:p>
      <w:pPr>
        <w:spacing w:after="80"/>
      </w:pPr>
      <w:r>
        <w:rPr>
          <w:rFonts w:ascii="Calibri" w:hAnsi="Calibri"/>
          <w:sz w:val="21"/>
        </w:rPr>
        <w:t>Let TP = True Positives (Severe), TN = True Negatives (Non-Severe), FP = False Positives, FN = False Negatives.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3D3D3"/>
          <w:bottom w:val="single" w:sz="8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Metric Name</w:t>
            </w:r>
          </w:p>
        </w:tc>
        <w:tc>
          <w:tcPr>
            <w:tcW w:type="dxa" w:w="331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Equation</w:t>
            </w:r>
          </w:p>
        </w:tc>
        <w:tc>
          <w:tcPr>
            <w:tcW w:type="dxa" w:w="331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Clinical Interpretation</w:t>
            </w:r>
          </w:p>
        </w:tc>
      </w:tr>
      <w:tr>
        <w:tc>
          <w:tcPr>
            <w:tcW w:type="dxa" w:w="2592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Accuracy (Acc)</w:t>
            </w:r>
          </w:p>
        </w:tc>
        <w:tc>
          <w:tcPr>
            <w:tcW w:type="dxa" w:w="3312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Acc = (TP + TN) / (TP + TN + FP + FN)</w:t>
            </w:r>
          </w:p>
        </w:tc>
        <w:tc>
          <w:tcPr>
            <w:tcW w:type="dxa" w:w="3456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Overall proportion of correct classifications across all patients.</w:t>
            </w:r>
          </w:p>
        </w:tc>
      </w:tr>
      <w:tr>
        <w:tc>
          <w:tcPr>
            <w:tcW w:type="dxa" w:w="2592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Sensitivity / Recall (TPR)</w:t>
            </w:r>
          </w:p>
        </w:tc>
        <w:tc>
          <w:tcPr>
            <w:tcW w:type="dxa" w:w="3312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Sens = TP / (TP + FN)</w:t>
            </w:r>
          </w:p>
        </w:tc>
        <w:tc>
          <w:tcPr>
            <w:tcW w:type="dxa" w:w="345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Ability to catch true severe cases. High sensitivity is crucial to prevent missed fatal emergencies.</w:t>
            </w:r>
          </w:p>
        </w:tc>
      </w:tr>
      <w:tr>
        <w:tc>
          <w:tcPr>
            <w:tcW w:type="dxa" w:w="2592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Specificity (TNR)</w:t>
            </w:r>
          </w:p>
        </w:tc>
        <w:tc>
          <w:tcPr>
            <w:tcW w:type="dxa" w:w="3312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Spec = TN / (TN + FP)</w:t>
            </w:r>
          </w:p>
        </w:tc>
        <w:tc>
          <w:tcPr>
            <w:tcW w:type="dxa" w:w="3456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Ability to correctly identify non-severe patients, preventing unnecessary hospital overcrowding.</w:t>
            </w:r>
          </w:p>
        </w:tc>
      </w:tr>
      <w:tr>
        <w:tc>
          <w:tcPr>
            <w:tcW w:type="dxa" w:w="2592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F1-Score</w:t>
            </w:r>
          </w:p>
        </w:tc>
        <w:tc>
          <w:tcPr>
            <w:tcW w:type="dxa" w:w="3312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F1 = 2 * (Prec * Rec) / (Prec + Rec) = 2*TP / (2*TP + FP + FN)</w:t>
            </w:r>
          </w:p>
        </w:tc>
        <w:tc>
          <w:tcPr>
            <w:tcW w:type="dxa" w:w="345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Harmonic mean of precision and recall; robust measure for imbalanced medical data.</w:t>
            </w:r>
          </w:p>
        </w:tc>
      </w:tr>
      <w:tr>
        <w:tc>
          <w:tcPr>
            <w:tcW w:type="dxa" w:w="2592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AUC-ROC</w:t>
            </w:r>
          </w:p>
        </w:tc>
        <w:tc>
          <w:tcPr>
            <w:tcW w:type="dxa" w:w="3312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AUC = Integral( TPR(FPR^-1(t)) dt )</w:t>
            </w:r>
          </w:p>
        </w:tc>
        <w:tc>
          <w:tcPr>
            <w:tcW w:type="dxa" w:w="3456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Probability that the model ranks a randomly chosen severe patient above a non-severe patient.</w:t>
            </w:r>
          </w:p>
        </w:tc>
      </w:tr>
      <w:tr>
        <w:tc>
          <w:tcPr>
            <w:tcW w:type="dxa" w:w="2592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Matthews Correlation Coefficient (MCC)</w:t>
            </w:r>
          </w:p>
        </w:tc>
        <w:tc>
          <w:tcPr>
            <w:tcW w:type="dxa" w:w="3312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MCC = (TP*TN - FP*FN) / sqrt( (TP+FP)(TP+FN)(TN+FP)(TN+FN) )</w:t>
            </w:r>
          </w:p>
        </w:tc>
        <w:tc>
          <w:tcPr>
            <w:tcW w:type="dxa" w:w="345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Balanced correlation coefficient ranging from -1 to +1; unaffected by class imbalance.</w:t>
            </w:r>
          </w:p>
        </w:tc>
      </w:tr>
    </w:tbl>
    <w:p/>
    <w:p>
      <w:pPr>
        <w:keepNext/>
        <w:spacing w:before="360" w:after="120"/>
      </w:pPr>
      <w:r>
        <w:rPr>
          <w:rFonts w:ascii="Calibri" w:hAnsi="Calibri"/>
          <w:b/>
          <w:color w:val="1B365D"/>
          <w:sz w:val="30"/>
        </w:rPr>
        <w:t>7. Explainable AI (XAI) &amp; SHAP Analysis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SHapley Additive exPlanations (SHAP) (Lundberg &amp; Lee, 2017): </w:t>
      </w:r>
      <w:r>
        <w:rPr>
          <w:rFonts w:ascii="Calibri" w:hAnsi="Calibri"/>
          <w:sz w:val="21"/>
        </w:rPr>
        <w:t xml:space="preserve">A game-theoretic framework that computes the unique, fair additive marginal contribution (phi_i) of each clinical feature towards the model's severity prediction.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Calculates the weighted average marginal contribution of feature i across all possible feature subsets (coalitions) S subset of F \ {i}.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Provides mathematically unified local (patient-specific) and global (cohort-wide) model explanations.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9FA"/>
            <w:tcMar>
              <w:top w:w="100" w:type="dxa"/>
              <w:bottom w:w="100" w:type="dxa"/>
              <w:left w:w="180" w:type="dxa"/>
              <w:right w:w="180" w:type="dxa"/>
            </w:tcMar>
            <w:tcBorders>
              <w:left w:val="single" w:sz="12" w:space="0" w:color="4A5568"/>
              <w:top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/>
              <w:jc w:val="center"/>
            </w:pPr>
            <w:r>
              <w:rPr>
                <w:rFonts w:ascii="Cambria Math" w:hAnsi="Cambria Math"/>
                <w:b/>
                <w:color w:val="1A202C"/>
                <w:sz w:val="22"/>
              </w:rPr>
              <w:t>phi_i(f, x) = sum_(S subset F \ {i}) [ |S|! * (|F| - |S| - 1)! / |F|! ] * [ f_x(S union {i}) - f_x(S) ]</w:t>
            </w:r>
          </w:p>
          <w:p>
            <w:pPr>
              <w:spacing w:before="40" w:after="40"/>
            </w:pPr>
            <w:r>
              <w:rPr>
                <w:rFonts w:ascii="Calibri" w:hAnsi="Calibri"/>
                <w:i/>
                <w:color w:val="4A5568"/>
                <w:sz w:val="19"/>
              </w:rPr>
              <w:t>Where: |F| = total features; S = feature coalition excluding i; f_x(S union {i}) - f_x(S) = marginal gain of adding feature i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Four Fundamental Axioms of SHAP: </w:t>
      </w:r>
      <w:r>
        <w:rPr>
          <w:rFonts w:ascii="Calibri" w:hAnsi="Calibri"/>
          <w:sz w:val="21"/>
        </w:rPr>
        <w:t xml:space="preserve">Guarantees that feature attributions are theoretically sound and consistent: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1. Efficiency (Local Accuracy): sum(phi_i) = f(x) - E[f(X)]. 2. Symmetry: identical contributors receive identical phi. 3. Dummy Player: non-contributing features receive phi = 0. 4. Additivity: phi of ensemble sum equals sum of component phi values.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Ensures attributions cannot be manipulated or produce contradictory feature rankings.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TreeExplainer (TreeSHAP): </w:t>
      </w:r>
      <w:r>
        <w:rPr>
          <w:rFonts w:ascii="Calibri" w:hAnsi="Calibri"/>
          <w:sz w:val="21"/>
        </w:rPr>
        <w:t xml:space="preserve">A specialized, polynomial-time algorithm O(T * L * D^2) for calculating exact Shapley values on tree-based ensembles without exponential brute-force sampling.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Recursively traverses tree structures of trained XGBoost models to compute conditional expectations.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Allows rapid, exact explanation computation on all 972 patient records.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SHAP Summary (Beeswarm) &amp; Dependence Plots: </w:t>
      </w:r>
      <w:r>
        <w:rPr>
          <w:rFonts w:ascii="Calibri" w:hAnsi="Calibri"/>
          <w:sz w:val="21"/>
        </w:rPr>
        <w:t xml:space="preserve">Visual analytics displaying feature importance ranking, directionality of impact, and non-linear risk trajectories.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Beeswarm plot plots every patient as a dot along the SHAP axis (Red = High feature value, Blue = Low feature value). Dependence plot graphs exact feature value (x-axis) vs SHAP risk (y-axis).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Uncovered that elevated Lymphocyte % drives severe risk in both cohorts, but with starkly different non-linear inflection points.</w:t>
      </w: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0"/>
        </w:rPr>
        <w:t>8. Subgroup Divergence &amp; Programmatic Cutoff Extraction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Kendall's Tau-b (tau_b) Rank Correlation: </w:t>
      </w:r>
      <w:r>
        <w:rPr>
          <w:rFonts w:ascii="Calibri" w:hAnsi="Calibri"/>
          <w:sz w:val="21"/>
        </w:rPr>
        <w:t xml:space="preserve">A non-parametric statistical coefficient measuring the relative ordering concordance between pediatric and adult SHAP feature rankings while adjusting for ties.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Calculated by comparing concordant pairs P and discordant pairs Q between the two cohort feature importance lists.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Resulted in tau_b = 0.900, proving high overall relative rank agreement (both cohorts prioritize Lymphocytes, WBC, and AST), while threshold values diverge.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9FA"/>
            <w:tcMar>
              <w:top w:w="100" w:type="dxa"/>
              <w:bottom w:w="100" w:type="dxa"/>
              <w:left w:w="180" w:type="dxa"/>
              <w:right w:w="180" w:type="dxa"/>
            </w:tcMar>
            <w:tcBorders>
              <w:left w:val="single" w:sz="12" w:space="0" w:color="4A5568"/>
              <w:top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/>
              <w:jc w:val="center"/>
            </w:pPr>
            <w:r>
              <w:rPr>
                <w:rFonts w:ascii="Cambria Math" w:hAnsi="Cambria Math"/>
                <w:b/>
                <w:color w:val="1A202C"/>
                <w:sz w:val="22"/>
              </w:rPr>
              <w:t>tau_b = ( P - Q ) / sqrt( ( P + Q + T_x ) * ( P + Q + T_y ) )</w:t>
            </w:r>
          </w:p>
          <w:p>
            <w:pPr>
              <w:spacing w:before="40" w:after="40"/>
            </w:pPr>
            <w:r>
              <w:rPr>
                <w:rFonts w:ascii="Calibri" w:hAnsi="Calibri"/>
                <w:i/>
                <w:color w:val="4A5568"/>
                <w:sz w:val="19"/>
              </w:rPr>
              <w:t>Where: P = concordant pairs; Q = discordant pairs; T_x, T_y = ties in ranking x and y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60"/>
      </w:pPr>
      <w:r>
        <w:rPr>
          <w:rFonts w:ascii="Calibri" w:hAnsi="Calibri"/>
          <w:b/>
          <w:color w:val="2D3748"/>
          <w:sz w:val="21"/>
        </w:rPr>
        <w:t xml:space="preserve">Programmatic Cutoff Extraction via Depth-1 Decision Trees (Decision Stumps): </w:t>
      </w:r>
      <w:r>
        <w:rPr>
          <w:rFonts w:ascii="Calibri" w:hAnsi="Calibri"/>
          <w:sz w:val="21"/>
        </w:rPr>
        <w:t xml:space="preserve">A machine learning post-processing method that fits single-split decision trees to continuous SHAP values to extract exact, actionable clinical cutoff thresholds. </w:t>
      </w:r>
    </w:p>
    <w:p>
      <w:pPr>
        <w:pStyle w:val="ListBullet2"/>
        <w:spacing w:before="20" w:after="40"/>
      </w:pPr>
      <w:r>
        <w:rPr>
          <w:rFonts w:ascii="Calibri" w:hAnsi="Calibri"/>
          <w:b/>
          <w:sz w:val="20"/>
        </w:rPr>
        <w:t xml:space="preserve">Working Procedure: </w:t>
      </w:r>
      <w:r>
        <w:rPr>
          <w:rFonts w:ascii="Calibri" w:hAnsi="Calibri"/>
          <w:sz w:val="20"/>
        </w:rPr>
        <w:t>1. Define binary risk target z_i = I(SHAP_feature(x_i) &gt; 0). 2. Train a Decision Tree Classifier (max_depth = 1) on feature x. 3. Extract the root node split point theta*.</w:t>
      </w:r>
    </w:p>
    <w:p>
      <w:pPr>
        <w:pStyle w:val="ListBullet2"/>
        <w:spacing w:before="20" w:after="60"/>
      </w:pPr>
      <w:r>
        <w:rPr>
          <w:rFonts w:ascii="Calibri" w:hAnsi="Calibri"/>
          <w:b/>
          <w:sz w:val="20"/>
        </w:rPr>
        <w:t xml:space="preserve">Role in Thesis: </w:t>
      </w:r>
      <w:r>
        <w:rPr>
          <w:rFonts w:ascii="Calibri" w:hAnsi="Calibri"/>
          <w:sz w:val="20"/>
        </w:rPr>
        <w:t>Translates continuous, abstract XAI attribution curves into concrete clinical triage rules.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9FA"/>
            <w:tcMar>
              <w:top w:w="100" w:type="dxa"/>
              <w:bottom w:w="100" w:type="dxa"/>
              <w:left w:w="180" w:type="dxa"/>
              <w:right w:w="180" w:type="dxa"/>
            </w:tcMar>
            <w:tcBorders>
              <w:left w:val="single" w:sz="12" w:space="0" w:color="4A5568"/>
              <w:top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/>
              <w:jc w:val="center"/>
            </w:pPr>
            <w:r>
              <w:rPr>
                <w:rFonts w:ascii="Cambria Math" w:hAnsi="Cambria Math"/>
                <w:b/>
                <w:color w:val="1A202C"/>
                <w:sz w:val="22"/>
              </w:rPr>
              <w:t>theta* = argmin_theta [ (N_L / N) * Impurity(D_L(theta)) + (N_R / N) * Impurity(D_R(theta)) ]</w:t>
            </w:r>
          </w:p>
          <w:p>
            <w:pPr>
              <w:spacing w:before="40" w:after="40"/>
            </w:pPr>
            <w:r>
              <w:rPr>
                <w:rFonts w:ascii="Calibri" w:hAnsi="Calibri"/>
                <w:i/>
                <w:color w:val="4A5568"/>
                <w:sz w:val="19"/>
              </w:rPr>
              <w:t>Where: theta* = optimal split cutoff; D_L = {x_i &lt;= theta}; D_R = {x_i &gt; theta}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2B6CB0"/>
          <w:sz w:val="25"/>
        </w:rPr>
        <w:t>Empirically Extracted High-Risk Decision Cutoffs (SHAP &gt; 0)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3D3D3"/>
          <w:bottom w:val="single" w:sz="8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2B6CB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Clinical Predictor</w:t>
            </w:r>
          </w:p>
        </w:tc>
        <w:tc>
          <w:tcPr>
            <w:tcW w:type="dxa" w:w="3312"/>
            <w:shd w:fill="2B6CB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Pediatric High-Risk Split (&lt;= 18 yrs)</w:t>
            </w:r>
          </w:p>
        </w:tc>
        <w:tc>
          <w:tcPr>
            <w:tcW w:type="dxa" w:w="3312"/>
            <w:shd w:fill="2B6CB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Adult High-Risk Split (&gt; 18 yrs)</w:t>
            </w:r>
          </w:p>
        </w:tc>
      </w:tr>
      <w:tr>
        <w:tc>
          <w:tcPr>
            <w:tcW w:type="dxa" w:w="3168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Lymphocyte Percentage</w:t>
            </w:r>
          </w:p>
        </w:tc>
        <w:tc>
          <w:tcPr>
            <w:tcW w:type="dxa" w:w="3024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&gt; 44.50%</w:t>
            </w:r>
          </w:p>
        </w:tc>
        <w:tc>
          <w:tcPr>
            <w:tcW w:type="dxa" w:w="3168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&gt; 24.99%</w:t>
            </w:r>
          </w:p>
        </w:tc>
      </w:tr>
      <w:tr>
        <w:tc>
          <w:tcPr>
            <w:tcW w:type="dxa" w:w="3168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White Blood Cell (WBC) Count</w:t>
            </w:r>
          </w:p>
        </w:tc>
        <w:tc>
          <w:tcPr>
            <w:tcW w:type="dxa" w:w="302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&lt;= 4.34 x 10³ cells/mm³</w:t>
            </w:r>
          </w:p>
        </w:tc>
        <w:tc>
          <w:tcPr>
            <w:tcW w:type="dxa" w:w="3168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Linear negative risk trend</w:t>
            </w:r>
          </w:p>
        </w:tc>
      </w:tr>
      <w:tr>
        <w:tc>
          <w:tcPr>
            <w:tcW w:type="dxa" w:w="3168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Neutrophil % / Hematocrit</w:t>
            </w:r>
          </w:p>
        </w:tc>
        <w:tc>
          <w:tcPr>
            <w:tcW w:type="dxa" w:w="3024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Neutrophil % &lt;= 48.00%</w:t>
            </w:r>
          </w:p>
        </w:tc>
        <w:tc>
          <w:tcPr>
            <w:tcW w:type="dxa" w:w="3168"/>
            <w:shd w:fill="F8F9FA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Hematocrit (HCT) &gt; 40.65% (Age &gt; 31.00 yrs)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FFDF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D6B20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2B6CB0"/>
                <w:sz w:val="21"/>
              </w:rPr>
              <w:t xml:space="preserve">📌 CORE THESIS DEFENSE QUESTIONS &amp; ANSWERS: </w:t>
            </w:r>
            <w:r>
              <w:rPr>
                <w:rFonts w:ascii="Calibri" w:hAnsi="Calibri"/>
                <w:sz w:val="20"/>
              </w:rPr>
              <w:t>Q1: Why exclude PLT from training? -&gt; To prevent target leakage since severe status was derived from PLT &lt; 50,000/µL.</w:t>
            </w:r>
          </w:p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Q2: Why Kendall's tau-b = 0.900? -&gt; Shows top features are identical in rank, but quantitative decision boundaries differ markedly between cohorts.</w:t>
            </w:r>
          </w:p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Q3: Why did Stacking win on Pediatrics (90.6%) and RF on Adults (84.7%)? -&gt; Stacking meta-learning controlled high variance in the smaller pediatric cohort (n=158), while RF effectively handled non-linear boundaries in the larger adult cohort (n=814).</w:t>
            </w:r>
          </w:p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Q4: Why depth-1 decision trees on SHAP? -&gt; Bridges the gap between black-box AI and clinical medicine by transforming continuous attribution curves into testable numerical threshold rules.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