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B6E2B"/>
          <w:sz w:val="40"/>
          <w:szCs w:val="40"/>
        </w:rPr>
        <w:t xml:space="preserve">Slide-by-Slide Content Plan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Pediatric vs Adult Dengue Severity Prediction with Subgroup-Specific SHAP Explanations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Mapped onto the existing 8-section defense template  |  Mobile App section replaced with Web Application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Md. Aftabul Islam (22070103)  ·  Mohammad Mazharul Alam (22070116)  ·  Supervisor: Mohammad Arif Hasan Chowdhury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How to Use This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Each entry below corresponds to one slide in your deck, using the same section order and visual language as the template (green header bar, icon-driven cards, KPI callouts).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Text content is written to be slide-ready — short phrases and fragments, not paragraphs — so it drops directly into text boxes.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Orange dashed boxes mark image/table/chart placeholders. Each one states whether it comes from your PDF (with figure/table number) or needs to be sourced/built new, with a direct link where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"Layout balance" notes flag the intended text/visual split per slide so the overall deck lands near 50/50.</w:t>
      </w:r>
    </w:p>
    <w:p>
      <w:pPr>
        <w:spacing w:after="200"/>
      </w:pP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0 — Title &amp; Overview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Title Slide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Text content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Pediatric vs Adult Dengue Severity Prediction with Subgroup-Specific SHAP Explanations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Md. Aftabul Islam — ID: 22070103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Mohammad Mazharul Alam — ID: 22070116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Under the guidance of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Mohammad Arif Hasan Chowdhury — Assistant Professor, Dept. of CSE, FSET, USTC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Department of Computer Science and Engineering, University of Science and Technology Chittagong (USTC), Chattogram, Bangladesh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July 2026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Text-only, matches template's title slide exactly — no image needed.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Overview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8 numbered items (2 columns × 4, as in template)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Background &amp; Introduction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Related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Methodology &amp; System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6. Results and Discussion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7. Conclusion &amp; Future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8. References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agenda slide, same as template.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1 — Background &amp; Introduction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3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Background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Headline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Dengue severity models are usually trained on pooled, all-age cohorts — masking how children and adults actually differ.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Strip: FROM NEED TO EVIDENCE (4 short cards, as in template's 'Rural access need → EyeVLM' row)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Why: Pediatric and adult dengue patients show different physiology — plasma leakage, comorbidities, hemorrhagic patterns.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Missing tools: Most ML studies use a single pooled model and a single global SHAP summary.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Research gap: No dengue study quantitatively compares SHAP feature attribution between pediatric and adult subgroups.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This thesis: Age-stratified models + subgroup SHAP + an early-stage risk-assessment dashboard.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Takeaway line (bottom banner, like template)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Takeaway: Age-stratified modeling turns a hidden pooling assumption into a testable, explainable comparison.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card layout — mirrors template slide 3 exactly, no image required.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4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Introduction — Why This Matters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Text content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Dengue is a mosquito-borne viral infection (Aedes aegypti, Aedes albopictus) and a major public health burden across tropical and subtropical regions.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Early identification of patients likely to progress to severe disease is critical for timely fluid management and supportive care.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Thesis, Chapter 1.1 (Background and Motivation), p.1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outside source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world/regional dengue-risk map or Aedes aegypti mosquito photo, paralleling the template's WHO-map + bar-chart pair on slide 4.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Suggested source: WHO Dengue and severe dengue fact sheet — https://www.who.int/news-room/fact-sheets/detail/dengue-and-severe-dengue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Alternative: CDC dengue distribution map — https://www.cdc.gov/dengue/areasrisk/index.html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~55% text / 45% image — one supporting visual next to two short framing sentences.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5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Introduction — Clinical &amp; Modeling Gap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KPI callout (large number, like template's '2.2B')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972 — laboratory-confirmed NS1-positive dengue cases analyzed (158 pediatric ≤18y, 814 adult &gt;18y)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3 short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Pooled-model assumption: Most prior ML work treats age as just one input feature, not a stratification variable.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Clinical reality: Children show higher microvascular permeability and rapid plasma leakage; adults show more comorbidities and hemorrhagic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thesis position: Compare pooled vs. age-stratified models and their SHAP explanations directly, then expose the result via a dashboard.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§1.1–§1.2, p.1–2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KPI + card layout, same density as template slide 5.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2 — Problem Statement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6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Problem Statement — Scale of the Issue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Headline stat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Dengue incidence has grown dramatically worldwide over recent decades, straining early-severity triage in high-burden settings such as Bangladesh.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outside source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global dengue incidence trend chart (line/area chart, 1990s–present), mirroring the template's 'sight loss projection' line chart on slide 6.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Suggested source: WHO Dengue global situation — https://www.who.int/emergencies/disease-outbreak-news/item/2024-DON518  or  Our World in Data dengue pages — https://ourworldindata.org/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 for framing text: Thesis §1.1, p.1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~45% text / 55% image — chart is the visual anchor of the slide.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7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Problem Statement — Four Limitations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4 short problem cards (as in template)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Age-pooled model training: Classifiers are typically trained on pooled pediatric + adult data, assuming one feature–severity relationship fits all 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Global feature attribution: SHAP explanations are computed for the whole pooled cohort, averaging out subgroup-level differences.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Misalignment with clinical practice: Clinicians judge children and adults against age-specific norms; pooled models give one generic boundary.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Lack of explainable deployment: Trained models are rarely wired into a system that supports patient-level explanation or structured data collection.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Research question banner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Research question: Do subgroup-trained models and their SHAP explanations differ meaningfully from an age-pooled baseline for dengue severity prediction — and can that difference be made usable through a dashboard?</w:t>
      </w:r>
    </w:p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Scope line: PLT-derived severity proxy (Severe &lt;50,000/µL) on a Bangladesh clinical-laboratory dataset (n=972); not WHO-adjudicated clinical labels.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§1.2, §1.5, p.2–3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Text-only, four-card layout — matches template slide 7 exactly.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3 — Objectives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8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Objectives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Objective 1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 and evaluate age-stratified machine learning models (pediatric, adult, pooled) for platelet-derived severe-dengue proxy prediction, using five classifiers: Logistic Regression, Random Forest, XGBoost, LightGBM, and a Stacking Ensemble.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Objective 2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Compute subgroup-conditioned SHAP explanations, extract model-derived feature splits with depth-1 decision trees, and deploy the trained models and explanations through an early-stage explainable web dashboard for structured longitudinal data collection.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outside source (icon only, decorative)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 simple flat icon set representing 'clinical data → ML model → explanation dashboard' (stethoscope/lab icon, brain/model icon, dashboard icon) — matches the phone-mockup icon used on the template's Objectives slide.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Suggested source: Flaticon medical/analytics icon packs — https://www.flaticon.com/search?word=medical%20data%20analytics  (choose a free, attribution-compliant icon set)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Focus line: PLT excluded as a predictor; severity = platelet-based proxy (Severe / Non-Severe binary).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§1.3, p.2–3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~60% text / 40% image — two objective statements plus one small supporting icon graphic.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4 — Related Works (4 slides, matching template's 4-slide table run)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9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Related Works — Early &amp; Pediatric Foundations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Table placeholder — build in PowerPoint using the template's table style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content (not a direct image; recreate as a native pptx table using the template's table style)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2.1 'Summary of Existing Dengue Severity ML Studies' (table row: p.7); narrative discussion in §2.1.1, p.5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[1] Tanner et al. (2008)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Early-phase dengue diagnosis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Singapore, pediatric cohort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Decision-tree algorithms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Age-aware but pre-SHAP; no subgroup explainability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[2] Potts et al. (2010)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Pediatric severity from early labs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Thailand, pediatric cohort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 ML, cost-sensitive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Pediatric-only; no adult comparison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[3] Rajapakse et al. (2014)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Clinical-pattern discovery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Brazil, n=572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K-means + hierarchical clustering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 is top discriminator, but no subgroup prediction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table — table is the primary content, consistent with template's related-works slides.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10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Related Works — Explainable ML in Mixed Cohorts (I)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content (recreate natively)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2.1 — [13] and [12] are on p.7; [6] Niazi &amp; Momand's row is on p.8 (table continues across pages). Narrative discussion of all three: §2.1.2, p.5–6.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[13] Chowdhury et al. (2022)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SHAP-based factor analysis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Vietnam + Bangladesh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XGBoost + SHAP plots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SHAP only; no age-conditioned explanation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[12] Huang et al. (2020)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Demographics + lab ML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Taiwan, n=798 (138 severe)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ANN, RF, GBM, SVM, LR + SHAP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Pooled cohort, global SHAP only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[6] Niazi &amp; Momand (2026)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Hematology-driven severity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dataset, n=1,450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LR, RF, SVM, XGBoost + SHAP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 imbalance challenges; global SHAP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table.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11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Related Works — Explainable ML in Mixed Cohorts (II)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content (recreate natively)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2.1 — [14] and [15] are on p.7; [28] Das et al.'s row is on p.8 (table continues across pages). Narrative discussion: §2.1.2, p.5–6.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[14] Masum et al. (2025)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Stacking ensemble + SHAP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Mixed, 17 features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ML models + Stacking + SMOTE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83% post-SMOTE accuracy; global SHAP only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[15] Tuhin et al. (2025)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Stacked ensemble + dual XAI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Bangladesh, n=1,523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Stacked ensemble + SMOTEENN + SHAP/LIME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96.38% accuracy; global explanation only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[28] Das et al. (2025)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Optimized feature diagnosis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Mixed, RFE-selected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RF + RFE + SHAP + LIME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99.67% accuracy; global XAI, no age split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table.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12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Related Works — Temporal Stratification &amp; Cross-Dataset Findings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content (recreate natively)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§2.1.3, p.6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72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[30] Halwala et al. (2025)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Day-of-illness stratification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Sri Lanka, clinical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Day-stratified multi-classifier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Stratifies by day, not by age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[31] Madewell et al. (2024)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Gradient-boosted severity prediction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Puerto Rico hospital cohort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age-stratified analysis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[24] Lu et al. (2025)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Cross-dataset generalizability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Multiple dengue cohorts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Cross-dataset evaluation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degrades across datasets; pooled models conceal subgroup variation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Closing gap statement (bottom banner)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Identified gap: No prior study quantitatively compares SHAP attributions across pediatric vs. adult dengue subgroups or extracts age-specific feature-split thresholds.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table.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5 — Methodology &amp; System Development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13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Proposed Methodology — Pipeline Overview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Diagram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3.1: Workflow overview — Dengue Dataset → Preprocessing → Feature Engineering → Age Stratification → (Pediatric / Adult / Pooled) → Train/Test → Model Development → Model Evaluation → XAI Analysis → Feature Attribution &amp; SHAP Splits → Early-stage Dengue Risk Assessment Dashboard.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p.11 (Chapter 3, §3.1).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Short supporting text (right/below diagram)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Analytical Pipeline: dataset → NS1 filtering → feature engineering → age stratification → model training/evaluation → SHAP-based split extraction.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Application Layer: trained models + explanations surfaced through the Early-stage Dengue Risk Assessment web dashboard.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~30% text / 70% image — this slide is diagram-led, replacing the template's architecture diagram slide.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14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Methodology — Dataset &amp; Cohort Split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KPI strip (4 numbers, as in template)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972 — Total NS1-positive records (from 1,329 raw records)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158 / 814 — Pediatric (≤18y) / Adult (&gt;18y) split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80:20 — Stratified train/test split, random_state = 42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 — Core clinical/demographic predictors (WBC, HCT, RBC, Lymph %, Neut %, AST, ALT, Age, Gender) plus engineered features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4.1: Comparison of key hematological parameters (PLT, WBC, HCT, Lymph %) between pediatric (n=158) and adult (n=814) cohorts — box plots.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p.22 (Chapter 4, §4.1).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~40% text / 60% image — KPI numbers are compact, boxplot figure is the visual centerpiece.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15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Methodology — Preprocessing, Targets &amp; Feature Engineering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Table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content (recreate natively; source table is long, select 4–5 rows to fit)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3.2 'Summary of Engineered Features, Clinical Basis, and Literature Justifications', p.16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Formulation</w:t>
            </w:r>
          </w:p>
        </w:tc>
        <w:tc>
          <w:tcPr>
            <w:tcW w:type="dxa" w:w="312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Clinical Basis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wbc_leukopenia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WBC &lt; 4.0×10³/µL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Early bone-marrow suppression (WHO 2009)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lymph_low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Lymphocyte % &lt; 20%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Early lymphopenia predicts severity (Yap et al. 2011)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ast_alt_ratio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AST / (ALT + 1e-5)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AST rises disproportionately in dengue liver injury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liver_involvement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AST &gt; 40 OR ALT &gt; 40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Transaminase elevation above ULN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age_decade / gender_age_int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⌊Age/10⌋ ; Gender × Age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Non-linear, bimodal age–severity relationship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Supporting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Target: PLT-derived proxy — Severe (&lt;50,000/µL) vs Non-Severe (Moderate + Minor).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Leakage control: PLT and its direct derivatives excluded from predictors.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~40% text / 60% table.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16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Methodology — Models &amp; Evaluation Strategy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Text content (2 short columns, as in template's training-config slide)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 classifiers per cohort: Logistic Regression, Random Forest, XGBoost, LightGBM, Stacking Ensemble (LR meta-learner).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Class imbalance: class_weight='balanced'; XGBoost uses scale_pos_weight.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Split: 80/20 stratified, evaluated independently per cohort (pediatric, adult, pooled).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Metrics: Accuracy, AUC-ROC, Sensitivity, Specificity, F1, Matthews Correlation Coefficient (MCC).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Explainability: SHAP TreeExplainer on XGBoost; depth-1 decision trees fitted to SHAP&gt;0 values to extract feature splits; Kendall's τ-b for pediatric–adult rank comparison.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§3.5–§3.8, p.15–18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optional decorative icon set (outside source)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Small pipeline icons (model/gears, imbalance-scale, magnifying glass for XAI) — same treatment as icon columns on template slide 15.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Suggested source: https://www.flaticon.com/search?word=machine%20learning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~65% text / 35% image — this is a settings/config slide, text-led like the template equivalent.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6 — Results and Discussion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17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Results — Model Performance Comparison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Table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(recreate natively, condensed to best model per cohort; full table available if needed)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4.1 'Classification Performance Across All Cohorts and Models', p.23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Model</w:t>
            </w:r>
          </w:p>
        </w:tc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5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MCC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Pediatric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Stacking / Random Forest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90.6%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0.947 / 0.961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0.800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0.768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Adult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84.7%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0.892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0.820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0.690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Pooled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79.0%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0.860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0.739</w:t>
            </w:r>
          </w:p>
        </w:tc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0.566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Headline callout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Both age-stratified cohorts outperform the pooled baseline on Accuracy, AUC, and F1 — pediatric models show the largest gain.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table.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18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Results — SHAP Feature Attribution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4.2: SHAP summary plots comparing feature attributions across Pooled, Pediatric, and Adult cohorts (three side-by-side bar charts).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p.24 (Chapter 4, §4.3).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Supporting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Pooled top feature: Age (mean |SHAP| = 1.179), then Lymphocyte % (1.173).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Pediatric top feature: Lymphocyte % (1.438) — clearly dominant.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Adult top feature: Lymphocyte % (1.173), followed closely by Age (0.922) and HCT (0.905).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~30% text / 70% image — SHAP summary figure is the focal content.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19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Results — Pediatric–Adult Rank Comparison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KPI strip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τ-b = 0.900 — Pediatric vs. Adult SHAP rank correlation (strong agreement)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τ-b = 0.850 — Pediatric vs. Pooled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τ-b = 0.950 — Adult vs. Pooled (adults make up 83.7% of pooled data)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Interpretation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High rank correlation shows overall feature priorities are similar across age groups — but magnitudes still diverge: Lymphocyte % is markedly stronger in pediatric cases, and HCT ranks top-3 in adults while falling outside the top-5 in children.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§4.4, p.24–25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TABLE — from your PDF (recreate natively, top rows)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Source data: Thesis Table 4.2 'Top-5 Features by Mean Absolute SHAP Contribution Across Cohorts', p.24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~55% text / 45% image — KPI + interpretation text balanced against a compact top-5 feature table.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20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Results — SHAP Dependence Plots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4.3: SHAP dependence plots for WBC count, pediatric (left) vs adult (right).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p.26.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4.4: SHAP dependence plots for AST, pediatric (left) vs adult (right).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p.26.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Short caption text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Dependence plots show how individual feature values push SHAP contributions up or down within each cohort — visualizing where pediatric and adult behavior diverges even for features with similar overall rank.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~20% text / 80% image — two side-by-side dependence-plot figures dominate this slide, matching the template's slide 19 layout.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21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Results — Model-Derived SHAP Feature Splits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Two-column comparison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Pediatric splits (SHAP &gt;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Lymphocyte % — split at &gt; 44.50%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Neutrophil % — split at ≤ 48.00%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WBC — split at ≤ 4.34 × 10³/µL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Adult splits (SHAP &gt; 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Lymphocyte % — split at &gt; 24.99%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HCT — split at &gt; 40.65%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Age — split at &gt; 31.00 years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Note (must appear on slide): these are model-derived interpretation results, not clinical treatment thresholds.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§3.8.3, §4.5, p.18, 25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comparison slide — mirrors template's two-column results slides; no image required.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22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Discussion — What the Differences Mean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Text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Age-conditioned modeling: separate cohorts adapt to age-specific clinical profiles, improving performance over pooling.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Rank similarity ≠ identical behavior: strong Kendall's τ-b agreement coexists with materially different split thresholds (e.g., Lymphocyte % &gt; 44.5% in children vs. &gt; 25.0% in adults).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Interpretation limits: splits reflect model behavior on a PLT-derived proxy in a single retrospective dataset — not independently adjudicated WHO severity labels, and not validated clinical cut-offs.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Chapter 5 (Discussion), p.31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discussion slide, consistent with template's narrative slides.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7 — Web Application (replaces template's Mobile Application section)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23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Web Application — Early-Stage Dengue Risk Assessment Dashboard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3 short cards (same structure as template's Mobile Application slide)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React + Vite frontend: patient demographics and hematological inputs entered through a web form; results displayed inline.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Python backend/API: loads the trained age-specific models and the SHAP TreeExplainer; returns risk probability plus explanation.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PostgreSQL storage: structured columns for patient/lab attributes, JSON/JSONB for explanation metadata — supports repeated longitudinal assessments.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4.5: Dashboard assessment interface — patient demographics, hematological inputs, age-specific model assessment, and model-estimated probability.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p.27.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Note: template originally shows a Flutter mobile client — this thesis instead ships a React/Vite web dashboard; adjust the slide's device mockup to a browser/desktop frame accordingly.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~40% text / 60% image — dashboard screenshot is the primary visual.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24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Web Application — Longitudinal Tracking &amp; Patient-Level Explanations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placeholders (2, side by side or stacked as in template)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4.6: Longitudinal patient history — repeated assessment snapshots with independent model-estimated probabilities, and the Change-Analysis view comparing lab values between assessments.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p.28.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4.7: Patient-level SHAP explanation panel — individual feature contributions for a selected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p.29.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Short caption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assessment is stored as an independent snapshot (descriptive only — not sequential/temporal prediction). Model-derived splits are shown as contextual research findings, never used to compute the reported probability.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~20% text / 80% image — two screenshots dominate, matching the template's Grad-CAM/explainability slide density.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25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Web Application — Pediatric vs. Adult Comparison Mode &amp; Safety Boundaries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Image placeholder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D97706" w:sz="6"/>
              <w:left w:val="dashed" w:color="D97706" w:sz="6"/>
              <w:bottom w:val="dashed" w:color="D97706" w:sz="6"/>
              <w:right w:val="dashed" w:color="D97706" w:sz="6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IMAGE — from your PDF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Figure 4.8: Pediatric–adult model comparison — cohort-specific model outputs and feature contributions for the same input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Location in PDF: p.30.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Safety Statement (must appear verbatim, as template does for the mobile app)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"The dashboard is an early-stage research interface intended for model demonstration and structured data collection. It is not intended for clinical diagnosis, treatment selection, or patient management. Its predictions are based on a retrospective dataset and require independent and prospective validation."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Source: Thesis §3.9.7, §4.5.1, p.20, 27–30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~35% text / 65% image.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8 — Conclusion &amp; Future Work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26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Conclusion &amp; Future Work  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Answer to the Research Question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Age-stratified models outperformed the pooled baseline (pediatric: 90.6% accuracy / AUC 0.947 Stacking; adult: 84.7% accuracy / AUC 0.892 Random Forest). SHAP rankings were highly correlated across age groups (τ-b = 0.900), yet model-derived feature-split thresholds differed meaningfully by age — confirming that pooled models can mask clinically relevant, age-specific decision behavior.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Future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External, prospective validation on independent, geographically distinct datasets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Larger pediatric cohort to strengthen subgroup robustness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WHO-adjudicated severity labels in place of the PLT-derived proxy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Dashboard-driven longitudinal data collection enabling future temporal/sequential modeling (e.g., RNNs)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Closing caution (bottom banner, as in template)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research prototype demonstrating age-stratified benefit which is not yet clinically validated. Prospective validation, WHO-aligned labels, and external testing remain necessary before any clinical use.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conclusion slide, matching template's slide 24 exactly.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Section 9 — References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27–28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References (split across 2 slides, as in template)  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Reproduce the thesis bibliography entries [1]–[31] (pp. 35–37) in the template's reference slide style — small font, numbered, split roughly in half across two slides. Prioritize the ~13–15 most-cited works to match the template's two-slide reference length; the full list can be provided as backup/appendix slides if the committee asks for it.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Text-only, exactly like template slides 25–26.</w:t>
      </w:r>
    </w:p>
    <w:p>
      <w:pPr>
        <w:shd w:fill="EAF3EA" w:val="clear"/>
        <w:spacing w:after="40" w:before="240"/>
      </w:pPr>
      <w:r>
        <w:rPr>
          <w:rFonts w:ascii="Calibri" w:cs="Calibri" w:eastAsia="Calibri" w:hAnsi="Calibri"/>
          <w:b/>
          <w:bCs/>
          <w:color w:val="1B6E2B"/>
          <w:sz w:val="20"/>
          <w:szCs w:val="20"/>
        </w:rPr>
        <w:t xml:space="preserve">  SLIDE 29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 —   Thank You / Q&amp;A  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Thank You!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 are ready for any Questions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Layout balance: Text-only closing slide, identical treatment to template slide 27.</w:t>
      </w:r>
    </w:p>
    <w:p>
      <w:pPr>
        <w:pStyle w:val="Heading1"/>
        <w:pBdr>
          <w:bottom w:val="single" w:color="1B6E2B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6E2B"/>
          <w:sz w:val="30"/>
          <w:szCs w:val="30"/>
        </w:rPr>
        <w:t xml:space="preserve">Appendix — Full Image &amp; Table Asset Checklist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Quick-reference list of every visual asset referenced above, with its source.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420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960"/>
            <w:shd w:fill="1B6E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Dengue map / mosquito photo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fact sheet (link above) — outside source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Global dengue incidence trend chart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/ Our World in Data — outside source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Data→Model→Dashboard icon set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Flaticon — outside source (decorative, optional)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9–12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Related-works comparison tables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Table 2.1, p.7–8 — rebuild as native pptx tables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Workflow diagram (Fig. 3.1)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p.11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Hematology boxplots (Fig. 4.1)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p.22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Engineered-features table (Table 3.2)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p.16 — rebuild as native pptx table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Pipeline/ML icon set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Flaticon — outside source (decorative, optional)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performance table (Table 4.1)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p.23 — rebuild as native pptx table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 summary plots (Fig. 4.2)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p.24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Top-5 SHAP feature table (Table 4.2)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p.24 — rebuild as native pptx table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SHAP dependence plots (Fig. 4.3, 4.4)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p.26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assessment UI (Fig. 4.5)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p.27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Longitudinal + SHAP panel (Fig. 4.6, 4.7)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p.28–29 — extract/crop directly from PDF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Pediatric vs adult comparison mode (Fig. 4.8)</w:t>
            </w:r>
          </w:p>
        </w:tc>
        <w:tc>
          <w:tcPr>
            <w:tcW w:type="dxa" w:w="3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Thesis PDF, p.30 — extract/crop directly from PDF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Tip for extracting PDF figures: open the PDF at the listed page, crop the figure with any screenshot/crop tool at high resolution, and drop it directly into the corresponding placeholder box in PowerPoint — no need to regenerate the plots from scratch.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2026-08-15T09:02:51.617Z</dcterms:created>
  <dcterms:modified xsi:type="dcterms:W3CDTF">2026-08-15T09:02:51.628Z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