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6536" w14:textId="77777777" w:rsidR="00CC1BB1" w:rsidRPr="00C33F5D" w:rsidRDefault="00C33F5D">
      <w:pPr>
        <w:spacing w:after="40"/>
        <w:jc w:val="center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72"/>
          <w:szCs w:val="36"/>
        </w:rPr>
        <w:t>Thesis Methodology Terminologies &amp; Mathematical Reference Guide</w:t>
      </w:r>
    </w:p>
    <w:p w14:paraId="15D1BEC8" w14:textId="77777777" w:rsidR="00CC1BB1" w:rsidRPr="00C33F5D" w:rsidRDefault="00C33F5D">
      <w:pPr>
        <w:spacing w:after="280"/>
        <w:jc w:val="center"/>
        <w:rPr>
          <w:sz w:val="36"/>
          <w:szCs w:val="36"/>
        </w:rPr>
      </w:pPr>
      <w:r w:rsidRPr="00C33F5D">
        <w:rPr>
          <w:rFonts w:ascii="Calibri" w:hAnsi="Calibri"/>
          <w:i/>
          <w:color w:val="4A5568"/>
          <w:sz w:val="40"/>
          <w:szCs w:val="36"/>
        </w:rPr>
        <w:t>Age-Stratified Dengue Severity Prediction and Subgroup-Conditioned Feature Attribution Analysis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16C154E7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90C35E" w14:textId="77777777" w:rsidR="00CC1BB1" w:rsidRPr="00C33F5D" w:rsidRDefault="00C33F5D">
            <w:pPr>
              <w:spacing w:before="40" w:after="8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2B6CB0"/>
                <w:sz w:val="32"/>
                <w:szCs w:val="36"/>
              </w:rPr>
              <w:t>📌</w:t>
            </w:r>
            <w:r w:rsidRPr="00C33F5D">
              <w:rPr>
                <w:rFonts w:ascii="Calibri" w:hAnsi="Calibri"/>
                <w:b/>
                <w:color w:val="2B6CB0"/>
                <w:sz w:val="32"/>
                <w:szCs w:val="36"/>
              </w:rPr>
              <w:t xml:space="preserve"> DOCUMENT METADATA &amp; DEFENSE GUIDE: </w:t>
            </w:r>
            <w:r w:rsidRPr="00C33F5D">
              <w:rPr>
                <w:rFonts w:ascii="Calibri" w:hAnsi="Calibri"/>
                <w:sz w:val="32"/>
                <w:szCs w:val="36"/>
              </w:rPr>
              <w:t xml:space="preserve">Authors: Md. Aftabul Islam (ID: 22070103) &amp; </w:t>
            </w:r>
            <w:r w:rsidRPr="00C33F5D">
              <w:rPr>
                <w:rFonts w:ascii="Calibri" w:hAnsi="Calibri"/>
                <w:sz w:val="32"/>
                <w:szCs w:val="36"/>
              </w:rPr>
              <w:t>Mohammad Mazharul Alam (ID: 22070116)</w:t>
            </w:r>
          </w:p>
          <w:p w14:paraId="0EA3B648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32"/>
                <w:szCs w:val="36"/>
              </w:rPr>
              <w:t>Supervisor: Mohammad Arif Hasan Chowdhury | Dept. of CSE, USTC</w:t>
            </w:r>
          </w:p>
          <w:p w14:paraId="3994A66C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32"/>
                <w:szCs w:val="36"/>
              </w:rPr>
              <w:t>Purpose: Exhaustive reference manual for thesis defense covering every methodological concept, working flow, equation, and clinical interpretation.</w:t>
            </w:r>
          </w:p>
        </w:tc>
      </w:tr>
    </w:tbl>
    <w:p w14:paraId="11E2E954" w14:textId="77777777" w:rsidR="00CC1BB1" w:rsidRPr="00C33F5D" w:rsidRDefault="00CC1BB1">
      <w:pPr>
        <w:rPr>
          <w:sz w:val="36"/>
          <w:szCs w:val="36"/>
        </w:rPr>
      </w:pPr>
    </w:p>
    <w:p w14:paraId="491DF2F6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t>1. Da</w:t>
      </w:r>
      <w:r w:rsidRPr="00C33F5D">
        <w:rPr>
          <w:rFonts w:ascii="Calibri" w:hAnsi="Calibri"/>
          <w:b/>
          <w:color w:val="1B365D"/>
          <w:sz w:val="44"/>
          <w:szCs w:val="36"/>
        </w:rPr>
        <w:t>taset Preprocessing &amp; Cohort Partitioning</w:t>
      </w:r>
    </w:p>
    <w:p w14:paraId="1CFEB118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Dengue NS1 Antigen (Non-Structural Protein 1): </w:t>
      </w:r>
      <w:r w:rsidRPr="00C33F5D">
        <w:rPr>
          <w:rFonts w:ascii="Calibri" w:hAnsi="Calibri"/>
          <w:sz w:val="32"/>
          <w:szCs w:val="36"/>
        </w:rPr>
        <w:t xml:space="preserve">A highly conserved glycoprotein secreted by the dengue virus into human serum during the acute febrile/viremic phase (Days 1–7). </w:t>
      </w:r>
    </w:p>
    <w:p w14:paraId="71DCA482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Raw dataset ingest</w:t>
      </w:r>
      <w:r w:rsidRPr="00C33F5D">
        <w:rPr>
          <w:rFonts w:ascii="Calibri" w:hAnsi="Calibri"/>
          <w:sz w:val="32"/>
          <w:szCs w:val="36"/>
        </w:rPr>
        <w:t>ion (1,329 records) -&gt; Filtering records -&gt; Retaining only confirmed NS1-positive cases (972 records).</w:t>
      </w:r>
    </w:p>
    <w:p w14:paraId="389FF14F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Guarantees that models are trained strictly on biologically validated active dengue cases, removing non-dengue febrile confounders.</w:t>
      </w:r>
    </w:p>
    <w:p w14:paraId="6AF934B2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lastRenderedPageBreak/>
        <w:t>Cohor</w:t>
      </w:r>
      <w:r w:rsidRPr="00C33F5D">
        <w:rPr>
          <w:rFonts w:ascii="Calibri" w:hAnsi="Calibri"/>
          <w:b/>
          <w:color w:val="2D3748"/>
          <w:sz w:val="32"/>
          <w:szCs w:val="36"/>
        </w:rPr>
        <w:t xml:space="preserve">t Partitioning (Age Stratification): </w:t>
      </w:r>
      <w:r w:rsidRPr="00C33F5D">
        <w:rPr>
          <w:rFonts w:ascii="Calibri" w:hAnsi="Calibri"/>
          <w:sz w:val="32"/>
          <w:szCs w:val="36"/>
        </w:rPr>
        <w:t xml:space="preserve">Subdividing the global population into clinically distinct age brackets to uncover subgroup-specific predictive patterns. </w:t>
      </w:r>
    </w:p>
    <w:p w14:paraId="75677810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 xml:space="preserve">Divided 972 NS1-positive records into Pediatric (Age &lt;= 18, n=158) and Adult </w:t>
      </w:r>
      <w:r w:rsidRPr="00C33F5D">
        <w:rPr>
          <w:rFonts w:ascii="Calibri" w:hAnsi="Calibri"/>
          <w:sz w:val="32"/>
          <w:szCs w:val="36"/>
        </w:rPr>
        <w:t>(Age &gt; 18, n=814), keeping an Age-Pooled cohort (n=972) as baseline.</w:t>
      </w:r>
    </w:p>
    <w:p w14:paraId="1D75F121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Children exhibit higher microvascular fragility and rapid capillary leakage compared to adults; stratification prevents adult majority dominance.</w:t>
      </w:r>
    </w:p>
    <w:p w14:paraId="50B04771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Median Imputation: </w:t>
      </w:r>
      <w:r w:rsidRPr="00C33F5D">
        <w:rPr>
          <w:rFonts w:ascii="Calibri" w:hAnsi="Calibri"/>
          <w:sz w:val="32"/>
          <w:szCs w:val="36"/>
        </w:rPr>
        <w:t>A non-</w:t>
      </w:r>
      <w:r w:rsidRPr="00C33F5D">
        <w:rPr>
          <w:rFonts w:ascii="Calibri" w:hAnsi="Calibri"/>
          <w:sz w:val="32"/>
          <w:szCs w:val="36"/>
        </w:rPr>
        <w:t xml:space="preserve">parametric missing-data replacement method where missing continuous values are substituted by the middle value of sorted observed features. </w:t>
      </w:r>
    </w:p>
    <w:p w14:paraId="15B1ACB2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 xml:space="preserve">1. Extract non-null values for feature X_j: x_(1) &lt;= x_(2) &lt;= ... &lt;= x_(m). 2. Compute </w:t>
      </w:r>
      <w:r w:rsidRPr="00C33F5D">
        <w:rPr>
          <w:rFonts w:ascii="Calibri" w:hAnsi="Calibri"/>
          <w:sz w:val="32"/>
          <w:szCs w:val="36"/>
        </w:rPr>
        <w:t>median x̃_j. 3. Substitute all missing cells with x̃_j.</w:t>
      </w:r>
    </w:p>
    <w:p w14:paraId="5C3AD8B1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Clinical enzymes like AST and ALT exhibit heavy right-skewed tails from acute liver injury; median is robust against extreme outlier distortion.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29453EF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97E8B3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 xml:space="preserve">x̃_j = x_((m+1)/2)  [if m is odd]   OR </w:t>
            </w: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 xml:space="preserve">  0.5 * ( x_(m/2) + x_(m/2 + 1) )  [if m is even]</w:t>
            </w:r>
          </w:p>
          <w:p w14:paraId="56C6F22B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Where: m = number of non-missing samples for feature j</w:t>
            </w:r>
          </w:p>
        </w:tc>
      </w:tr>
    </w:tbl>
    <w:p w14:paraId="608DD11D" w14:textId="77777777" w:rsidR="00CC1BB1" w:rsidRPr="00C33F5D" w:rsidRDefault="00CC1BB1">
      <w:pPr>
        <w:spacing w:after="80"/>
        <w:rPr>
          <w:sz w:val="36"/>
          <w:szCs w:val="36"/>
        </w:rPr>
      </w:pPr>
    </w:p>
    <w:p w14:paraId="3B9C2CA3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Routine Hematology Predictors: </w:t>
      </w:r>
      <w:r w:rsidRPr="00C33F5D">
        <w:rPr>
          <w:rFonts w:ascii="Calibri" w:hAnsi="Calibri"/>
          <w:sz w:val="32"/>
          <w:szCs w:val="36"/>
        </w:rPr>
        <w:t>Standard Complete Blood Count (CBC) and liver function markers routinely available in resource-limited emergency triag</w:t>
      </w:r>
      <w:r w:rsidRPr="00C33F5D">
        <w:rPr>
          <w:rFonts w:ascii="Calibri" w:hAnsi="Calibri"/>
          <w:sz w:val="32"/>
          <w:szCs w:val="36"/>
        </w:rPr>
        <w:t xml:space="preserve">e settings. </w:t>
      </w:r>
    </w:p>
    <w:p w14:paraId="716940A7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lastRenderedPageBreak/>
        <w:t xml:space="preserve">Working Procedure: </w:t>
      </w:r>
      <w:r w:rsidRPr="00C33F5D">
        <w:rPr>
          <w:rFonts w:ascii="Calibri" w:hAnsi="Calibri"/>
          <w:sz w:val="32"/>
          <w:szCs w:val="36"/>
        </w:rPr>
        <w:t>Includes White Blood Cell (WBC) count, Hematocrit (HCT), Lymphocyte %, Neutrophil %, AST (SGOT), and ALT (SGPT).</w:t>
      </w:r>
    </w:p>
    <w:p w14:paraId="6DE245E5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Enables early, low-cost risk scoring before severe shock occurs, without requiring expensive sp</w:t>
      </w:r>
      <w:r w:rsidRPr="00C33F5D">
        <w:rPr>
          <w:rFonts w:ascii="Calibri" w:hAnsi="Calibri"/>
          <w:sz w:val="32"/>
          <w:szCs w:val="36"/>
        </w:rPr>
        <w:t>ecialized molecular assays.</w:t>
      </w:r>
    </w:p>
    <w:p w14:paraId="1CA04C84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t>2. Target Proxy Harmonization &amp; Target Leakage Prevention</w:t>
      </w:r>
    </w:p>
    <w:p w14:paraId="4CA43433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Target Proxy Harmonization: </w:t>
      </w:r>
      <w:r w:rsidRPr="00C33F5D">
        <w:rPr>
          <w:rFonts w:ascii="Calibri" w:hAnsi="Calibri"/>
          <w:sz w:val="32"/>
          <w:szCs w:val="36"/>
        </w:rPr>
        <w:t xml:space="preserve">Defining a clinically grounded binary surrogate label when official WHO 2009 multi-organ composite scores are unavailable in retrospective datasets. </w:t>
      </w:r>
    </w:p>
    <w:p w14:paraId="527376F9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 xml:space="preserve">Following Niazi &amp; Momand (2026), platelet count (PLT) was stratified: Severe (&lt; 50,000 </w:t>
      </w:r>
      <w:r w:rsidRPr="00C33F5D">
        <w:rPr>
          <w:rFonts w:ascii="Calibri" w:hAnsi="Calibri"/>
          <w:sz w:val="32"/>
          <w:szCs w:val="36"/>
        </w:rPr>
        <w:t>/ µL), Moderate (50,000 - 100,000 / µL), Minor (&gt; 100,000 / µL). Moderate and Minor were combined into Non-Severe.</w:t>
      </w:r>
    </w:p>
    <w:p w14:paraId="32A7FE42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Produces a clear binary outcome (Severe vs Non-Severe) matching clinical urgency for platelet transfusion/ICU admission.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46A2C9FD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D1EE9C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 xml:space="preserve">y_i </w:t>
            </w: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= 1 (Severe) if PLT_i &lt; 50,000 / µL   |   y_i = 0 (Non-Severe) if PLT_i &gt;= 50,000 / µL</w:t>
            </w:r>
          </w:p>
          <w:p w14:paraId="1DBBBF33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Where: y_i = binary outcome variable for patient i</w:t>
            </w:r>
          </w:p>
        </w:tc>
      </w:tr>
    </w:tbl>
    <w:p w14:paraId="6E2BCD2B" w14:textId="77777777" w:rsidR="00CC1BB1" w:rsidRPr="00C33F5D" w:rsidRDefault="00CC1BB1">
      <w:pPr>
        <w:spacing w:after="80"/>
        <w:rPr>
          <w:sz w:val="36"/>
          <w:szCs w:val="36"/>
        </w:rPr>
      </w:pPr>
    </w:p>
    <w:p w14:paraId="216AD7CB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Target Leakage Prevention: </w:t>
      </w:r>
      <w:r w:rsidRPr="00C33F5D">
        <w:rPr>
          <w:rFonts w:ascii="Calibri" w:hAnsi="Calibri"/>
          <w:sz w:val="32"/>
          <w:szCs w:val="36"/>
        </w:rPr>
        <w:t xml:space="preserve">The systematic removal of features that directly contain information about the target variable, preventing trivial, over-optimistic performance. </w:t>
      </w:r>
    </w:p>
    <w:p w14:paraId="1AE55340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lastRenderedPageBreak/>
        <w:t xml:space="preserve">Working Procedure: </w:t>
      </w:r>
      <w:r w:rsidRPr="00C33F5D">
        <w:rPr>
          <w:rFonts w:ascii="Calibri" w:hAnsi="Calibri"/>
          <w:sz w:val="32"/>
          <w:szCs w:val="36"/>
        </w:rPr>
        <w:t>Because y is derived directly from PLT, Platelet Count (PLT) and all its mathematical ratio</w:t>
      </w:r>
      <w:r w:rsidRPr="00C33F5D">
        <w:rPr>
          <w:rFonts w:ascii="Calibri" w:hAnsi="Calibri"/>
          <w:sz w:val="32"/>
          <w:szCs w:val="36"/>
        </w:rPr>
        <w:t>s (e.g., PLT/WBC) were strictly excluded from feature matrix X prior to model training.</w:t>
      </w:r>
    </w:p>
    <w:p w14:paraId="6AB7832F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Forces the ML models to identify true pathophysiological antecedents (leukopenia, transaminases, hemoconcentration) rather than trivial identity mapping</w:t>
      </w:r>
      <w:r w:rsidRPr="00C33F5D">
        <w:rPr>
          <w:rFonts w:ascii="Calibri" w:hAnsi="Calibri"/>
          <w:sz w:val="32"/>
          <w:szCs w:val="36"/>
        </w:rPr>
        <w:t>s.</w:t>
      </w:r>
    </w:p>
    <w:p w14:paraId="1D30801D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t>3. Clinical Feature Engineering</w:t>
      </w:r>
    </w:p>
    <w:p w14:paraId="68AF8A6F" w14:textId="77777777" w:rsidR="00CC1BB1" w:rsidRPr="00C33F5D" w:rsidRDefault="00C33F5D">
      <w:pPr>
        <w:spacing w:after="80"/>
        <w:rPr>
          <w:sz w:val="36"/>
          <w:szCs w:val="36"/>
        </w:rPr>
      </w:pPr>
      <w:r w:rsidRPr="00C33F5D">
        <w:rPr>
          <w:rFonts w:ascii="Calibri" w:hAnsi="Calibri"/>
          <w:sz w:val="32"/>
          <w:szCs w:val="36"/>
        </w:rPr>
        <w:t>Domain-engineered binary indicators and interaction ratios based on standard clinical hematology guidelines:</w:t>
      </w:r>
    </w:p>
    <w:tbl>
      <w:tblPr>
        <w:tblW w:w="0" w:type="auto"/>
        <w:jc w:val="center"/>
        <w:tblBorders>
          <w:top w:val="single" w:sz="6" w:space="0" w:color="D3D3D3"/>
          <w:bottom w:val="single" w:sz="8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309"/>
        <w:gridCol w:w="3310"/>
        <w:gridCol w:w="3597"/>
      </w:tblGrid>
      <w:tr w:rsidR="00CC1BB1" w:rsidRPr="00C33F5D" w14:paraId="77A92765" w14:textId="77777777">
        <w:trPr>
          <w:jc w:val="center"/>
        </w:trPr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5EC37B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Feature Name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7E028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Mathematical Logic / Threshold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3BB66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Clinical Significance</w:t>
            </w:r>
          </w:p>
        </w:tc>
      </w:tr>
      <w:tr w:rsidR="00CC1BB1" w:rsidRPr="00C33F5D" w14:paraId="5B46EA72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94AC0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Leukopenia Flag</w:t>
            </w:r>
          </w:p>
        </w:tc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56160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 xml:space="preserve">I(WBC &lt; 4,000 </w:t>
            </w:r>
            <w:r w:rsidRPr="00C33F5D">
              <w:rPr>
                <w:rFonts w:ascii="Calibri" w:hAnsi="Calibri"/>
                <w:sz w:val="28"/>
                <w:szCs w:val="36"/>
              </w:rPr>
              <w:t>cells/mm³)</w:t>
            </w:r>
          </w:p>
        </w:tc>
        <w:tc>
          <w:tcPr>
            <w:tcW w:w="3600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C54723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Bone marrow suppression &amp; virus-induced bone marrow hypoplasia in early dengue.</w:t>
            </w:r>
          </w:p>
        </w:tc>
      </w:tr>
      <w:tr w:rsidR="00CC1BB1" w:rsidRPr="00C33F5D" w14:paraId="189BEDC8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D046F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Lymphopenia Flag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FFB2F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I(Lymphocyte % &lt; 20%)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3D9EB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Acute depletion of peripheral T-cells and circulating lymphocytes during early viremia.</w:t>
            </w:r>
          </w:p>
        </w:tc>
      </w:tr>
      <w:tr w:rsidR="00CC1BB1" w:rsidRPr="00C33F5D" w14:paraId="006FF30E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DCA3A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Neutrophilia Flag</w:t>
            </w:r>
          </w:p>
        </w:tc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3F23B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I(Neutrophil % &gt; 70%)</w:t>
            </w:r>
          </w:p>
        </w:tc>
        <w:tc>
          <w:tcPr>
            <w:tcW w:w="3600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B08F23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Relative neutrophil dominance under stress response or secondary bacterial overlap.</w:t>
            </w:r>
          </w:p>
        </w:tc>
      </w:tr>
      <w:tr w:rsidR="00CC1BB1" w:rsidRPr="00C33F5D" w14:paraId="2378925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C228C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Transaminase Ratio (De Ritis Ratio)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6331E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Ratio = AST / ALT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3FE88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Reflects disproportionate AST elevation characteristic of dengue hepatic injury.</w:t>
            </w:r>
          </w:p>
        </w:tc>
      </w:tr>
      <w:tr w:rsidR="00CC1BB1" w:rsidRPr="00C33F5D" w14:paraId="2855FC44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28212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lastRenderedPageBreak/>
              <w:t>Elevated Transaminases Flag</w:t>
            </w:r>
          </w:p>
        </w:tc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4D96A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I(AST &gt; 40 U/L  or  ALT &gt; 40 U/L)</w:t>
            </w:r>
          </w:p>
        </w:tc>
        <w:tc>
          <w:tcPr>
            <w:tcW w:w="3600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56810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Direct clinical indicator of acute dengue hepatitis / hepatic parenchymal damage.</w:t>
            </w:r>
          </w:p>
        </w:tc>
      </w:tr>
    </w:tbl>
    <w:p w14:paraId="05BB7700" w14:textId="77777777" w:rsidR="00CC1BB1" w:rsidRPr="00C33F5D" w:rsidRDefault="00CC1BB1">
      <w:pPr>
        <w:rPr>
          <w:sz w:val="36"/>
          <w:szCs w:val="36"/>
        </w:rPr>
      </w:pPr>
    </w:p>
    <w:p w14:paraId="03D0FA9E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t>4. Dataset Splitting &amp; Imbalance Management</w:t>
      </w:r>
    </w:p>
    <w:p w14:paraId="032B3B0C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Stratified Train-Test Split (80/20): </w:t>
      </w:r>
      <w:r w:rsidRPr="00C33F5D">
        <w:rPr>
          <w:rFonts w:ascii="Calibri" w:hAnsi="Calibri"/>
          <w:sz w:val="32"/>
          <w:szCs w:val="36"/>
        </w:rPr>
        <w:t xml:space="preserve">A partitioning strategy where the 80% training set and 20% test set maintain the exact same ratio of Severe vs Non-Severe cases as the original dataset. </w:t>
      </w:r>
    </w:p>
    <w:p w14:paraId="2C84DEF4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Implemented using scikit-learn's StratifiedShu</w:t>
      </w:r>
      <w:r w:rsidRPr="00C33F5D">
        <w:rPr>
          <w:rFonts w:ascii="Calibri" w:hAnsi="Calibri"/>
          <w:sz w:val="32"/>
          <w:szCs w:val="36"/>
        </w:rPr>
        <w:t>ffleSplit (random_state = 42).</w:t>
      </w:r>
    </w:p>
    <w:p w14:paraId="0069F4D6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Prevents severe cases from being disproportionately assigned to either train or test splits, ensuring unbiased evaluation.</w:t>
      </w:r>
    </w:p>
    <w:p w14:paraId="7BE27714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Balanced Class Weighting: </w:t>
      </w:r>
      <w:r w:rsidRPr="00C33F5D">
        <w:rPr>
          <w:rFonts w:ascii="Calibri" w:hAnsi="Calibri"/>
          <w:sz w:val="32"/>
          <w:szCs w:val="36"/>
        </w:rPr>
        <w:t>A cost-sensitive training technique that penalizes misclassi</w:t>
      </w:r>
      <w:r w:rsidRPr="00C33F5D">
        <w:rPr>
          <w:rFonts w:ascii="Calibri" w:hAnsi="Calibri"/>
          <w:sz w:val="32"/>
          <w:szCs w:val="36"/>
        </w:rPr>
        <w:t xml:space="preserve">fications in the minority class (Severe) more heavily than in the majority class. </w:t>
      </w:r>
    </w:p>
    <w:p w14:paraId="39FF2318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Adjusts class weights in model loss functions inversely proportional to class frequencies.</w:t>
      </w:r>
    </w:p>
    <w:p w14:paraId="0BF21614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Avoids model collapse where a classifier blindl</w:t>
      </w:r>
      <w:r w:rsidRPr="00C33F5D">
        <w:rPr>
          <w:rFonts w:ascii="Calibri" w:hAnsi="Calibri"/>
          <w:sz w:val="32"/>
          <w:szCs w:val="36"/>
        </w:rPr>
        <w:t>y predicts the majority non-severe class to achieve deceptively high raw accuracy.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5DBB4EAC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45C63E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w_c = N / (K * n_c)</w:t>
            </w:r>
          </w:p>
          <w:p w14:paraId="4CD33594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Where: w_c = weight for class c; N = total samples; K = total classes (2); n_c = samples in class c</w:t>
            </w:r>
          </w:p>
        </w:tc>
      </w:tr>
    </w:tbl>
    <w:p w14:paraId="75C60981" w14:textId="77777777" w:rsidR="00CC1BB1" w:rsidRPr="00C33F5D" w:rsidRDefault="00CC1BB1">
      <w:pPr>
        <w:spacing w:after="80"/>
        <w:rPr>
          <w:sz w:val="36"/>
          <w:szCs w:val="36"/>
        </w:rPr>
      </w:pPr>
    </w:p>
    <w:p w14:paraId="49677EB7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lastRenderedPageBreak/>
        <w:t>5. Machine Learning Classifiers &amp; Ensemble Architec</w:t>
      </w:r>
      <w:r w:rsidRPr="00C33F5D">
        <w:rPr>
          <w:rFonts w:ascii="Calibri" w:hAnsi="Calibri"/>
          <w:b/>
          <w:color w:val="1B365D"/>
          <w:sz w:val="44"/>
          <w:szCs w:val="36"/>
        </w:rPr>
        <w:t>tures</w:t>
      </w:r>
    </w:p>
    <w:p w14:paraId="22751F34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Logistic Regression (LR): </w:t>
      </w:r>
      <w:r w:rsidRPr="00C33F5D">
        <w:rPr>
          <w:rFonts w:ascii="Calibri" w:hAnsi="Calibri"/>
          <w:sz w:val="32"/>
          <w:szCs w:val="36"/>
        </w:rPr>
        <w:t xml:space="preserve">A generalized linear classifier that models the log-odds of severe dengue as a linear combination of hematological features via the sigmoid function. </w:t>
      </w:r>
    </w:p>
    <w:p w14:paraId="023AD6E0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Trained with L2 ridge regularization and balanced clas</w:t>
      </w:r>
      <w:r w:rsidRPr="00C33F5D">
        <w:rPr>
          <w:rFonts w:ascii="Calibri" w:hAnsi="Calibri"/>
          <w:sz w:val="32"/>
          <w:szCs w:val="36"/>
        </w:rPr>
        <w:t>s weights as a transparent linear baseline.</w:t>
      </w:r>
    </w:p>
    <w:p w14:paraId="2651FFB5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Provides a baseline comparison against non-linear tree-based ensembles.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329CE9A4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CB7C4D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P(y=1 | x) = sigma(w^T x + b) = 1 / ( 1 + exp( -(w^T x + b) ) )</w:t>
            </w:r>
          </w:p>
          <w:p w14:paraId="436C73A2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 xml:space="preserve">Where: w = feature weight vector, b = bias </w:t>
            </w: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intercept, x = input feature vector</w:t>
            </w:r>
          </w:p>
        </w:tc>
      </w:tr>
    </w:tbl>
    <w:p w14:paraId="48BBFF9C" w14:textId="77777777" w:rsidR="00CC1BB1" w:rsidRPr="00C33F5D" w:rsidRDefault="00CC1BB1">
      <w:pPr>
        <w:spacing w:after="80"/>
        <w:rPr>
          <w:sz w:val="36"/>
          <w:szCs w:val="36"/>
        </w:rPr>
      </w:pPr>
    </w:p>
    <w:p w14:paraId="6F49E500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Random Forest (RF) (Breiman, 2001): </w:t>
      </w:r>
      <w:r w:rsidRPr="00C33F5D">
        <w:rPr>
          <w:rFonts w:ascii="Calibri" w:hAnsi="Calibri"/>
          <w:sz w:val="32"/>
          <w:szCs w:val="36"/>
        </w:rPr>
        <w:t xml:space="preserve">An ensemble of de-correlated decision trees constructed via Bootstrap Aggregation (Bagging) and Random Feature Subspace Selection. </w:t>
      </w:r>
    </w:p>
    <w:p w14:paraId="00E32F55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1. Sample N observations with r</w:t>
      </w:r>
      <w:r w:rsidRPr="00C33F5D">
        <w:rPr>
          <w:rFonts w:ascii="Calibri" w:hAnsi="Calibri"/>
          <w:sz w:val="32"/>
          <w:szCs w:val="36"/>
        </w:rPr>
        <w:t>eplacement. 2. At each node, select m = sqrt(d) random features. 3. Split by minimizing Gini impurity. 4. Average votes across all trees.</w:t>
      </w:r>
    </w:p>
    <w:p w14:paraId="269B8CF3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Highest performing model for the Adult cohort (Accuracy = 84.7%, AUC = 0.892, F1 = 0.820).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45B83A84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7AFB2E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 xml:space="preserve">I_G(t) = 1 </w:t>
            </w: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- sum( p(k|t)^2 ) = 1 - ( p_0^2 + p_1^2 )</w:t>
            </w:r>
          </w:p>
          <w:p w14:paraId="6102DBD4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Where: I_G(t) = Gini impurity at tree node t; p(k|t) = proportion of class k at node t</w:t>
            </w:r>
          </w:p>
        </w:tc>
      </w:tr>
    </w:tbl>
    <w:p w14:paraId="47A9C660" w14:textId="77777777" w:rsidR="00CC1BB1" w:rsidRPr="00C33F5D" w:rsidRDefault="00CC1BB1">
      <w:pPr>
        <w:spacing w:after="80"/>
        <w:rPr>
          <w:sz w:val="36"/>
          <w:szCs w:val="36"/>
        </w:rPr>
      </w:pPr>
    </w:p>
    <w:p w14:paraId="572C2458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lastRenderedPageBreak/>
        <w:t xml:space="preserve">XGBoost (Extreme Gradient Boosting) (Chen &amp; Guestrin, 2016): </w:t>
      </w:r>
      <w:r w:rsidRPr="00C33F5D">
        <w:rPr>
          <w:rFonts w:ascii="Calibri" w:hAnsi="Calibri"/>
          <w:sz w:val="32"/>
          <w:szCs w:val="36"/>
        </w:rPr>
        <w:t>A highly regularized sequential boosting algorithm that fits suc</w:t>
      </w:r>
      <w:r w:rsidRPr="00C33F5D">
        <w:rPr>
          <w:rFonts w:ascii="Calibri" w:hAnsi="Calibri"/>
          <w:sz w:val="32"/>
          <w:szCs w:val="36"/>
        </w:rPr>
        <w:t xml:space="preserve">cessive decision trees to the negative gradient of the loss function using second-order Taylor expansion. </w:t>
      </w:r>
    </w:p>
    <w:p w14:paraId="537B2B25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Computes exact 1st (gradient g_i) and 2nd (hessian h_i) order derivatives to evaluate split quality while penalizing tree complexi</w:t>
      </w:r>
      <w:r w:rsidRPr="00C33F5D">
        <w:rPr>
          <w:rFonts w:ascii="Calibri" w:hAnsi="Calibri"/>
          <w:sz w:val="32"/>
          <w:szCs w:val="36"/>
        </w:rPr>
        <w:t>ty.</w:t>
      </w:r>
    </w:p>
    <w:p w14:paraId="373308DA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Primary model utilized for computing TreeSHAP feature attributions and dependence curves.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760BAD5F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E767F1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Obj^(t) = sum[ g_i * f_t(x_i) + 0.5 * h_i * (f_t(x_i))^2 ] + gamma * T + 0.5 * lambda * sum( w_j^2 )</w:t>
            </w:r>
          </w:p>
          <w:p w14:paraId="378B4CBD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 xml:space="preserve">Where: g_i = gradient; h_i = hessian; T = </w:t>
            </w: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leaf count; w_j = leaf weights; gamma, lambda = regularization terms</w:t>
            </w:r>
          </w:p>
        </w:tc>
      </w:tr>
    </w:tbl>
    <w:p w14:paraId="390716FD" w14:textId="77777777" w:rsidR="00CC1BB1" w:rsidRPr="00C33F5D" w:rsidRDefault="00CC1BB1">
      <w:pPr>
        <w:spacing w:after="80"/>
        <w:rPr>
          <w:sz w:val="36"/>
          <w:szCs w:val="36"/>
        </w:rPr>
      </w:pPr>
    </w:p>
    <w:p w14:paraId="6009BCF4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LightGBM (Light Gradient Boosting Machine) (Ke et al., 2017): </w:t>
      </w:r>
      <w:r w:rsidRPr="00C33F5D">
        <w:rPr>
          <w:rFonts w:ascii="Calibri" w:hAnsi="Calibri"/>
          <w:sz w:val="32"/>
          <w:szCs w:val="36"/>
        </w:rPr>
        <w:t xml:space="preserve">A high-speed GBDT variant utilizing Gradient-based One-Side Sampling (GOSS) and Exclusive Feature Bundling (EFB) with leaf-wise (best-first) tree growth. </w:t>
      </w:r>
    </w:p>
    <w:p w14:paraId="70A2BCB2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 xml:space="preserve">Expands the leaf with the highest loss reduction rather than splitting level-wise </w:t>
      </w:r>
      <w:r w:rsidRPr="00C33F5D">
        <w:rPr>
          <w:rFonts w:ascii="Calibri" w:hAnsi="Calibri"/>
          <w:sz w:val="32"/>
          <w:szCs w:val="36"/>
        </w:rPr>
        <w:t>across the entire tree depth.</w:t>
      </w:r>
    </w:p>
    <w:p w14:paraId="2E2DF39F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Provides ultra-fast training and handles potential non-linear feature interactions efficiently.</w:t>
      </w:r>
    </w:p>
    <w:p w14:paraId="33E7F773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Stacking Ensemble Meta-Learner (Wolpert, 1992): </w:t>
      </w:r>
      <w:r w:rsidRPr="00C33F5D">
        <w:rPr>
          <w:rFonts w:ascii="Calibri" w:hAnsi="Calibri"/>
          <w:sz w:val="32"/>
          <w:szCs w:val="36"/>
        </w:rPr>
        <w:t>A heterogeneous ensemble technique where predictions of multiple L</w:t>
      </w:r>
      <w:r w:rsidRPr="00C33F5D">
        <w:rPr>
          <w:rFonts w:ascii="Calibri" w:hAnsi="Calibri"/>
          <w:sz w:val="32"/>
          <w:szCs w:val="36"/>
        </w:rPr>
        <w:t xml:space="preserve">evel-0 base classifiers serve as input meta-features for a Level-1 meta-classifier. </w:t>
      </w:r>
    </w:p>
    <w:p w14:paraId="650CC4B3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lastRenderedPageBreak/>
        <w:t xml:space="preserve">Working Procedure: </w:t>
      </w:r>
      <w:r w:rsidRPr="00C33F5D">
        <w:rPr>
          <w:rFonts w:ascii="Calibri" w:hAnsi="Calibri"/>
          <w:sz w:val="32"/>
          <w:szCs w:val="36"/>
        </w:rPr>
        <w:t>Level-0 models (LR, RF, XGBoost, LightGBM) generate out-of-fold probability vectors z_i = [p_LR, p_RF, p_XGB, p_LGBM], which a Level-1 Logistic Regressi</w:t>
      </w:r>
      <w:r w:rsidRPr="00C33F5D">
        <w:rPr>
          <w:rFonts w:ascii="Calibri" w:hAnsi="Calibri"/>
          <w:sz w:val="32"/>
          <w:szCs w:val="36"/>
        </w:rPr>
        <w:t>on meta-learner combines.</w:t>
      </w:r>
    </w:p>
    <w:p w14:paraId="35E303A2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Highest performing model for the Pediatric cohort (Accuracy = 90.6%, AUC = 0.947, F1 = 0.800, Specificity = 100%).</w:t>
      </w:r>
    </w:p>
    <w:p w14:paraId="610F3A50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t>6. Model Evaluation Metrics &amp; Formulations</w:t>
      </w:r>
    </w:p>
    <w:p w14:paraId="203CEE73" w14:textId="77777777" w:rsidR="00CC1BB1" w:rsidRPr="00C33F5D" w:rsidRDefault="00C33F5D">
      <w:pPr>
        <w:spacing w:after="80"/>
        <w:rPr>
          <w:sz w:val="36"/>
          <w:szCs w:val="36"/>
        </w:rPr>
      </w:pPr>
      <w:r w:rsidRPr="00C33F5D">
        <w:rPr>
          <w:rFonts w:ascii="Calibri" w:hAnsi="Calibri"/>
          <w:sz w:val="32"/>
          <w:szCs w:val="36"/>
        </w:rPr>
        <w:t>Let TP = True Positives (Severe), TN = True Negatives (N</w:t>
      </w:r>
      <w:r w:rsidRPr="00C33F5D">
        <w:rPr>
          <w:rFonts w:ascii="Calibri" w:hAnsi="Calibri"/>
          <w:sz w:val="32"/>
          <w:szCs w:val="36"/>
        </w:rPr>
        <w:t>on-Severe), FP = False Positives, FN = False Negatives.</w:t>
      </w:r>
    </w:p>
    <w:tbl>
      <w:tblPr>
        <w:tblW w:w="0" w:type="auto"/>
        <w:jc w:val="center"/>
        <w:tblBorders>
          <w:top w:val="single" w:sz="6" w:space="0" w:color="D3D3D3"/>
          <w:bottom w:val="single" w:sz="8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086"/>
        <w:gridCol w:w="3839"/>
        <w:gridCol w:w="3291"/>
      </w:tblGrid>
      <w:tr w:rsidR="00CC1BB1" w:rsidRPr="00C33F5D" w14:paraId="16A1A599" w14:textId="77777777">
        <w:trPr>
          <w:jc w:val="center"/>
        </w:trPr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946E05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Metric Name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4D912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Mathematical Equation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C66F1E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Clinical Interpretation</w:t>
            </w:r>
          </w:p>
        </w:tc>
      </w:tr>
      <w:tr w:rsidR="00CC1BB1" w:rsidRPr="00C33F5D" w14:paraId="150592E5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A8DF0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Accuracy (Acc)</w:t>
            </w:r>
          </w:p>
        </w:tc>
        <w:tc>
          <w:tcPr>
            <w:tcW w:w="331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4023B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Acc = (TP + TN) / (TP + TN + FP + FN)</w:t>
            </w:r>
          </w:p>
        </w:tc>
        <w:tc>
          <w:tcPr>
            <w:tcW w:w="3456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68DAA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Overall proportion of correct classifications across all patients.</w:t>
            </w:r>
          </w:p>
        </w:tc>
      </w:tr>
      <w:tr w:rsidR="00CC1BB1" w:rsidRPr="00C33F5D" w14:paraId="6D20A1CE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11078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Sensitivity / Recall (TPR)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184B1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Sens = TP / (TP + FN)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C3D83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Ability to catch true severe cases. High sensitivity is crucial to prevent missed fatal emergencies.</w:t>
            </w:r>
          </w:p>
        </w:tc>
      </w:tr>
      <w:tr w:rsidR="00CC1BB1" w:rsidRPr="00C33F5D" w14:paraId="57F65E9E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C5D2A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Specificity (TNR)</w:t>
            </w:r>
          </w:p>
        </w:tc>
        <w:tc>
          <w:tcPr>
            <w:tcW w:w="331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EDB83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Spec = TN / (TN + FP)</w:t>
            </w:r>
          </w:p>
        </w:tc>
        <w:tc>
          <w:tcPr>
            <w:tcW w:w="3456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826D3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 xml:space="preserve">Ability to correctly identify non-severe patients, </w:t>
            </w:r>
            <w:r w:rsidRPr="00C33F5D">
              <w:rPr>
                <w:rFonts w:ascii="Calibri" w:hAnsi="Calibri"/>
                <w:sz w:val="28"/>
                <w:szCs w:val="36"/>
              </w:rPr>
              <w:t>preventing unnecessary hospital overcrowding.</w:t>
            </w:r>
          </w:p>
        </w:tc>
      </w:tr>
      <w:tr w:rsidR="00CC1BB1" w:rsidRPr="00C33F5D" w14:paraId="3F1BC2A9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8B7E1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F1-Score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2FC7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F1 = 2 * (Prec * Rec) / (Prec + Rec) = 2*TP / (2*TP + FP + FN)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C573F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Harmonic mean of precision and recall; robust measure for imbalanced medical data.</w:t>
            </w:r>
          </w:p>
        </w:tc>
      </w:tr>
      <w:tr w:rsidR="00CC1BB1" w:rsidRPr="00C33F5D" w14:paraId="45BEF8DC" w14:textId="77777777">
        <w:trPr>
          <w:jc w:val="center"/>
        </w:trPr>
        <w:tc>
          <w:tcPr>
            <w:tcW w:w="259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79EC5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lastRenderedPageBreak/>
              <w:t>AUC-ROC</w:t>
            </w:r>
          </w:p>
        </w:tc>
        <w:tc>
          <w:tcPr>
            <w:tcW w:w="3312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2A915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AUC = Integral( TPR(FPR^-1(t)) dt )</w:t>
            </w:r>
          </w:p>
        </w:tc>
        <w:tc>
          <w:tcPr>
            <w:tcW w:w="3456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D6956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Probability that the model ranks a randomly chosen severe patient above a non-severe patient.</w:t>
            </w:r>
          </w:p>
        </w:tc>
      </w:tr>
      <w:tr w:rsidR="00CC1BB1" w:rsidRPr="00C33F5D" w14:paraId="0241150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DE9FC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Matthews Correlation Coefficient (MCC)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64F21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MCC = (TP*TN - FP*FN) / sqrt( (TP+FP)(TP+FN)(TN+FP)(TN+FN) )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764BA8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 xml:space="preserve">Balanced correlation coefficient ranging from -1 to +1; </w:t>
            </w:r>
            <w:r w:rsidRPr="00C33F5D">
              <w:rPr>
                <w:rFonts w:ascii="Calibri" w:hAnsi="Calibri"/>
                <w:sz w:val="28"/>
                <w:szCs w:val="36"/>
              </w:rPr>
              <w:t>unaffected by class imbalance.</w:t>
            </w:r>
          </w:p>
        </w:tc>
      </w:tr>
    </w:tbl>
    <w:p w14:paraId="15D02202" w14:textId="77777777" w:rsidR="00CC1BB1" w:rsidRPr="00C33F5D" w:rsidRDefault="00CC1BB1">
      <w:pPr>
        <w:rPr>
          <w:sz w:val="36"/>
          <w:szCs w:val="36"/>
        </w:rPr>
      </w:pPr>
    </w:p>
    <w:p w14:paraId="6CB55B40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t>7. Explainable AI (XAI) &amp; SHAP Analysis</w:t>
      </w:r>
    </w:p>
    <w:p w14:paraId="047AA3C2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SHapley Additive exPlanations (SHAP) (Lundberg &amp; Lee, 2017): </w:t>
      </w:r>
      <w:r w:rsidRPr="00C33F5D">
        <w:rPr>
          <w:rFonts w:ascii="Calibri" w:hAnsi="Calibri"/>
          <w:sz w:val="32"/>
          <w:szCs w:val="36"/>
        </w:rPr>
        <w:t xml:space="preserve">A game-theoretic framework that computes the unique, fair additive marginal contribution (phi_i) of each clinical feature </w:t>
      </w:r>
      <w:r w:rsidRPr="00C33F5D">
        <w:rPr>
          <w:rFonts w:ascii="Calibri" w:hAnsi="Calibri"/>
          <w:sz w:val="32"/>
          <w:szCs w:val="36"/>
        </w:rPr>
        <w:t xml:space="preserve">towards the model's severity prediction. </w:t>
      </w:r>
    </w:p>
    <w:p w14:paraId="6FE9068A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Calculates the weighted average marginal contribution of feature i across all possible feature subsets (coalitions) S subset of F \ {i}.</w:t>
      </w:r>
    </w:p>
    <w:p w14:paraId="59ACDDC2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Provides mathematically unified local (pat</w:t>
      </w:r>
      <w:r w:rsidRPr="00C33F5D">
        <w:rPr>
          <w:rFonts w:ascii="Calibri" w:hAnsi="Calibri"/>
          <w:sz w:val="32"/>
          <w:szCs w:val="36"/>
        </w:rPr>
        <w:t>ient-specific) and global (cohort-wide) model explanations.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60C980E9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C43E9B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phi_i(f, x) = sum_(S subset F \ {i}) [ |S|! * (|F| - |S| - 1)! / |F|! ] * [ f_x(S union {i}) - f_x(S) ]</w:t>
            </w:r>
          </w:p>
          <w:p w14:paraId="1EA2A610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 xml:space="preserve">Where: |F| = total features; S = feature coalition excluding i; f_x(S union {i}) - f_x(S) = </w:t>
            </w: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marginal gain of adding feature i</w:t>
            </w:r>
          </w:p>
        </w:tc>
      </w:tr>
    </w:tbl>
    <w:p w14:paraId="2D636754" w14:textId="77777777" w:rsidR="00CC1BB1" w:rsidRPr="00C33F5D" w:rsidRDefault="00CC1BB1">
      <w:pPr>
        <w:spacing w:after="80"/>
        <w:rPr>
          <w:sz w:val="36"/>
          <w:szCs w:val="36"/>
        </w:rPr>
      </w:pPr>
    </w:p>
    <w:p w14:paraId="597FBE95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Four Fundamental Axioms of SHAP: </w:t>
      </w:r>
      <w:r w:rsidRPr="00C33F5D">
        <w:rPr>
          <w:rFonts w:ascii="Calibri" w:hAnsi="Calibri"/>
          <w:sz w:val="32"/>
          <w:szCs w:val="36"/>
        </w:rPr>
        <w:t xml:space="preserve">Guarantees that feature attributions are theoretically sound and consistent: </w:t>
      </w:r>
    </w:p>
    <w:p w14:paraId="14BF3565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lastRenderedPageBreak/>
        <w:t xml:space="preserve">Working Procedure: </w:t>
      </w:r>
      <w:r w:rsidRPr="00C33F5D">
        <w:rPr>
          <w:rFonts w:ascii="Calibri" w:hAnsi="Calibri"/>
          <w:sz w:val="32"/>
          <w:szCs w:val="36"/>
        </w:rPr>
        <w:t xml:space="preserve">1. Efficiency (Local Accuracy): sum(phi_i) = f(x) - E[f(X)]. 2. Symmetry: </w:t>
      </w:r>
      <w:r w:rsidRPr="00C33F5D">
        <w:rPr>
          <w:rFonts w:ascii="Calibri" w:hAnsi="Calibri"/>
          <w:sz w:val="32"/>
          <w:szCs w:val="36"/>
        </w:rPr>
        <w:t>identical contributors receive identical phi. 3. Dummy Player: non-contributing features receive phi = 0. 4. Additivity: phi of ensemble sum equals sum of component phi values.</w:t>
      </w:r>
    </w:p>
    <w:p w14:paraId="06702050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Ensures attributions cannot be manipulated or produce contradic</w:t>
      </w:r>
      <w:r w:rsidRPr="00C33F5D">
        <w:rPr>
          <w:rFonts w:ascii="Calibri" w:hAnsi="Calibri"/>
          <w:sz w:val="32"/>
          <w:szCs w:val="36"/>
        </w:rPr>
        <w:t>tory feature rankings.</w:t>
      </w:r>
    </w:p>
    <w:p w14:paraId="16944E85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TreeExplainer (TreeSHAP): </w:t>
      </w:r>
      <w:r w:rsidRPr="00C33F5D">
        <w:rPr>
          <w:rFonts w:ascii="Calibri" w:hAnsi="Calibri"/>
          <w:sz w:val="32"/>
          <w:szCs w:val="36"/>
        </w:rPr>
        <w:t xml:space="preserve">A specialized, polynomial-time algorithm O(T * L * D^2) for calculating exact Shapley values on tree-based ensembles without exponential brute-force sampling. </w:t>
      </w:r>
    </w:p>
    <w:p w14:paraId="5294F34C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Recursively traverses tree s</w:t>
      </w:r>
      <w:r w:rsidRPr="00C33F5D">
        <w:rPr>
          <w:rFonts w:ascii="Calibri" w:hAnsi="Calibri"/>
          <w:sz w:val="32"/>
          <w:szCs w:val="36"/>
        </w:rPr>
        <w:t>tructures of trained XGBoost models to compute conditional expectations.</w:t>
      </w:r>
    </w:p>
    <w:p w14:paraId="3746802E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Allows rapid, exact explanation computation on all 972 patient records.</w:t>
      </w:r>
    </w:p>
    <w:p w14:paraId="26B028D3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SHAP Summary (Beeswarm) &amp; Dependence Plots: </w:t>
      </w:r>
      <w:r w:rsidRPr="00C33F5D">
        <w:rPr>
          <w:rFonts w:ascii="Calibri" w:hAnsi="Calibri"/>
          <w:sz w:val="32"/>
          <w:szCs w:val="36"/>
        </w:rPr>
        <w:t>Visual analytics displaying feature importance rank</w:t>
      </w:r>
      <w:r w:rsidRPr="00C33F5D">
        <w:rPr>
          <w:rFonts w:ascii="Calibri" w:hAnsi="Calibri"/>
          <w:sz w:val="32"/>
          <w:szCs w:val="36"/>
        </w:rPr>
        <w:t xml:space="preserve">ing, directionality of impact, and non-linear risk trajectories. </w:t>
      </w:r>
    </w:p>
    <w:p w14:paraId="4F1ADE66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>Beeswarm plot plots every patient as a dot along the SHAP axis (Red = High feature value, Blue = Low feature value). Dependence plot graphs exact feature value (x-axis) vs</w:t>
      </w:r>
      <w:r w:rsidRPr="00C33F5D">
        <w:rPr>
          <w:rFonts w:ascii="Calibri" w:hAnsi="Calibri"/>
          <w:sz w:val="32"/>
          <w:szCs w:val="36"/>
        </w:rPr>
        <w:t xml:space="preserve"> SHAP risk (y-axis).</w:t>
      </w:r>
    </w:p>
    <w:p w14:paraId="54D2CE4A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Uncovered that elevated Lymphocyte % drives severe risk in both cohorts, but with starkly different non-linear inflection points.</w:t>
      </w:r>
    </w:p>
    <w:p w14:paraId="3640C18D" w14:textId="77777777" w:rsidR="00CC1BB1" w:rsidRPr="00C33F5D" w:rsidRDefault="00C33F5D">
      <w:pPr>
        <w:keepNext/>
        <w:spacing w:before="360" w:after="120"/>
        <w:rPr>
          <w:sz w:val="36"/>
          <w:szCs w:val="36"/>
        </w:rPr>
      </w:pPr>
      <w:r w:rsidRPr="00C33F5D">
        <w:rPr>
          <w:rFonts w:ascii="Calibri" w:hAnsi="Calibri"/>
          <w:b/>
          <w:color w:val="1B365D"/>
          <w:sz w:val="44"/>
          <w:szCs w:val="36"/>
        </w:rPr>
        <w:lastRenderedPageBreak/>
        <w:t>8. Subgroup Divergence &amp; Programmatic Cutoff Extraction</w:t>
      </w:r>
    </w:p>
    <w:p w14:paraId="6D4E21CD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>Kendall's Tau-b (tau_b) Rank Corr</w:t>
      </w:r>
      <w:r w:rsidRPr="00C33F5D">
        <w:rPr>
          <w:rFonts w:ascii="Calibri" w:hAnsi="Calibri"/>
          <w:b/>
          <w:color w:val="2D3748"/>
          <w:sz w:val="32"/>
          <w:szCs w:val="36"/>
        </w:rPr>
        <w:t xml:space="preserve">elation: </w:t>
      </w:r>
      <w:r w:rsidRPr="00C33F5D">
        <w:rPr>
          <w:rFonts w:ascii="Calibri" w:hAnsi="Calibri"/>
          <w:sz w:val="32"/>
          <w:szCs w:val="36"/>
        </w:rPr>
        <w:t xml:space="preserve">A non-parametric statistical coefficient measuring the relative ordering concordance between pediatric and adult SHAP feature rankings while adjusting for ties. </w:t>
      </w:r>
    </w:p>
    <w:p w14:paraId="69739EAB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Working Procedure: </w:t>
      </w:r>
      <w:r w:rsidRPr="00C33F5D">
        <w:rPr>
          <w:rFonts w:ascii="Calibri" w:hAnsi="Calibri"/>
          <w:sz w:val="32"/>
          <w:szCs w:val="36"/>
        </w:rPr>
        <w:t xml:space="preserve">Calculated by comparing concordant pairs P and discordant pairs Q </w:t>
      </w:r>
      <w:r w:rsidRPr="00C33F5D">
        <w:rPr>
          <w:rFonts w:ascii="Calibri" w:hAnsi="Calibri"/>
          <w:sz w:val="32"/>
          <w:szCs w:val="36"/>
        </w:rPr>
        <w:t>between the two cohort feature importance lists.</w:t>
      </w:r>
    </w:p>
    <w:p w14:paraId="139B073A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Resulted in tau_b = 0.900, proving high overall relative rank agreement (both cohorts prioritize Lymphocytes, WBC, and AST), while threshold values diverge.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1721F5A8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70EE46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 xml:space="preserve">tau_b = ( P - Q ) / sqrt( ( P + Q </w:t>
            </w: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+ T_x ) * ( P + Q + T_y ) )</w:t>
            </w:r>
          </w:p>
          <w:p w14:paraId="3071C1BB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t>Where: P = concordant pairs; Q = discordant pairs; T_x, T_y = ties in ranking x and y</w:t>
            </w:r>
          </w:p>
        </w:tc>
      </w:tr>
    </w:tbl>
    <w:p w14:paraId="0CD9F5E4" w14:textId="77777777" w:rsidR="00CC1BB1" w:rsidRPr="00C33F5D" w:rsidRDefault="00CC1BB1">
      <w:pPr>
        <w:spacing w:after="80"/>
        <w:rPr>
          <w:sz w:val="36"/>
          <w:szCs w:val="36"/>
        </w:rPr>
      </w:pPr>
    </w:p>
    <w:p w14:paraId="20BAE6B9" w14:textId="77777777" w:rsidR="00CC1BB1" w:rsidRPr="00C33F5D" w:rsidRDefault="00C33F5D">
      <w:pPr>
        <w:pStyle w:val="ListBullet"/>
        <w:spacing w:before="40" w:after="60"/>
        <w:rPr>
          <w:sz w:val="36"/>
          <w:szCs w:val="36"/>
        </w:rPr>
      </w:pPr>
      <w:r w:rsidRPr="00C33F5D">
        <w:rPr>
          <w:rFonts w:ascii="Calibri" w:hAnsi="Calibri"/>
          <w:b/>
          <w:color w:val="2D3748"/>
          <w:sz w:val="32"/>
          <w:szCs w:val="36"/>
        </w:rPr>
        <w:t xml:space="preserve">Programmatic Cutoff Extraction via Depth-1 Decision Trees (Decision Stumps): </w:t>
      </w:r>
      <w:r w:rsidRPr="00C33F5D">
        <w:rPr>
          <w:rFonts w:ascii="Calibri" w:hAnsi="Calibri"/>
          <w:sz w:val="32"/>
          <w:szCs w:val="36"/>
        </w:rPr>
        <w:t xml:space="preserve">A machine learning post-processing method that fits single-split decision trees to continuous SHAP values to extract exact, actionable clinical cutoff thresholds. </w:t>
      </w:r>
    </w:p>
    <w:p w14:paraId="3D321834" w14:textId="77777777" w:rsidR="00CC1BB1" w:rsidRPr="00C33F5D" w:rsidRDefault="00C33F5D">
      <w:pPr>
        <w:pStyle w:val="ListBullet2"/>
        <w:spacing w:before="20" w:after="4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>Working Procedu</w:t>
      </w:r>
      <w:r w:rsidRPr="00C33F5D">
        <w:rPr>
          <w:rFonts w:ascii="Calibri" w:hAnsi="Calibri"/>
          <w:b/>
          <w:sz w:val="32"/>
          <w:szCs w:val="36"/>
        </w:rPr>
        <w:t xml:space="preserve">re: </w:t>
      </w:r>
      <w:r w:rsidRPr="00C33F5D">
        <w:rPr>
          <w:rFonts w:ascii="Calibri" w:hAnsi="Calibri"/>
          <w:sz w:val="32"/>
          <w:szCs w:val="36"/>
        </w:rPr>
        <w:t>1. Define binary risk target z_i = I(SHAP_feature(x_i) &gt; 0). 2. Train a Decision Tree Classifier (max_depth = 1) on feature x. 3. Extract the root node split point theta*.</w:t>
      </w:r>
    </w:p>
    <w:p w14:paraId="45D76A4B" w14:textId="77777777" w:rsidR="00CC1BB1" w:rsidRPr="00C33F5D" w:rsidRDefault="00C33F5D">
      <w:pPr>
        <w:pStyle w:val="ListBullet2"/>
        <w:spacing w:before="20" w:after="60"/>
        <w:rPr>
          <w:sz w:val="36"/>
          <w:szCs w:val="36"/>
        </w:rPr>
      </w:pPr>
      <w:r w:rsidRPr="00C33F5D">
        <w:rPr>
          <w:rFonts w:ascii="Calibri" w:hAnsi="Calibri"/>
          <w:b/>
          <w:sz w:val="32"/>
          <w:szCs w:val="36"/>
        </w:rPr>
        <w:t xml:space="preserve">Role in Thesis: </w:t>
      </w:r>
      <w:r w:rsidRPr="00C33F5D">
        <w:rPr>
          <w:rFonts w:ascii="Calibri" w:hAnsi="Calibri"/>
          <w:sz w:val="32"/>
          <w:szCs w:val="36"/>
        </w:rPr>
        <w:t>Translates continuous, abstract XAI attribution curves into conc</w:t>
      </w:r>
      <w:r w:rsidRPr="00C33F5D">
        <w:rPr>
          <w:rFonts w:ascii="Calibri" w:hAnsi="Calibri"/>
          <w:sz w:val="32"/>
          <w:szCs w:val="36"/>
        </w:rPr>
        <w:t>rete clinical triage rules.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7AE9D81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4A5568"/>
              <w:bottom w:val="single" w:sz="4" w:space="0" w:color="E2E8F0"/>
              <w:right w:val="single" w:sz="4" w:space="0" w:color="E2E8F0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158C32" w14:textId="77777777" w:rsidR="00CC1BB1" w:rsidRPr="00C33F5D" w:rsidRDefault="00C33F5D">
            <w:pPr>
              <w:spacing w:before="80" w:after="80"/>
              <w:jc w:val="center"/>
              <w:rPr>
                <w:sz w:val="36"/>
                <w:szCs w:val="36"/>
              </w:rPr>
            </w:pPr>
            <w:r w:rsidRPr="00C33F5D">
              <w:rPr>
                <w:rFonts w:ascii="Cambria Math" w:hAnsi="Cambria Math"/>
                <w:b/>
                <w:color w:val="1A202C"/>
                <w:sz w:val="36"/>
                <w:szCs w:val="36"/>
              </w:rPr>
              <w:t>theta* = argmin_theta [ (N_L / N) * Impurity(D_L(theta)) + (N_R / N) * Impurity(D_R(theta)) ]</w:t>
            </w:r>
          </w:p>
          <w:p w14:paraId="79B048E8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i/>
                <w:color w:val="4A5568"/>
                <w:sz w:val="28"/>
                <w:szCs w:val="36"/>
              </w:rPr>
              <w:lastRenderedPageBreak/>
              <w:t>Where: theta* = optimal split cutoff; D_L = {x_i &lt;= theta}; D_R = {x_i &gt; theta}</w:t>
            </w:r>
          </w:p>
        </w:tc>
      </w:tr>
    </w:tbl>
    <w:p w14:paraId="781445F8" w14:textId="77777777" w:rsidR="00CC1BB1" w:rsidRPr="00C33F5D" w:rsidRDefault="00CC1BB1">
      <w:pPr>
        <w:spacing w:after="80"/>
        <w:rPr>
          <w:sz w:val="36"/>
          <w:szCs w:val="36"/>
        </w:rPr>
      </w:pPr>
    </w:p>
    <w:p w14:paraId="3CCD23EB" w14:textId="77777777" w:rsidR="00CC1BB1" w:rsidRPr="00C33F5D" w:rsidRDefault="00C33F5D">
      <w:pPr>
        <w:keepNext/>
        <w:spacing w:before="240" w:after="80"/>
        <w:rPr>
          <w:sz w:val="36"/>
          <w:szCs w:val="36"/>
        </w:rPr>
      </w:pPr>
      <w:r w:rsidRPr="00C33F5D">
        <w:rPr>
          <w:rFonts w:ascii="Calibri" w:hAnsi="Calibri"/>
          <w:b/>
          <w:color w:val="2B6CB0"/>
          <w:sz w:val="40"/>
          <w:szCs w:val="36"/>
        </w:rPr>
        <w:t xml:space="preserve">Empirically Extracted High-Risk Decision </w:t>
      </w:r>
      <w:r w:rsidRPr="00C33F5D">
        <w:rPr>
          <w:rFonts w:ascii="Calibri" w:hAnsi="Calibri"/>
          <w:b/>
          <w:color w:val="2B6CB0"/>
          <w:sz w:val="40"/>
          <w:szCs w:val="36"/>
        </w:rPr>
        <w:t>Cutoffs (SHAP &gt; 0)</w:t>
      </w:r>
    </w:p>
    <w:tbl>
      <w:tblPr>
        <w:tblW w:w="0" w:type="auto"/>
        <w:jc w:val="center"/>
        <w:tblBorders>
          <w:top w:val="single" w:sz="6" w:space="0" w:color="D3D3D3"/>
          <w:bottom w:val="single" w:sz="8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C1BB1" w:rsidRPr="00C33F5D" w14:paraId="758320E5" w14:textId="77777777">
        <w:trPr>
          <w:jc w:val="center"/>
        </w:trPr>
        <w:tc>
          <w:tcPr>
            <w:tcW w:w="3312" w:type="dxa"/>
            <w:shd w:val="clear" w:color="auto" w:fill="2B6CB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E7CCB5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Clinical Predictor</w:t>
            </w:r>
          </w:p>
        </w:tc>
        <w:tc>
          <w:tcPr>
            <w:tcW w:w="3312" w:type="dxa"/>
            <w:shd w:val="clear" w:color="auto" w:fill="2B6CB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A5098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Pediatric High-Risk Split (&lt;= 18 yrs)</w:t>
            </w:r>
          </w:p>
        </w:tc>
        <w:tc>
          <w:tcPr>
            <w:tcW w:w="3312" w:type="dxa"/>
            <w:shd w:val="clear" w:color="auto" w:fill="2B6CB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6B6EB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FFFFFF"/>
                <w:sz w:val="32"/>
                <w:szCs w:val="36"/>
              </w:rPr>
              <w:t>Adult High-Risk Split (&gt; 18 yrs)</w:t>
            </w:r>
          </w:p>
        </w:tc>
      </w:tr>
      <w:tr w:rsidR="00CC1BB1" w:rsidRPr="00C33F5D" w14:paraId="4709A2BE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1D6CB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Lymphocyte Percentage</w:t>
            </w:r>
          </w:p>
        </w:tc>
        <w:tc>
          <w:tcPr>
            <w:tcW w:w="3024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A0F45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&gt; 44.50%</w:t>
            </w:r>
          </w:p>
        </w:tc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8CEFE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&gt; 24.99%</w:t>
            </w:r>
          </w:p>
        </w:tc>
      </w:tr>
      <w:tr w:rsidR="00CC1BB1" w:rsidRPr="00C33F5D" w14:paraId="17815200" w14:textId="77777777">
        <w:trPr>
          <w:jc w:val="center"/>
        </w:trPr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51CE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>White Blood Cell (WBC) Count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2B2F7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&lt;= 4.34 x 10³ cells/mm³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8A0E6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Linear negative risk trend</w:t>
            </w:r>
          </w:p>
        </w:tc>
      </w:tr>
      <w:tr w:rsidR="00CC1BB1" w:rsidRPr="00C33F5D" w14:paraId="7CBF8E32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33978D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sz w:val="28"/>
                <w:szCs w:val="36"/>
              </w:rPr>
              <w:t xml:space="preserve">Neutrophil % / </w:t>
            </w:r>
            <w:r w:rsidRPr="00C33F5D">
              <w:rPr>
                <w:rFonts w:ascii="Calibri" w:hAnsi="Calibri"/>
                <w:b/>
                <w:sz w:val="28"/>
                <w:szCs w:val="36"/>
              </w:rPr>
              <w:t>Hematocrit</w:t>
            </w:r>
          </w:p>
        </w:tc>
        <w:tc>
          <w:tcPr>
            <w:tcW w:w="3024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9E45A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Neutrophil % &lt;= 48.00%</w:t>
            </w:r>
          </w:p>
        </w:tc>
        <w:tc>
          <w:tcPr>
            <w:tcW w:w="3168" w:type="dxa"/>
            <w:shd w:val="clear" w:color="auto" w:fill="F8F9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A44D6" w14:textId="77777777" w:rsidR="00CC1BB1" w:rsidRPr="00C33F5D" w:rsidRDefault="00C33F5D">
            <w:pPr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28"/>
                <w:szCs w:val="36"/>
              </w:rPr>
              <w:t>Hematocrit (HCT) &gt; 40.65% (Age &gt; 31.00 yrs)</w:t>
            </w:r>
          </w:p>
        </w:tc>
      </w:tr>
    </w:tbl>
    <w:p w14:paraId="5BBF06CE" w14:textId="77777777" w:rsidR="00CC1BB1" w:rsidRPr="00C33F5D" w:rsidRDefault="00CC1BB1">
      <w:pPr>
        <w:rPr>
          <w:sz w:val="36"/>
          <w:szCs w:val="3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BB1" w:rsidRPr="00C33F5D" w14:paraId="330F4434" w14:textId="77777777">
        <w:trPr>
          <w:jc w:val="center"/>
        </w:trPr>
        <w:tc>
          <w:tcPr>
            <w:tcW w:w="9360" w:type="dxa"/>
            <w:tcBorders>
              <w:left w:val="single" w:sz="24" w:space="0" w:color="DD6B20"/>
            </w:tcBorders>
            <w:shd w:val="clear" w:color="auto" w:fill="FF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74E361" w14:textId="77777777" w:rsidR="00CC1BB1" w:rsidRPr="00C33F5D" w:rsidRDefault="00C33F5D">
            <w:pPr>
              <w:spacing w:before="40" w:after="8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b/>
                <w:color w:val="2B6CB0"/>
                <w:sz w:val="32"/>
                <w:szCs w:val="36"/>
              </w:rPr>
              <w:t>📌</w:t>
            </w:r>
            <w:r w:rsidRPr="00C33F5D">
              <w:rPr>
                <w:rFonts w:ascii="Calibri" w:hAnsi="Calibri"/>
                <w:b/>
                <w:color w:val="2B6CB0"/>
                <w:sz w:val="32"/>
                <w:szCs w:val="36"/>
              </w:rPr>
              <w:t xml:space="preserve"> CORE THESIS DEFENSE QUESTIONS &amp; ANSWERS: </w:t>
            </w:r>
            <w:r w:rsidRPr="00C33F5D">
              <w:rPr>
                <w:rFonts w:ascii="Calibri" w:hAnsi="Calibri"/>
                <w:sz w:val="32"/>
                <w:szCs w:val="36"/>
              </w:rPr>
              <w:t>Q1: Why exclude PLT from training? -&gt; To prevent target leakage since severe status was derived from PLT &lt; 50,000/µL.</w:t>
            </w:r>
          </w:p>
          <w:p w14:paraId="0143D237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32"/>
                <w:szCs w:val="36"/>
              </w:rPr>
              <w:t xml:space="preserve">Q2: Why </w:t>
            </w:r>
            <w:r w:rsidRPr="00C33F5D">
              <w:rPr>
                <w:rFonts w:ascii="Calibri" w:hAnsi="Calibri"/>
                <w:sz w:val="32"/>
                <w:szCs w:val="36"/>
              </w:rPr>
              <w:t>Kendall's tau-b = 0.900? -&gt; Shows top features are identical in rank, but quantitative decision boundaries differ markedly between cohorts.</w:t>
            </w:r>
          </w:p>
          <w:p w14:paraId="21E43085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32"/>
                <w:szCs w:val="36"/>
              </w:rPr>
              <w:t>Q3: Why did Stacking win on Pediatrics (90.6%) and RF on Adults (84.7%)? -&gt; Stacking meta-learning controlled high v</w:t>
            </w:r>
            <w:r w:rsidRPr="00C33F5D">
              <w:rPr>
                <w:rFonts w:ascii="Calibri" w:hAnsi="Calibri"/>
                <w:sz w:val="32"/>
                <w:szCs w:val="36"/>
              </w:rPr>
              <w:t>ariance in the smaller pediatric cohort (n=158), while RF effectively handled non-linear boundaries in the larger adult cohort (n=814).</w:t>
            </w:r>
          </w:p>
          <w:p w14:paraId="4A261C0F" w14:textId="77777777" w:rsidR="00CC1BB1" w:rsidRPr="00C33F5D" w:rsidRDefault="00C33F5D">
            <w:pPr>
              <w:spacing w:before="40" w:after="40"/>
              <w:rPr>
                <w:sz w:val="36"/>
                <w:szCs w:val="36"/>
              </w:rPr>
            </w:pPr>
            <w:r w:rsidRPr="00C33F5D">
              <w:rPr>
                <w:rFonts w:ascii="Calibri" w:hAnsi="Calibri"/>
                <w:sz w:val="32"/>
                <w:szCs w:val="36"/>
              </w:rPr>
              <w:t xml:space="preserve">Q4: Why depth-1 decision trees on SHAP? -&gt; Bridges the gap between black-box AI and clinical medicine by transforming </w:t>
            </w:r>
            <w:r w:rsidRPr="00C33F5D">
              <w:rPr>
                <w:rFonts w:ascii="Calibri" w:hAnsi="Calibri"/>
                <w:sz w:val="32"/>
                <w:szCs w:val="36"/>
              </w:rPr>
              <w:lastRenderedPageBreak/>
              <w:t>co</w:t>
            </w:r>
            <w:r w:rsidRPr="00C33F5D">
              <w:rPr>
                <w:rFonts w:ascii="Calibri" w:hAnsi="Calibri"/>
                <w:sz w:val="32"/>
                <w:szCs w:val="36"/>
              </w:rPr>
              <w:t>ntinuous attribution curves into testable numerical threshold rules.</w:t>
            </w:r>
          </w:p>
        </w:tc>
      </w:tr>
    </w:tbl>
    <w:p w14:paraId="6BB84B77" w14:textId="77777777" w:rsidR="00CC1BB1" w:rsidRPr="00C33F5D" w:rsidRDefault="00CC1BB1">
      <w:pPr>
        <w:rPr>
          <w:sz w:val="36"/>
          <w:szCs w:val="36"/>
        </w:rPr>
      </w:pPr>
    </w:p>
    <w:sectPr w:rsidR="00CC1BB1" w:rsidRPr="00C33F5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3F5D"/>
    <w:rsid w:val="00CB0664"/>
    <w:rsid w:val="00CC1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A1021"/>
  <w14:defaultImageDpi w14:val="300"/>
  <w15:docId w15:val="{E479680E-EBDF-436D-A214-92D71A5BB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2154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Mazharul alam</cp:lastModifiedBy>
  <cp:revision>2</cp:revision>
  <dcterms:created xsi:type="dcterms:W3CDTF">2013-12-23T23:15:00Z</dcterms:created>
  <dcterms:modified xsi:type="dcterms:W3CDTF">2026-08-15T18:44:00Z</dcterms:modified>
  <cp:category/>
</cp:coreProperties>
</file>