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sz w:val="80"/>
          <w:szCs w:val="80"/>
        </w:rPr>
        <w:t xml:space="preserve">🛡</w:t>
      </w:r>
    </w:p>
    <w:p>
      <w:pPr>
        <w:spacing w:after="80" w:before="0"/>
        <w:jc w:val="center"/>
      </w:pPr>
      <w:r>
        <w:rPr>
          <w:b/>
          <w:bCs/>
          <w:color w:val="1A3A5C"/>
          <w:sz w:val="52"/>
          <w:szCs w:val="52"/>
        </w:rPr>
        <w:t xml:space="preserve">FRAUD WATCH DASHBOARD</w:t>
      </w:r>
    </w:p>
    <w:p>
      <w:pPr>
        <w:spacing w:after="60" w:before="0"/>
        <w:jc w:val="center"/>
      </w:pPr>
      <w:r>
        <w:rPr>
          <w:color w:val="4F8EF7"/>
          <w:sz w:val="28"/>
          <w:szCs w:val="28"/>
        </w:rPr>
        <w:t xml:space="preserve">Business Brief &amp; Technical Specification</w:t>
      </w:r>
    </w:p>
    <w:p>
      <w:pPr>
        <w:spacing w:after="60" w:before="0"/>
        <w:jc w:val="center"/>
      </w:pPr>
      <w:r>
        <w:rPr>
          <w:color w:val="7A82A0"/>
          <w:sz w:val="22"/>
          <w:szCs w:val="22"/>
        </w:rPr>
        <w:t xml:space="preserve">Risk Intelligence · Fintech Platform · June 28, 2026</w:t>
      </w:r>
    </w:p>
    <w:p>
      <w:pPr>
        <w:spacing w:after="600" w:before="60"/>
        <w:jc w:val="center"/>
      </w:pPr>
      <w:r>
        <w:rPr>
          <w:b/>
          <w:bCs/>
          <w:color w:val="EF4444"/>
          <w:sz w:val="18"/>
          <w:szCs w:val="18"/>
        </w:rPr>
        <w:t xml:space="preserve">CONFIDENTIAL — INTERNAL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150,400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7,667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$4.05M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5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Transactions Analyzed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Suspected Frauds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Estimated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Active Alerts</w:t>
            </w:r>
          </w:p>
        </w:tc>
      </w:tr>
    </w:tbl>
    <w:p>
      <w:pPr>
        <w:pageBreakBefore/>
        <w:spacing w:after="0" w:before="4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80" w:before="280"/>
      </w:pPr>
      <w:r>
        <w:rPr>
          <w:b/>
          <w:bCs/>
          <w:color w:val="1A3A5C"/>
        </w:rPr>
        <w:t xml:space="preserve">1. The Problem: Fragmented Fraud Visibility</w:t>
      </w:r>
    </w:p>
    <w:p>
      <w:pPr>
        <w:spacing w:after="160"/>
      </w:pPr>
      <w:r>
        <w:rPr>
          <w:sz w:val="22"/>
          <w:szCs w:val="22"/>
        </w:rPr>
        <w:t xml:space="preserve">Modern fintech platforms process hundreds of thousands of transactions daily across multiple channels — mobile apps, web portals, point-of-sale terminals, call centers, and API integrations. Each of these channels carries its own fraud risk profile, and the patterns that signal emerging fraud evolve rapidly. A card-testing bot that exploits the mobile channel today may pivot to the call center tomorrow; a new-account fraud wave can sweep through an entire geography within hours.</w:t>
      </w:r>
    </w:p>
    <w:p>
      <w:pPr>
        <w:spacing w:after="160"/>
      </w:pPr>
      <w:r>
        <w:rPr>
          <w:sz w:val="22"/>
          <w:szCs w:val="22"/>
        </w:rPr>
        <w:t xml:space="preserve">The core operational challenge is not detection alone — it is speed and context. Risk teams that rely on fragmented dashboards, overnight batch reports, or siloed channel data spend the first hours of their shift stitching together a picture of what happened yesterday. By the time an analyst identifies a fraud spike in Romania's mobile channel, the damage has already been done and the perpetrators have moved on.</w:t>
      </w:r>
    </w:p>
    <w:p>
      <w:pPr>
        <w:spacing w:after="160"/>
      </w:pPr>
      <w:r>
        <w:rPr>
          <w:sz w:val="22"/>
          <w:szCs w:val="22"/>
        </w:rPr>
        <w:t xml:space="preserve">Channel, geography, and customer segment drill-downs are not cosmetic features — they are investigative necessities. Fraud in the mobile channel and fraud at the call center require completely different remediation responses: the former might warrant IP-block rules and device-fingerprint analysis; the latter calls for enhanced agent verification scripts and account-freeze workflows. Similarly, high fraud rates among newly-onboarded customers versus dormant reactivated accounts suggest very different attack vectors that demand distinct countermeasures.</w:t>
      </w:r>
    </w:p>
    <w:p>
      <w:pPr>
        <w:spacing w:after="160"/>
      </w:pPr>
      <w:r>
        <w:rPr>
          <w:sz w:val="22"/>
          <w:szCs w:val="22"/>
        </w:rPr>
        <w:t xml:space="preserve">The Fraud Watch Dashboard addresses this by consolidating 30 days of transaction data — 150,400 transactions across 5 channels, 10 countries, and 5 customer segments — into a single, real-time monitoring surface. It gives risk teams the context they need to move from detection to decision in minutes, not hours.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80" w:before="280"/>
      </w:pPr>
      <w:r>
        <w:rPr>
          <w:b/>
          <w:bCs/>
          <w:color w:val="1A3A5C"/>
        </w:rPr>
        <w:t xml:space="preserve">2. Data Model &amp; Injected Fraud Scenarios</w:t>
      </w:r>
    </w:p>
    <w:p>
      <w:pPr>
        <w:pStyle w:val="Heading2"/>
      </w:pPr>
      <w:r>
        <w:rPr>
          <w:b/>
          <w:bCs/>
          <w:color w:val="1A3A5C"/>
        </w:rPr>
        <w:t xml:space="preserve">2.1 Transaction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Unique identifier for audit trails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Links to account history and velocity checks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Enables time-window aggregation and spike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Key signal — micro-txns indicate card-testing; large amounts indicate ATO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Different fraud rates per channel; drives remediation strategy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country / region / 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Geographic clustering identifies organized fraud 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merchant_category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Crypto/luxury/travel = high-risk; grocery/fuel = 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Unknown/desktop mismatches flag suspicious access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risk_score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float 0–100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Pre-computed signal for triage prioritization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is_fraud_flag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Ground-truth label for metrics and backtesting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customer_segment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New/dormant accounts carry 2–2.5× higher fraud risk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</w:pPr>
      <w:r>
        <w:rPr>
          <w:b/>
          <w:bCs/>
          <w:color w:val="1A3A5C"/>
        </w:rPr>
        <w:t xml:space="preserve">2.2 Injected Fraud Scenarios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 1 — Mobile Card-Testing (Romania, Jun 8–10): </w:t>
      </w:r>
      <w:r>
        <w:rPr>
          <w:sz w:val="22"/>
          <w:szCs w:val="22"/>
        </w:rPr>
        <w:t xml:space="preserve">Approx. 2,800 micro-transactions of $1–$15 injected via the mobile channel across Romanian regions. Simulates a bot network probing stolen card numbers. Signature: high transaction velocity, very small amounts, concentrated in electronics/clothing, shared IP block clusters.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 2 — High-Value Web Fraud (UK/Germany, Jun 16–20): </w:t>
      </w:r>
      <w:r>
        <w:rPr>
          <w:sz w:val="22"/>
          <w:szCs w:val="22"/>
        </w:rPr>
        <w:t xml:space="preserve">Approx. 1,400 transactions averaging $1,800+ injected via the web channel in UK and Germany. Simulates compromised premium account credentials used for luxury and electronics purchases. Signature: large amounts, desktop device type, luxury/travel merchant categories.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Scenario 3 — New-Customer Call-Center Wave (Nigeria/Brazil/India, Jun 22–26): </w:t>
      </w:r>
      <w:r>
        <w:rPr>
          <w:sz w:val="22"/>
          <w:szCs w:val="22"/>
        </w:rPr>
        <w:t xml:space="preserve">Approx. 1,200 transactions via the call-center channel targeting newly-onboarded customers in high-risk geographies. Simulates mule-account laundering via crypto exchanges and travel bookings. Signature: new-segment customers, call_center channel, crypto_exchange merchant category.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80" w:before="280"/>
      </w:pPr>
      <w:r>
        <w:rPr>
          <w:b/>
          <w:bCs/>
          <w:color w:val="1A3A5C"/>
        </w:rPr>
        <w:t xml:space="preserve">3. Metrics, KPIs, and Anomaly Detection</w:t>
      </w:r>
    </w:p>
    <w:p>
      <w:pPr>
        <w:pStyle w:val="Heading2"/>
      </w:pPr>
      <w:r>
        <w:rPr>
          <w:b/>
          <w:bCs/>
          <w:color w:val="1A3A5C"/>
        </w:rPr>
        <w:t xml:space="preserve">3.1 Core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Transaction Volume &amp; Amount — baseline health metric; sudden drops may signal outages or blocking rules that are catching legitimate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Fraud Count &amp; Fraud Rate (%) — primary risk signal; dashboard tracks both absolute count (for operational load) and rate (for risk severity).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Estimated Loss ($) — fraud transaction amounts aggregated; helps prioritize channels with highest financial exposure, not just highest fraud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Velocity Metrics — transactions-per-hour by channel and region; rolling 7-day baseline enables hour-over-hour comparison to surface short-lived spikes.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Average Transaction Amount — detects card-testing (sudden drop) and account-takeover fraud (sudden rise) without relying solely on the fraud flag.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b/>
          <w:bCs/>
          <w:color w:val="1A3A5C"/>
        </w:rPr>
        <w:t xml:space="preserve">3.2 Anomaly Alert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680"/>
        <w:gridCol w:w="24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Plain-Language 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Fraud Rate Spike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Rate &gt; 3.5× 7-day channel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Channel is experiencing an acute fraud wave — immediate action.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Moderate Rate Increase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Rate &gt; 2× 7-day channel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Elevated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Emerging pattern — monitor and review recent transactions.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Volume Surge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Hourly txns &gt; 4× same-hour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Possible bot attack flooding one channel or geography.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Geographic Concentration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Region fraud rate &gt; 3.5× global avg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Organized ring operating in a specific city or region.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Segment Anomaly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Segment rate &gt; 3.5× segment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Attack targeting a specific customer cohort — segment-level controls needed.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80" w:before="280"/>
      </w:pPr>
      <w:r>
        <w:rPr>
          <w:b/>
          <w:bCs/>
          <w:color w:val="1A3A5C"/>
        </w:rPr>
        <w:t xml:space="preserve">4. Dashboard Design &amp; UX</w:t>
      </w:r>
    </w:p>
    <w:p>
      <w:pPr>
        <w:pStyle w:val="Heading2"/>
      </w:pPr>
      <w:r>
        <w:rPr>
          <w:b/>
          <w:bCs/>
          <w:color w:val="1A3A5C"/>
        </w:rPr>
        <w:t xml:space="preserve">4.1 Color Convention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Normal — green (#22c55e): All metrics within expected baseline ranges.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Elevated — amber (#f59e0b): 2–3.5× deviation; warrants analyst review within the 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Critical — red (#ef4444): &gt;3.5× deviation or volume surge; immediate investigation required.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b/>
          <w:bCs/>
          <w:color w:val="1A3A5C"/>
        </w:rPr>
        <w:t xml:space="preserve">4.2 Page Layout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Overview: </w:t>
      </w:r>
      <w:r>
        <w:rPr>
          <w:sz w:val="22"/>
          <w:szCs w:val="22"/>
        </w:rPr>
        <w:t xml:space="preserve">Five KPI tiles (Volume, Fraud Count, Fraud Rate, Est. Loss, Active Alerts), daily time-series chart with fraud overlay, channel bar chart, segment bar chart, and top-alert summary table. Entry point for daily triage.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Channel Drill-Down: </w:t>
      </w:r>
      <w:r>
        <w:rPr>
          <w:sz w:val="22"/>
          <w:szCs w:val="22"/>
        </w:rPr>
        <w:t xml:space="preserve">Fraud rate and volume bar charts per channel, daily stacked line chart, and a sortable channel summary table with alert badges. Helps risk managers understand which channels need tighter controls.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Geography Drill-Down: </w:t>
      </w:r>
      <w:r>
        <w:rPr>
          <w:sz w:val="22"/>
          <w:szCs w:val="22"/>
        </w:rPr>
        <w:t xml:space="preserve">Country-level fraud count and rate bar charts, plus a top-20 region hotspot table with one-click Case View. Enables geographic targeting of step-up authentication or temporary blocks.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Segment Drill-Down: </w:t>
      </w:r>
      <w:r>
        <w:rPr>
          <w:sz w:val="22"/>
          <w:szCs w:val="22"/>
        </w:rPr>
        <w:t xml:space="preserve">Fraud rate and volume by customer segment, daily cohort trend chart, merchant category heatmap. Supports segment-specific policy tuning (e.g., mandatory 2FA for new accounts).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Alert List &amp; Case View: </w:t>
      </w:r>
      <w:r>
        <w:rPr>
          <w:sz w:val="22"/>
          <w:szCs w:val="22"/>
        </w:rPr>
        <w:t xml:space="preserve">Filterable alert cards (All / Critical / Geography / Channel / Segment), each showing fraud count, rate, reason, and next steps. Clicking opens a Case View modal with the top 30 high-risk transactions in that bucket — the complete analyst workflow from alert to investigation.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80" w:before="280"/>
      </w:pPr>
      <w:r>
        <w:rPr>
          <w:b/>
          <w:bCs/>
          <w:color w:val="1A3A5C"/>
        </w:rPr>
        <w:t xml:space="preserve">5. Alert &amp; Investigation Workflow</w:t>
      </w:r>
    </w:p>
    <w:p>
      <w:pPr>
        <w:spacing w:after="160"/>
      </w:pPr>
      <w:r>
        <w:rPr>
          <w:sz w:val="22"/>
          <w:szCs w:val="22"/>
        </w:rPr>
        <w:t xml:space="preserve">The dashboard supports a three-step investigation flow designed to minimize time-to-action: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Overview → Alert triage: The Overview page surfaces the Alert Summary table showing top alert buckets ranked by severity. An analyst arriving for their shift sees immediately which channel/region/segment combinations are flagged Critical versus Normal.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Alert → Case View: Clicking 'View Cases' on any alert opens a modal with alert metadata (fraud count, rate, reason, next steps) and a table of the top 30 highest-risk transactions in that bucket — sorted by risk score. The analyst sees transaction IDs, customer IDs, amounts, channels, geographies, merchant categories, and segments at a glance.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Case View → Action: Each case view card includes machine-generated 'Next Steps' copy (e.g., 'Consider temporary velocity caps on new accounts', 'Flag region for enhanced authentication'). This bridges the gap between analytics and operations — the analyst leaves the dashboard with a clear action item, not just a number.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80" w:before="280"/>
      </w:pPr>
      <w:r>
        <w:rPr>
          <w:b/>
          <w:bCs/>
          <w:color w:val="1A3A5C"/>
        </w:rPr>
        <w:t xml:space="preserve">6. Business Value &amp; Future Extensions</w:t>
      </w:r>
    </w:p>
    <w:p>
      <w:pPr>
        <w:pStyle w:val="Heading2"/>
      </w:pPr>
      <w:r>
        <w:rPr>
          <w:b/>
          <w:bCs/>
          <w:color w:val="1A3A5C"/>
        </w:rPr>
        <w:t xml:space="preserve">6.1 How This Dashboard Helps Risk Teams</w:t>
      </w:r>
    </w:p>
    <w:p>
      <w:pPr>
        <w:spacing w:after="160"/>
      </w:pPr>
      <w:r>
        <w:rPr>
          <w:sz w:val="22"/>
          <w:szCs w:val="22"/>
        </w:rPr>
        <w:t xml:space="preserve">Risk teams spend less time assembling a picture and more time acting on it. When Scenario 1 (Romanian card-testing) fires, the Geography drill-down identifies Bucharest, Cluj, and Iasi as the specific hotspots — not just 'Romania.' The case view surfaces the micro-transaction pattern and device fingerprints. The analyst blocks the IP range and applies velocity caps on Romanian mobile accounts within one shift, not after an overnight batch report.</w:t>
      </w:r>
    </w:p>
    <w:p>
      <w:pPr>
        <w:spacing w:after="160"/>
      </w:pPr>
      <w:r>
        <w:rPr>
          <w:sz w:val="22"/>
          <w:szCs w:val="22"/>
        </w:rPr>
        <w:t xml:space="preserve">The segment drill-down shows that dormant customers carry a 2.5× higher fraud multiplier than regulars. This insight justifies a product decision: enforce a re-authentication step whenever a dormant account makes a transaction above $200, preventing Scenario 3-style mule-account fraud before it scales.</w:t>
      </w:r>
    </w:p>
    <w:p>
      <w:pPr>
        <w:spacing w:after="160"/>
      </w:pPr>
      <w:r>
        <w:rPr>
          <w:sz w:val="22"/>
          <w:szCs w:val="22"/>
        </w:rPr>
        <w:t xml:space="preserve">Estimated loss figures in the KPI bar give the CFO and Head of Risk a financial number to anchor on — not just 'fraud rate went up 3×,' but 'we estimate $4.05M in fraud losses this month, concentrated in high-value web transactions in the UK and Germany.'</w:t>
      </w:r>
    </w:p>
    <w:p>
      <w:pPr>
        <w:pStyle w:val="Heading2"/>
      </w:pPr>
      <w:r>
        <w:rPr>
          <w:b/>
          <w:bCs/>
          <w:color w:val="1A3A5C"/>
        </w:rPr>
        <w:t xml:space="preserve">6.2 Future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streaming: Swap the batch JSON payload for a WebSocket feed from a Kafka or Flink pipeline, enabling sub-minute alert refreshes. The dashboard's Chart.js architecture supports incremental data appending with minimal refactoring.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ML model integration: Replace the heuristic alert_level rules with scores from a gradient-boosting or neural model. Risk scores already flow through the data model; the dashboard can surface model-confidence bands alongside rule-based 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LLM-powered case summaries: Connect a Haiku-class model to the Case View modal — automatically generate a one-paragraph narrative for each alert that reads 'This alert likely represents organized card-testing activity from 3 Romanian cities between Jun 8–10, with $42K estimated exposure across 601 transactions.' Analysts can paste this into an incident ticket with zero additional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Graph analytics layer: Link customer_id and device_type fields to a graph database to surface connected fraud rings — customers sharing the same device fingerprint across multiple accounts, enabling link-analysis visualization directly within the Case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Regulatory reporting: Extend the analytics tables to auto-generate SAR (Suspicious Activity Report) pre-fills using transaction patterns and alert metadata, reducing manual compliance effort.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6" w:space="1"/>
        </w:pBdr>
        <w:spacing w:after="180" w:before="280"/>
      </w:pPr>
      <w:r>
        <w:rPr>
          <w:b/>
          <w:bCs/>
          <w:color w:val="1A3A5C"/>
        </w:rPr>
        <w:t xml:space="preserve">Executive Summary</w:t>
      </w:r>
    </w:p>
    <w:p>
      <w:pPr>
        <w:spacing w:after="160"/>
      </w:pPr>
      <w:r>
        <w:rPr>
          <w:sz w:val="22"/>
          <w:szCs w:val="22"/>
        </w:rPr>
        <w:t xml:space="preserve">The Fraud Watch Dashboard replaces fragmented, delayed reporting with a single, analyst-ready command center. Built on 150,400 synthetic transactions with three realistic injected fraud scenarios, it demonstrates that the right combination of time-series anomaly detection, channel/geography/segment drill-downs, and a direct alert-to-case-view workflow can compress the time from fraud signal to remediation action from hours to minutes.</w:t>
      </w:r>
    </w:p>
    <w:p>
      <w:pPr>
        <w:spacing w:after="160"/>
      </w:pPr>
      <w:r>
        <w:rPr>
          <w:sz w:val="22"/>
          <w:szCs w:val="22"/>
        </w:rPr>
        <w:t xml:space="preserve">The architecture — Python for data generation and analytics, JSON for data portability, Chart.js for interactive visualization — is designed to be extended to real streaming pipelines, production ML models, and LLM-powered case summarization with minimal structural change. The business value is immediate: faster detection, clearer prioritization, and a documented trail from anomaly to action.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color w:val="7A82A0"/>
        <w:sz w:val="18"/>
        <w:szCs w:val="18"/>
      </w:rPr>
      <w:t xml:space="preserve">Page </w:t>
    </w:r>
    <w:r>
      <w:rPr>
        <w:color w:val="7A82A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A82A0"/>
        <w:sz w:val="18"/>
        <w:szCs w:val="18"/>
      </w:rPr>
      <w:t xml:space="preserve">  ·  FraudWatch v1.0  ·  Jun 28,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  <w:spacing w:after="100"/>
      <w:jc w:val="right"/>
    </w:pPr>
    <w:r>
      <w:rPr>
        <w:b/>
        <w:bCs/>
        <w:color w:val="7A82A0"/>
        <w:sz w:val="16"/>
        <w:szCs w:val="16"/>
      </w:rPr>
      <w:t xml:space="preserve">FRAUD WATCH DASHBOARD — BUSINESS BRIEF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2026-06-28T19:53:27.183Z</dcterms:created>
  <dcterms:modified xsi:type="dcterms:W3CDTF">2026-06-28T19:53:27.184Z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