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6.jpg" ContentType="image/jpeg"/>
  <Override PartName="/word/media/rId37.jpg" ContentType="image/jpeg"/>
  <Override PartName="/word/media/rId26.png" ContentType="image/png"/>
  <Override PartName="/word/media/rId51.jpg" ContentType="image/jpeg"/>
  <Override PartName="/word/media/rId41.png" ContentType="image/png"/>
  <Override PartName="/word/media/rId3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Twenty years of dynamic occupancy models: a review of applications and look towards the future</w:t>
      </w:r>
    </w:p>
    <w:p>
      <w:pPr>
        <w:pStyle w:val="Date"/>
      </w:pPr>
      <w:r>
        <w:t xml:space="preserve">2025-01-23</w:t>
      </w:r>
    </w:p>
    <w:p>
      <w:pPr>
        <w:pStyle w:val="AbstractTitle"/>
      </w:pPr>
      <w:r>
        <w:t xml:space="preserve">Abstract</w:t>
      </w:r>
    </w:p>
    <w:p>
      <w:pPr>
        <w:pStyle w:val="Abstract"/>
      </w:pPr>
      <w:r>
        <w:t xml:space="preserve">Occupancy models.</w:t>
      </w:r>
    </w:p>
    <w:bookmarkStart w:id="35" w:name="introduction"/>
    <w:p>
      <w:pPr>
        <w:pStyle w:val="Heading1"/>
      </w:pPr>
      <w:r>
        <w:t xml:space="preserve">Introduction</w:t>
      </w:r>
    </w:p>
    <w:p>
      <w:pPr>
        <w:pStyle w:val="FirstParagraph"/>
      </w:pPr>
      <w:r>
        <w:t xml:space="preserve">Background Information section. We show this in</w:t>
      </w:r>
      <w:r>
        <w:t xml:space="preserve"> </w:t>
      </w:r>
      <w:hyperlink w:anchor="nte-Primer">
        <w:r>
          <w:rPr>
            <w:rStyle w:val="Hyperlink"/>
          </w:rPr>
          <w:t xml:space="preserve">Note 1</w:t>
        </w:r>
      </w:hyperlink>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 Primer on DOMs</w:t>
            </w:r>
          </w:p>
        </w:tc>
      </w:tr>
      <w:tr>
        <w:trPr>
          <w:cantSplit/>
        </w:trPr>
        <w:tc>
          <w:tcPr>
            <w:tcMar>
              <w:top w:w="108" w:type="dxa"/>
              <w:bottom w:w="108" w:type="dxa"/>
            </w:tcMar>
          </w:tcPr>
          <w:p>
            <w:pPr>
              <w:pStyle w:val="BodyText"/>
            </w:pPr>
            <w:pPr>
              <w:spacing w:before="16"/>
            </w:pPr>
            <w:r>
              <w:t xml:space="preserve">Test text. can this go here?</w:t>
            </w:r>
          </w:p>
          <w:p>
            <w:pPr>
              <w:pStyle w:val="BodyText"/>
            </w:pPr>
            <w:pPr>
              <w:spacing w:after="16"/>
            </w:pPr>
            <w:r>
              <w:drawing>
                <wp:inline>
                  <wp:extent cx="3835400" cy="3683000"/>
                  <wp:effectExtent b="0" l="0" r="0" t="0"/>
                  <wp:docPr descr="" title="" id="24" name="Picture"/>
                  <a:graphic>
                    <a:graphicData uri="http://schemas.openxmlformats.org/drawingml/2006/picture">
                      <pic:pic>
                        <pic:nvPicPr>
                          <pic:cNvPr descr="images/clipboard-2435895290.png" id="25" name="Picture"/>
                          <pic:cNvPicPr>
                            <a:picLocks noChangeArrowheads="1" noChangeAspect="1"/>
                          </pic:cNvPicPr>
                        </pic:nvPicPr>
                        <pic:blipFill>
                          <a:blip r:embed="rId23"/>
                          <a:stretch>
                            <a:fillRect/>
                          </a:stretch>
                        </pic:blipFill>
                        <pic:spPr bwMode="auto">
                          <a:xfrm>
                            <a:off x="0" y="0"/>
                            <a:ext cx="3835400" cy="3683000"/>
                          </a:xfrm>
                          <a:prstGeom prst="rect">
                            <a:avLst/>
                          </a:prstGeom>
                          <a:noFill/>
                          <a:ln w="9525">
                            <a:noFill/>
                            <a:headEnd/>
                            <a:tailEnd/>
                          </a:ln>
                        </pic:spPr>
                      </pic:pic>
                    </a:graphicData>
                  </a:graphic>
                </wp:inline>
              </w:drawing>
            </w:r>
          </w:p>
        </w:tc>
      </w:tr>
    </w:tbl>
    <w:bookmarkStart w:id="34" w:name="model-form-and-assumptions"/>
    <w:p>
      <w:pPr>
        <w:pStyle w:val="Heading4"/>
      </w:pPr>
      <w:r>
        <w:t xml:space="preserve">Model form and assumptions</w:t>
      </w:r>
    </w:p>
    <w:p>
      <w:pPr>
        <w:pStyle w:val="FirstParagraph"/>
      </w:pPr>
      <w:r>
        <w:t xml:space="preserve">Model form.</w:t>
      </w:r>
    </w:p>
    <w:tbl>
      <w:tblPr>
        <w:tblStyle w:val="Table"/>
        <w:tblW w:type="pct" w:w="5000"/>
        <w:tblLayout w:type="fixed"/>
        <w:tblLook w:firstRow="0" w:lastRow="0" w:firstColumn="0" w:lastColumn="0" w:noHBand="0" w:noVBand="0" w:val="0000"/>
      </w:tblPr>
      <w:tblGrid>
        <w:gridCol w:w="7920"/>
      </w:tblGrid>
      <w:tr>
        <w:tc>
          <w:tcPr/>
          <w:bookmarkStart w:id="29" w:name="fig-modelform"/>
          <w:p>
            <w:pPr>
              <w:pStyle w:val="Compact"/>
              <w:jc w:val="center"/>
            </w:pPr>
            <w:r>
              <w:drawing>
                <wp:inline>
                  <wp:extent cx="5334000" cy="2178847"/>
                  <wp:effectExtent b="0" l="0" r="0" t="0"/>
                  <wp:docPr descr="" title="" id="27" name="Picture"/>
                  <a:graphic>
                    <a:graphicData uri="http://schemas.openxmlformats.org/drawingml/2006/picture">
                      <pic:pic>
                        <pic:nvPicPr>
                          <pic:cNvPr descr="Figures/ModelForm.png" id="28" name="Picture"/>
                          <pic:cNvPicPr>
                            <a:picLocks noChangeArrowheads="1" noChangeAspect="1"/>
                          </pic:cNvPicPr>
                        </pic:nvPicPr>
                        <pic:blipFill>
                          <a:blip r:embed="rId26"/>
                          <a:stretch>
                            <a:fillRect/>
                          </a:stretch>
                        </pic:blipFill>
                        <pic:spPr bwMode="auto">
                          <a:xfrm>
                            <a:off x="0" y="0"/>
                            <a:ext cx="5334000" cy="21788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form of the dynamic occupancy model as described by</w:t>
            </w:r>
            <w:r>
              <w:t xml:space="preserve"> </w:t>
            </w:r>
            <w:r>
              <w:t xml:space="preserve">MacKenzie et al. (2003)</w:t>
            </w:r>
            <w:r>
              <w:t xml:space="preserve">. The ecological process sub-model describes changes in occupancy over time, while the observational process sub-model describes detectability.</w:t>
            </w:r>
          </w:p>
          <w:bookmarkEnd w:id="29"/>
        </w:tc>
      </w:tr>
    </w:tbl>
    <w:p>
      <w:pPr>
        <w:pStyle w:val="BodyText"/>
      </w:pPr>
      <w:r>
        <w:t xml:space="preserve">Survey design.</w:t>
      </w:r>
    </w:p>
    <w:tbl>
      <w:tblPr>
        <w:tblStyle w:val="Table"/>
        <w:tblW w:type="pct" w:w="5000"/>
        <w:tblLayout w:type="fixed"/>
        <w:tblLook w:firstRow="0" w:lastRow="0" w:firstColumn="0" w:lastColumn="0" w:noHBand="0" w:noVBand="0" w:val="0000"/>
      </w:tblPr>
      <w:tblGrid>
        <w:gridCol w:w="7920"/>
      </w:tblGrid>
      <w:tr>
        <w:tc>
          <w:tcPr/>
          <w:bookmarkStart w:id="33" w:name="fig-surveys"/>
          <w:p>
            <w:pPr>
              <w:pStyle w:val="Compact"/>
              <w:jc w:val="center"/>
            </w:pPr>
            <w:r>
              <w:drawing>
                <wp:inline>
                  <wp:extent cx="5018496" cy="3890022"/>
                  <wp:effectExtent b="0" l="0" r="0" t="0"/>
                  <wp:docPr descr="" title="" id="31" name="Picture"/>
                  <a:graphic>
                    <a:graphicData uri="http://schemas.openxmlformats.org/drawingml/2006/picture">
                      <pic:pic>
                        <pic:nvPicPr>
                          <pic:cNvPr descr="Figures/SurveyDesign.png" id="32" name="Picture"/>
                          <pic:cNvPicPr>
                            <a:picLocks noChangeArrowheads="1" noChangeAspect="1"/>
                          </pic:cNvPicPr>
                        </pic:nvPicPr>
                        <pic:blipFill>
                          <a:blip r:embed="rId30"/>
                          <a:stretch>
                            <a:fillRect/>
                          </a:stretch>
                        </pic:blipFill>
                        <pic:spPr bwMode="auto">
                          <a:xfrm>
                            <a:off x="0" y="0"/>
                            <a:ext cx="5018496" cy="38900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sampling design of the standard dynamic occupancy model. During seasons (also called primary occasions) sites are considered closed to changes in true occupancy state; occupancy state may only change between seasons. Within each season, multiple observations (also called surveys or secondary occasions) are conducted to record the observed presence or absence of the species at each site. These multiple observations may be recorded in many ways: sites can be revisited multiple times within a season, surveys can be conducted at multiple points within a larger site, multiple observers can conduct surveys contemporaneously, or the time elapsed prior to a detection occurring can be recorded. Note that it is not necessary for each site or season to have the same number of observations, and that missing data can be accommodated.</w:t>
            </w:r>
          </w:p>
          <w:bookmarkEnd w:id="33"/>
        </w:tc>
      </w:tr>
    </w:tbl>
    <w:p>
      <w:pPr>
        <w:pStyle w:val="BodyText"/>
      </w:pPr>
      <w:r>
        <w:t xml:space="preserve">Assumptions.</w:t>
      </w:r>
    </w:p>
    <w:bookmarkEnd w:id="34"/>
    <w:bookmarkEnd w:id="35"/>
    <w:bookmarkStart w:id="36" w:name="review-methods"/>
    <w:p>
      <w:pPr>
        <w:pStyle w:val="Heading1"/>
      </w:pPr>
      <w:r>
        <w:t xml:space="preserve">Review methods</w:t>
      </w:r>
    </w:p>
    <w:p>
      <w:pPr>
        <w:pStyle w:val="FirstParagraph"/>
      </w:pPr>
      <w:r>
        <w:t xml:space="preserve">Methods.</w:t>
      </w:r>
    </w:p>
    <w:bookmarkEnd w:id="36"/>
    <w:bookmarkStart w:id="55" w:name="results"/>
    <w:p>
      <w:pPr>
        <w:pStyle w:val="Heading1"/>
      </w:pPr>
      <w:r>
        <w:t xml:space="preserve">Results</w:t>
      </w:r>
    </w:p>
    <w:p>
      <w:pPr>
        <w:pStyle w:val="FirstParagraph"/>
      </w:pPr>
      <w:r>
        <w:t xml:space="preserve">Coverage.</w:t>
      </w:r>
    </w:p>
    <w:tbl>
      <w:tblPr>
        <w:tblStyle w:val="Table"/>
        <w:tblW w:type="pct" w:w="5000"/>
        <w:tblLayout w:type="fixed"/>
        <w:tblLook w:firstRow="0" w:lastRow="0" w:firstColumn="0" w:lastColumn="0" w:noHBand="0" w:noVBand="0" w:val="0000"/>
      </w:tblPr>
      <w:tblGrid>
        <w:gridCol w:w="7920"/>
      </w:tblGrid>
      <w:tr>
        <w:tc>
          <w:tcPr/>
          <w:bookmarkStart w:id="40" w:name="fig-coverage"/>
          <w:p>
            <w:pPr>
              <w:pStyle w:val="Compact"/>
              <w:jc w:val="center"/>
            </w:pPr>
            <w:r>
              <w:drawing>
                <wp:inline>
                  <wp:extent cx="3810000" cy="2540000"/>
                  <wp:effectExtent b="0" l="0" r="0" t="0"/>
                  <wp:docPr descr="" title="" id="38" name="Picture"/>
                  <a:graphic>
                    <a:graphicData uri="http://schemas.openxmlformats.org/drawingml/2006/picture">
                      <pic:pic>
                        <pic:nvPicPr>
                          <pic:cNvPr descr="Figures/CoveragePlot.jpeg"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Bars indicate the 92 articles included in our review as a proportion of the estimated number of published articles fitting DOMs, based on the qualification rate for articles in each strata. The proportion of articles included from each strata were as follows: 12% from 2005-2008; 24% from 2008-2011; 42% from 2012-2015; 35% from 2016-2019; and 57% from 2020-2023.</w:t>
            </w:r>
          </w:p>
          <w:bookmarkEnd w:id="40"/>
        </w:tc>
      </w:tr>
    </w:tbl>
    <w:p>
      <w:pPr>
        <w:pStyle w:val="BodyText"/>
      </w:pPr>
      <w:r>
        <w:t xml:space="preserve">Stamp collection.</w:t>
      </w:r>
    </w:p>
    <w:tbl>
      <w:tblPr>
        <w:tblStyle w:val="Table"/>
        <w:tblW w:type="pct" w:w="5000"/>
        <w:tblLayout w:type="fixed"/>
        <w:tblLook w:firstRow="0" w:lastRow="0" w:firstColumn="0" w:lastColumn="0" w:noHBand="0" w:noVBand="0" w:val="0000"/>
      </w:tblPr>
      <w:tblGrid>
        <w:gridCol w:w="7920"/>
      </w:tblGrid>
      <w:tr>
        <w:tc>
          <w:tcPr/>
          <w:bookmarkStart w:id="44" w:name="fig-StudyDetails"/>
          <w:p>
            <w:pPr>
              <w:pStyle w:val="Compact"/>
              <w:jc w:val="center"/>
            </w:pPr>
            <w:r>
              <w:drawing>
                <wp:inline>
                  <wp:extent cx="5334000" cy="6024890"/>
                  <wp:effectExtent b="0" l="0" r="0" t="0"/>
                  <wp:docPr descr="" title="" id="42" name="Picture"/>
                  <a:graphic>
                    <a:graphicData uri="http://schemas.openxmlformats.org/drawingml/2006/picture">
                      <pic:pic>
                        <pic:nvPicPr>
                          <pic:cNvPr descr="Figures/ReviewBox.png" id="43" name="Picture"/>
                          <pic:cNvPicPr>
                            <a:picLocks noChangeArrowheads="1" noChangeAspect="1"/>
                          </pic:cNvPicPr>
                        </pic:nvPicPr>
                        <pic:blipFill>
                          <a:blip r:embed="rId41"/>
                          <a:stretch>
                            <a:fillRect/>
                          </a:stretch>
                        </pic:blipFill>
                        <pic:spPr bwMode="auto">
                          <a:xfrm>
                            <a:off x="0" y="0"/>
                            <a:ext cx="5334000" cy="60248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 Locations of study areas where data was collected for reviewed DOMs. B) Spatial extent of study areas, defined as the area of inference, within which all surveyed points were contained. C) Number of articles which fit models to each category of taxa. Taxa were considered</w:t>
            </w:r>
            <w:r>
              <w:t xml:space="preserve"> </w:t>
            </w:r>
            <w:r>
              <w:t xml:space="preserve">‘threatened’</w:t>
            </w:r>
            <w:r>
              <w:t xml:space="preserve"> </w:t>
            </w:r>
            <w:r>
              <w:t xml:space="preserve">if they are listed on the IUCN Red List, or if authors indicate that they are otherwise threatened. D) Explicitly multi-species models include both hierarchical, jointly estimated models as well as more interactive models. Some studies fit both independent and multi-species models, such that these values do not sum to our sample size. E) Survey methods used to collected presence/absence data. Note that some articles employed multiple detection methods, and that some methods (e.g., citizen bird counts) may fall into multiple categories. F) Quantity of sites where surveys were conducted and duration of studies. Yellow bars indicate median values for site quantity (100) and study duration (8.2 years). Study duration is defined as the time elapsed between the first and last survey.</w:t>
            </w:r>
          </w:p>
          <w:bookmarkEnd w:id="44"/>
        </w:tc>
      </w:tr>
    </w:tbl>
    <w:p>
      <w:pPr>
        <w:pStyle w:val="BodyText"/>
      </w:pPr>
      <w:r>
        <w:t xml:space="preserve">Covariates.</w:t>
      </w:r>
    </w:p>
    <w:tbl>
      <w:tblPr>
        <w:tblStyle w:val="Table"/>
        <w:tblW w:type="pct" w:w="5000"/>
        <w:tblLayout w:type="fixed"/>
        <w:tblLook w:firstRow="0" w:lastRow="0" w:firstColumn="0" w:lastColumn="0" w:noHBand="0" w:noVBand="0" w:val="0000"/>
      </w:tblPr>
      <w:tblGrid>
        <w:gridCol w:w="7920"/>
      </w:tblGrid>
      <w:tr>
        <w:tc>
          <w:tcPr/>
          <w:bookmarkStart w:id="45" w:name="tbl-covariates"/>
          <w:p>
            <w:pPr>
              <w:jc w:val="center"/>
            </w:pPr>
            <w:pPr>
              <w:jc w:val="start"/>
              <w:spacing w:before="200"/>
              <w:pStyle w:val="ImageCaption"/>
            </w:pPr>
            <w:r>
              <w:t xml:space="preserve">Table 1: All covariates considered for inclusion in a study were classified into mutually exclusive categories. We calculate the percentage of studies which include at least one covariate of a given category on any parameter, Initial Occupancy (ψ1), Occupancy (ψ), Colonisation (γ), Extinction(ε), and Detection (ρ). We also present the average percentage of covariates in a category which are dynamic (varying through seasons) and directly observed, as well as the percentage of articles which model each category of covariate with a non-linear relationship or as part of an interaction with another covariate.</w:t>
            </w:r>
          </w:p>
          <w:tbl>
            <w:tblPr>
              <w:tblStyle w:val="Table"/>
              <w:tblW w:type="pct" w:w="5000"/>
              <w:tblLayout w:type="fixed"/>
              <w:tblLook w:firstRow="1" w:lastRow="0" w:firstColumn="0" w:lastColumn="0" w:noHBand="0" w:noVBand="0" w:val="0020"/>
            </w:tblPr>
            <w:tblGrid>
              <w:gridCol w:w="660"/>
              <w:gridCol w:w="660"/>
              <w:gridCol w:w="660"/>
              <w:gridCol w:w="660"/>
              <w:gridCol w:w="660"/>
              <w:gridCol w:w="660"/>
              <w:gridCol w:w="660"/>
              <w:gridCol w:w="660"/>
              <w:gridCol w:w="660"/>
              <w:gridCol w:w="660"/>
              <w:gridCol w:w="660"/>
              <w:gridCol w:w="660"/>
            </w:tblGrid>
            <w:tr>
              <w:trPr>
                <w:tblHeader w:val="on"/>
              </w:trPr>
              <w:tc>
                <w:tcPr>
                  <w:gridSpan w:val="2"/>
                  <w:vMerge w:val="restart"/>
                </w:tcPr>
                <w:p>
                  <w:pPr>
                    <w:pStyle w:val="Compact"/>
                  </w:pPr>
                </w:p>
              </w:tc>
              <w:tc>
                <w:tcPr>
                  <w:gridSpan w:val="6"/>
                </w:tcPr>
                <w:p>
                  <w:pPr>
                    <w:pStyle w:val="Compact"/>
                    <w:jc w:val="center"/>
                    <w:jc w:val="center"/>
                  </w:pPr>
                  <w:r>
                    <w:t xml:space="preserve">Percentage of articles with covariate on parameters:</w:t>
                  </w:r>
                </w:p>
              </w:tc>
              <w:tc>
                <w:tcPr>
                  <w:gridSpan w:val="2"/>
                </w:tcPr>
                <w:p>
                  <w:pPr>
                    <w:pStyle w:val="Compact"/>
                    <w:jc w:val="center"/>
                    <w:jc w:val="center"/>
                  </w:pPr>
                  <w:r>
                    <w:t xml:space="preserve">Percentage which are:</w:t>
                  </w:r>
                </w:p>
              </w:tc>
              <w:tc>
                <w:tcPr>
                  <w:gridSpan w:val="2"/>
                </w:tcPr>
                <w:p>
                  <w:pPr>
                    <w:pStyle w:val="Compact"/>
                    <w:jc w:val="center"/>
                    <w:jc w:val="center"/>
                  </w:pPr>
                  <w:r>
                    <w:t xml:space="preserve">Articles representing this covariate with:</w:t>
                  </w:r>
                </w:p>
              </w:tc>
            </w:tr>
            <w:tr>
              <w:trPr>
                <w:tblHeader w:val="on"/>
              </w:trPr>
              <w:tc>
                <w:tcPr>
                  <w:gridSpan w:val="2"/>
                  <w:vMerge w:val="continue"/>
                </w:tcPr>
                <w:p>
                  <w:pPr/>
                </w:p>
              </w:tc>
              <w:tc>
                <w:tcPr/>
                <w:p>
                  <w:pPr>
                    <w:pStyle w:val="Compact"/>
                    <w:jc w:val="right"/>
                    <w:jc w:val="center"/>
                  </w:pPr>
                  <w:r>
                    <w:t xml:space="preserve">Any</w:t>
                  </w:r>
                </w:p>
              </w:tc>
              <w:tc>
                <w:tcPr/>
                <w:p>
                  <w:pPr>
                    <w:pStyle w:val="Compact"/>
                    <w:jc w:val="right"/>
                    <w:jc w:val="center"/>
                  </w:pPr>
                  <w:r>
                    <w:t xml:space="preserve">ψ1</w:t>
                  </w:r>
                </w:p>
              </w:tc>
              <w:tc>
                <w:tcPr/>
                <w:p>
                  <w:pPr>
                    <w:pStyle w:val="Compact"/>
                    <w:jc w:val="right"/>
                    <w:jc w:val="center"/>
                  </w:pPr>
                  <w:r>
                    <w:t xml:space="preserve">ψ</w:t>
                  </w:r>
                </w:p>
              </w:tc>
              <w:tc>
                <w:tcPr/>
                <w:p>
                  <w:pPr>
                    <w:pStyle w:val="Compact"/>
                    <w:jc w:val="right"/>
                    <w:jc w:val="center"/>
                  </w:pPr>
                  <w:r>
                    <w:t xml:space="preserve">γ</w:t>
                  </w:r>
                </w:p>
              </w:tc>
              <w:tc>
                <w:tcPr/>
                <w:p>
                  <w:pPr>
                    <w:pStyle w:val="Compact"/>
                    <w:jc w:val="right"/>
                    <w:jc w:val="center"/>
                  </w:pPr>
                  <w:r>
                    <w:t xml:space="preserve">ε</w:t>
                  </w:r>
                </w:p>
              </w:tc>
              <w:tc>
                <w:tcPr/>
                <w:p>
                  <w:pPr>
                    <w:pStyle w:val="Compact"/>
                    <w:jc w:val="right"/>
                    <w:jc w:val="center"/>
                  </w:pPr>
                  <w:r>
                    <w:t xml:space="preserve">ρ</w:t>
                  </w:r>
                </w:p>
              </w:tc>
              <w:tc>
                <w:tcPr/>
                <w:p>
                  <w:pPr>
                    <w:pStyle w:val="Compact"/>
                    <w:jc w:val="right"/>
                    <w:jc w:val="center"/>
                  </w:pPr>
                  <w:r>
                    <w:t xml:space="preserve">Dynamic</w:t>
                  </w:r>
                </w:p>
              </w:tc>
              <w:tc>
                <w:tcPr/>
                <w:p>
                  <w:pPr>
                    <w:pStyle w:val="Compact"/>
                    <w:jc w:val="right"/>
                    <w:jc w:val="center"/>
                  </w:pPr>
                  <w:r>
                    <w:t xml:space="preserve">Directly observed</w:t>
                  </w:r>
                </w:p>
              </w:tc>
              <w:tc>
                <w:tcPr/>
                <w:p>
                  <w:pPr>
                    <w:pStyle w:val="Compact"/>
                    <w:jc w:val="right"/>
                    <w:jc w:val="center"/>
                  </w:pPr>
                  <w:r>
                    <w:t xml:space="preserve">Non-linear relationships</w:t>
                  </w:r>
                </w:p>
              </w:tc>
              <w:tc>
                <w:tcPr/>
                <w:p>
                  <w:pPr>
                    <w:pStyle w:val="Compact"/>
                    <w:jc w:val="right"/>
                    <w:jc w:val="center"/>
                  </w:pPr>
                  <w:r>
                    <w:t xml:space="preserve">Interactions between covariates</w:t>
                  </w:r>
                </w:p>
              </w:tc>
            </w:tr>
            <w:tr>
              <w:tc>
                <w:tcPr>
                  <w:vMerge w:val="restart"/>
                </w:tcPr>
                <w:p>
                  <w:pPr>
                    <w:pStyle w:val="Compact"/>
                    <w:jc w:val="left"/>
                    <w:jc w:val="center"/>
                  </w:pPr>
                  <w:r>
                    <w:t xml:space="preserve">Environmental covariates</w:t>
                  </w:r>
                </w:p>
              </w:tc>
              <w:tc>
                <w:tcPr/>
                <w:p>
                  <w:pPr>
                    <w:pStyle w:val="Compact"/>
                    <w:jc w:val="left"/>
                    <w:jc w:val="center"/>
                  </w:pPr>
                  <w:r>
                    <w:rPr>
                      <w:b/>
                      <w:bCs/>
                    </w:rPr>
                    <w:t xml:space="preserve">Habitat</w:t>
                  </w:r>
                  <w:r>
                    <w:t xml:space="preserve"> </w:t>
                  </w:r>
                  <w:r>
                    <w:rPr>
                      <w:i/>
                      <w:iCs/>
                    </w:rPr>
                    <w:t xml:space="preserve">Aspects of habitat and land cover</w:t>
                  </w:r>
                </w:p>
              </w:tc>
              <w:tc>
                <w:tcPr/>
                <w:p>
                  <w:pPr>
                    <w:pStyle w:val="Compact"/>
                    <w:jc w:val="right"/>
                    <w:jc w:val="center"/>
                  </w:pPr>
                  <w:r>
                    <w:t xml:space="preserve">55%</w:t>
                  </w:r>
                </w:p>
              </w:tc>
              <w:tc>
                <w:tcPr/>
                <w:p>
                  <w:pPr>
                    <w:pStyle w:val="Compact"/>
                    <w:jc w:val="right"/>
                    <w:jc w:val="center"/>
                  </w:pPr>
                  <w:r>
                    <w:t xml:space="preserve">41%</w:t>
                  </w:r>
                </w:p>
              </w:tc>
              <w:tc>
                <w:tcPr/>
                <w:p>
                  <w:pPr>
                    <w:pStyle w:val="Compact"/>
                    <w:jc w:val="right"/>
                    <w:jc w:val="center"/>
                  </w:pPr>
                  <w:r>
                    <w:t xml:space="preserve">25%</w:t>
                  </w:r>
                </w:p>
              </w:tc>
              <w:tc>
                <w:tcPr/>
                <w:p>
                  <w:pPr>
                    <w:pStyle w:val="Compact"/>
                    <w:jc w:val="right"/>
                    <w:jc w:val="center"/>
                  </w:pPr>
                  <w:r>
                    <w:t xml:space="preserve">43%</w:t>
                  </w:r>
                </w:p>
              </w:tc>
              <w:tc>
                <w:tcPr/>
                <w:p>
                  <w:pPr>
                    <w:pStyle w:val="Compact"/>
                    <w:jc w:val="right"/>
                    <w:jc w:val="center"/>
                  </w:pPr>
                  <w:r>
                    <w:t xml:space="preserve">46%</w:t>
                  </w:r>
                </w:p>
              </w:tc>
              <w:tc>
                <w:tcPr/>
                <w:p>
                  <w:pPr>
                    <w:pStyle w:val="Compact"/>
                    <w:jc w:val="right"/>
                    <w:jc w:val="center"/>
                  </w:pPr>
                  <w:r>
                    <w:t xml:space="preserve">28%</w:t>
                  </w:r>
                </w:p>
              </w:tc>
              <w:tc>
                <w:tcPr/>
                <w:p>
                  <w:pPr>
                    <w:pStyle w:val="Compact"/>
                    <w:jc w:val="right"/>
                    <w:jc w:val="center"/>
                  </w:pPr>
                  <w:r>
                    <w:t xml:space="preserve">24%</w:t>
                  </w:r>
                </w:p>
              </w:tc>
              <w:tc>
                <w:tcPr/>
                <w:p>
                  <w:pPr>
                    <w:pStyle w:val="Compact"/>
                    <w:jc w:val="right"/>
                    <w:jc w:val="center"/>
                  </w:pPr>
                  <w:r>
                    <w:t xml:space="preserve">33%</w:t>
                  </w:r>
                </w:p>
              </w:tc>
              <w:tc>
                <w:tcPr/>
                <w:p>
                  <w:pPr>
                    <w:pStyle w:val="Compact"/>
                    <w:jc w:val="right"/>
                    <w:jc w:val="center"/>
                  </w:pPr>
                  <w:r>
                    <w:t xml:space="preserve">12%</w:t>
                  </w:r>
                </w:p>
              </w:tc>
              <w:tc>
                <w:tcPr/>
                <w:p>
                  <w:pPr>
                    <w:pStyle w:val="Compact"/>
                    <w:jc w:val="right"/>
                    <w:jc w:val="center"/>
                  </w:pPr>
                  <w:r>
                    <w:t xml:space="preserve">25%</w:t>
                  </w:r>
                </w:p>
              </w:tc>
            </w:tr>
            <w:tr>
              <w:tc>
                <w:tcPr>
                  <w:gridSpan w:val="1"/>
                  <w:vMerge w:val="continue"/>
                </w:tcPr>
                <w:p>
                  <w:pPr/>
                </w:p>
              </w:tc>
              <w:tc>
                <w:tcPr/>
                <w:p>
                  <w:pPr>
                    <w:pStyle w:val="Compact"/>
                    <w:jc w:val="left"/>
                    <w:jc w:val="center"/>
                  </w:pPr>
                  <w:r>
                    <w:rPr>
                      <w:b/>
                      <w:bCs/>
                    </w:rPr>
                    <w:t xml:space="preserve">Spatial</w:t>
                  </w:r>
                  <w:r>
                    <w:t xml:space="preserve"> </w:t>
                  </w:r>
                  <w:r>
                    <w:rPr>
                      <w:i/>
                      <w:iCs/>
                    </w:rPr>
                    <w:t xml:space="preserve">Site geometry, connectivity, or other spatial elements</w:t>
                  </w:r>
                </w:p>
              </w:tc>
              <w:tc>
                <w:tcPr/>
                <w:p>
                  <w:pPr>
                    <w:pStyle w:val="Compact"/>
                    <w:jc w:val="right"/>
                    <w:jc w:val="center"/>
                  </w:pPr>
                  <w:r>
                    <w:t xml:space="preserve">35%</w:t>
                  </w:r>
                </w:p>
              </w:tc>
              <w:tc>
                <w:tcPr/>
                <w:p>
                  <w:pPr>
                    <w:pStyle w:val="Compact"/>
                    <w:jc w:val="right"/>
                    <w:jc w:val="center"/>
                  </w:pPr>
                  <w:r>
                    <w:t xml:space="preserve">22%</w:t>
                  </w:r>
                </w:p>
              </w:tc>
              <w:tc>
                <w:tcPr/>
                <w:p>
                  <w:pPr>
                    <w:pStyle w:val="Compact"/>
                    <w:jc w:val="right"/>
                    <w:jc w:val="center"/>
                  </w:pPr>
                  <w:r>
                    <w:t xml:space="preserve">31%</w:t>
                  </w:r>
                </w:p>
              </w:tc>
              <w:tc>
                <w:tcPr/>
                <w:p>
                  <w:pPr>
                    <w:pStyle w:val="Compact"/>
                    <w:jc w:val="right"/>
                    <w:jc w:val="center"/>
                  </w:pPr>
                  <w:r>
                    <w:t xml:space="preserve">33%</w:t>
                  </w:r>
                </w:p>
              </w:tc>
              <w:tc>
                <w:tcPr/>
                <w:p>
                  <w:pPr>
                    <w:pStyle w:val="Compact"/>
                    <w:jc w:val="right"/>
                    <w:jc w:val="center"/>
                  </w:pPr>
                  <w:r>
                    <w:t xml:space="preserve">30%</w:t>
                  </w:r>
                </w:p>
              </w:tc>
              <w:tc>
                <w:tcPr/>
                <w:p>
                  <w:pPr>
                    <w:pStyle w:val="Compact"/>
                    <w:jc w:val="right"/>
                    <w:jc w:val="center"/>
                  </w:pPr>
                  <w:r>
                    <w:t xml:space="preserve">11%</w:t>
                  </w:r>
                </w:p>
              </w:tc>
              <w:tc>
                <w:tcPr/>
                <w:p>
                  <w:pPr>
                    <w:pStyle w:val="Compact"/>
                    <w:jc w:val="right"/>
                    <w:jc w:val="center"/>
                  </w:pPr>
                  <w:r>
                    <w:t xml:space="preserve">30%</w:t>
                  </w:r>
                </w:p>
              </w:tc>
              <w:tc>
                <w:tcPr/>
                <w:p>
                  <w:pPr>
                    <w:pStyle w:val="Compact"/>
                    <w:jc w:val="right"/>
                    <w:jc w:val="center"/>
                  </w:pPr>
                  <w:r>
                    <w:t xml:space="preserve">39%</w:t>
                  </w:r>
                </w:p>
              </w:tc>
              <w:tc>
                <w:tcPr/>
                <w:p>
                  <w:pPr>
                    <w:pStyle w:val="Compact"/>
                    <w:jc w:val="right"/>
                    <w:jc w:val="center"/>
                  </w:pPr>
                  <w:r>
                    <w:t xml:space="preserve">22%</w:t>
                  </w:r>
                </w:p>
              </w:tc>
              <w:tc>
                <w:tcPr/>
                <w:p>
                  <w:pPr>
                    <w:pStyle w:val="Compact"/>
                    <w:jc w:val="right"/>
                    <w:jc w:val="center"/>
                  </w:pPr>
                  <w:r>
                    <w:t xml:space="preserve">25%</w:t>
                  </w:r>
                </w:p>
              </w:tc>
            </w:tr>
            <w:tr>
              <w:tc>
                <w:tcPr>
                  <w:gridSpan w:val="1"/>
                  <w:vMerge w:val="continue"/>
                </w:tcPr>
                <w:p>
                  <w:pPr/>
                </w:p>
              </w:tc>
              <w:tc>
                <w:tcPr/>
                <w:p>
                  <w:pPr>
                    <w:pStyle w:val="Compact"/>
                    <w:jc w:val="left"/>
                    <w:jc w:val="center"/>
                  </w:pPr>
                  <w:r>
                    <w:rPr>
                      <w:b/>
                      <w:bCs/>
                    </w:rPr>
                    <w:t xml:space="preserve">Phenology</w:t>
                  </w:r>
                  <w:r>
                    <w:t xml:space="preserve"> </w:t>
                  </w:r>
                  <w:r>
                    <w:rPr>
                      <w:i/>
                      <w:iCs/>
                    </w:rPr>
                    <w:t xml:space="preserve">Time-varying elements distinct from sampling occasions</w:t>
                  </w:r>
                </w:p>
              </w:tc>
              <w:tc>
                <w:tcPr/>
                <w:p>
                  <w:pPr>
                    <w:pStyle w:val="Compact"/>
                    <w:jc w:val="right"/>
                    <w:jc w:val="center"/>
                  </w:pPr>
                  <w:r>
                    <w:t xml:space="preserve">33%</w:t>
                  </w:r>
                </w:p>
              </w:tc>
              <w:tc>
                <w:tcPr/>
                <w:p>
                  <w:pPr>
                    <w:pStyle w:val="Compact"/>
                    <w:jc w:val="right"/>
                    <w:jc w:val="center"/>
                  </w:pPr>
                  <w:r>
                    <w:t xml:space="preserve">1%</w:t>
                  </w:r>
                </w:p>
              </w:tc>
              <w:tc>
                <w:tcPr/>
                <w:p>
                  <w:pPr>
                    <w:pStyle w:val="Compact"/>
                    <w:jc w:val="right"/>
                    <w:jc w:val="center"/>
                  </w:pPr>
                  <w:r>
                    <w:t xml:space="preserve">0%</w:t>
                  </w:r>
                </w:p>
              </w:tc>
              <w:tc>
                <w:tcPr/>
                <w:p>
                  <w:pPr>
                    <w:pStyle w:val="Compact"/>
                    <w:jc w:val="right"/>
                    <w:jc w:val="center"/>
                  </w:pPr>
                  <w:r>
                    <w:t xml:space="preserve">5%</w:t>
                  </w:r>
                </w:p>
              </w:tc>
              <w:tc>
                <w:tcPr/>
                <w:p>
                  <w:pPr>
                    <w:pStyle w:val="Compact"/>
                    <w:jc w:val="right"/>
                    <w:jc w:val="center"/>
                  </w:pPr>
                  <w:r>
                    <w:t xml:space="preserve">4%</w:t>
                  </w:r>
                </w:p>
              </w:tc>
              <w:tc>
                <w:tcPr/>
                <w:p>
                  <w:pPr>
                    <w:pStyle w:val="Compact"/>
                    <w:jc w:val="right"/>
                    <w:jc w:val="center"/>
                  </w:pPr>
                  <w:r>
                    <w:t xml:space="preserve">33%</w:t>
                  </w:r>
                </w:p>
              </w:tc>
              <w:tc>
                <w:tcPr/>
                <w:p>
                  <w:pPr>
                    <w:pStyle w:val="Compact"/>
                    <w:jc w:val="right"/>
                    <w:jc w:val="center"/>
                  </w:pPr>
                  <w:r>
                    <w:t xml:space="preserve">100%</w:t>
                  </w:r>
                </w:p>
              </w:tc>
              <w:tc>
                <w:tcPr/>
                <w:p>
                  <w:pPr>
                    <w:pStyle w:val="Compact"/>
                    <w:jc w:val="right"/>
                    <w:jc w:val="center"/>
                  </w:pPr>
                  <w:r>
                    <w:t xml:space="preserve">0%</w:t>
                  </w:r>
                </w:p>
              </w:tc>
              <w:tc>
                <w:tcPr/>
                <w:p>
                  <w:pPr>
                    <w:pStyle w:val="Compact"/>
                    <w:jc w:val="right"/>
                    <w:jc w:val="center"/>
                  </w:pPr>
                  <w:r>
                    <w:t xml:space="preserve">41%</w:t>
                  </w:r>
                </w:p>
              </w:tc>
              <w:tc>
                <w:tcPr/>
                <w:p>
                  <w:pPr>
                    <w:pStyle w:val="Compact"/>
                    <w:jc w:val="right"/>
                    <w:jc w:val="center"/>
                  </w:pPr>
                  <w:r>
                    <w:t xml:space="preserve">9%</w:t>
                  </w:r>
                </w:p>
              </w:tc>
            </w:tr>
            <w:tr>
              <w:tc>
                <w:tcPr>
                  <w:gridSpan w:val="1"/>
                  <w:vMerge w:val="continue"/>
                </w:tcPr>
                <w:p>
                  <w:pPr/>
                </w:p>
              </w:tc>
              <w:tc>
                <w:tcPr/>
                <w:p>
                  <w:pPr>
                    <w:pStyle w:val="Compact"/>
                    <w:jc w:val="left"/>
                    <w:jc w:val="center"/>
                  </w:pPr>
                  <w:r>
                    <w:rPr>
                      <w:b/>
                      <w:bCs/>
                    </w:rPr>
                    <w:t xml:space="preserve">Climate/Weather</w:t>
                  </w:r>
                  <w:r>
                    <w:t xml:space="preserve"> </w:t>
                  </w:r>
                  <w:r>
                    <w:rPr>
                      <w:i/>
                      <w:iCs/>
                    </w:rPr>
                    <w:t xml:space="preserve">Climate, weather, and natural disasters</w:t>
                  </w:r>
                </w:p>
              </w:tc>
              <w:tc>
                <w:tcPr/>
                <w:p>
                  <w:pPr>
                    <w:pStyle w:val="Compact"/>
                    <w:jc w:val="right"/>
                    <w:jc w:val="center"/>
                  </w:pPr>
                  <w:r>
                    <w:t xml:space="preserve">33%</w:t>
                  </w:r>
                </w:p>
              </w:tc>
              <w:tc>
                <w:tcPr/>
                <w:p>
                  <w:pPr>
                    <w:pStyle w:val="Compact"/>
                    <w:jc w:val="right"/>
                    <w:jc w:val="center"/>
                  </w:pPr>
                  <w:r>
                    <w:t xml:space="preserve">13%</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24%</w:t>
                  </w:r>
                </w:p>
              </w:tc>
              <w:tc>
                <w:tcPr/>
                <w:p>
                  <w:pPr>
                    <w:pStyle w:val="Compact"/>
                    <w:jc w:val="right"/>
                    <w:jc w:val="center"/>
                  </w:pPr>
                  <w:r>
                    <w:t xml:space="preserve">77%</w:t>
                  </w:r>
                </w:p>
              </w:tc>
              <w:tc>
                <w:tcPr/>
                <w:p>
                  <w:pPr>
                    <w:pStyle w:val="Compact"/>
                    <w:jc w:val="right"/>
                    <w:jc w:val="center"/>
                  </w:pPr>
                  <w:r>
                    <w:t xml:space="preserve">35%</w:t>
                  </w:r>
                </w:p>
              </w:tc>
              <w:tc>
                <w:tcPr/>
                <w:p>
                  <w:pPr>
                    <w:pStyle w:val="Compact"/>
                    <w:jc w:val="right"/>
                    <w:jc w:val="center"/>
                  </w:pPr>
                  <w:r>
                    <w:t xml:space="preserve">32%</w:t>
                  </w:r>
                </w:p>
              </w:tc>
              <w:tc>
                <w:tcPr/>
                <w:p>
                  <w:pPr>
                    <w:pStyle w:val="Compact"/>
                    <w:jc w:val="right"/>
                    <w:jc w:val="center"/>
                  </w:pPr>
                  <w:r>
                    <w:t xml:space="preserve">26%</w:t>
                  </w:r>
                </w:p>
              </w:tc>
            </w:tr>
            <w:tr>
              <w:tc>
                <w:tcPr>
                  <w:gridSpan w:val="1"/>
                  <w:vMerge w:val="continue"/>
                </w:tcPr>
                <w:p>
                  <w:pPr/>
                </w:p>
              </w:tc>
              <w:tc>
                <w:tcPr/>
                <w:p>
                  <w:pPr>
                    <w:pStyle w:val="Compact"/>
                    <w:jc w:val="left"/>
                    <w:jc w:val="center"/>
                  </w:pPr>
                  <w:r>
                    <w:rPr>
                      <w:b/>
                      <w:bCs/>
                    </w:rPr>
                    <w:t xml:space="preserve">Anthropogenic</w:t>
                  </w:r>
                  <w:r>
                    <w:t xml:space="preserve"> </w:t>
                  </w:r>
                  <w:r>
                    <w:rPr>
                      <w:i/>
                      <w:iCs/>
                    </w:rPr>
                    <w:t xml:space="preserve">Relations to human activity</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6%</w:t>
                  </w:r>
                </w:p>
              </w:tc>
              <w:tc>
                <w:tcPr/>
                <w:p>
                  <w:pPr>
                    <w:pStyle w:val="Compact"/>
                    <w:jc w:val="right"/>
                    <w:jc w:val="center"/>
                  </w:pPr>
                  <w:r>
                    <w:t xml:space="preserve">23%</w:t>
                  </w:r>
                </w:p>
              </w:tc>
              <w:tc>
                <w:tcPr/>
                <w:p>
                  <w:pPr>
                    <w:pStyle w:val="Compact"/>
                    <w:jc w:val="right"/>
                    <w:jc w:val="center"/>
                  </w:pPr>
                  <w:r>
                    <w:t xml:space="preserve">21%</w:t>
                  </w:r>
                </w:p>
              </w:tc>
              <w:tc>
                <w:tcPr/>
                <w:p>
                  <w:pPr>
                    <w:pStyle w:val="Compact"/>
                    <w:jc w:val="right"/>
                    <w:jc w:val="center"/>
                  </w:pPr>
                  <w:r>
                    <w:t xml:space="preserve">6%</w:t>
                  </w:r>
                </w:p>
              </w:tc>
              <w:tc>
                <w:tcPr/>
                <w:p>
                  <w:pPr>
                    <w:pStyle w:val="Compact"/>
                    <w:jc w:val="right"/>
                    <w:jc w:val="center"/>
                  </w:pPr>
                  <w:r>
                    <w:t xml:space="preserve">11%</w:t>
                  </w:r>
                </w:p>
              </w:tc>
              <w:tc>
                <w:tcPr/>
                <w:p>
                  <w:pPr>
                    <w:pStyle w:val="Compact"/>
                    <w:jc w:val="right"/>
                    <w:jc w:val="center"/>
                  </w:pPr>
                  <w:r>
                    <w:t xml:space="preserve">8%</w:t>
                  </w:r>
                </w:p>
              </w:tc>
              <w:tc>
                <w:tcPr/>
                <w:p>
                  <w:pPr>
                    <w:pStyle w:val="Compact"/>
                    <w:jc w:val="right"/>
                    <w:jc w:val="center"/>
                  </w:pPr>
                  <w:r>
                    <w:t xml:space="preserve">12%</w:t>
                  </w:r>
                </w:p>
              </w:tc>
              <w:tc>
                <w:tcPr/>
                <w:p>
                  <w:pPr>
                    <w:pStyle w:val="Compact"/>
                    <w:jc w:val="right"/>
                    <w:jc w:val="center"/>
                  </w:pPr>
                  <w:r>
                    <w:t xml:space="preserve">20%</w:t>
                  </w:r>
                </w:p>
              </w:tc>
            </w:tr>
            <w:tr>
              <w:tc>
                <w:tcPr>
                  <w:gridSpan w:val="1"/>
                  <w:vMerge w:val="continue"/>
                </w:tcPr>
                <w:p>
                  <w:pPr/>
                </w:p>
              </w:tc>
              <w:tc>
                <w:tcPr/>
                <w:p>
                  <w:pPr>
                    <w:pStyle w:val="Compact"/>
                    <w:jc w:val="left"/>
                    <w:jc w:val="center"/>
                  </w:pPr>
                  <w:r>
                    <w:rPr>
                      <w:b/>
                      <w:bCs/>
                    </w:rPr>
                    <w:t xml:space="preserve">Other environmental</w:t>
                  </w:r>
                  <w:r>
                    <w:t xml:space="preserve"> </w:t>
                  </w:r>
                  <w:r>
                    <w:rPr>
                      <w:i/>
                      <w:iCs/>
                    </w:rPr>
                    <w:t xml:space="preserve">Other environmental covariate not otherwise listed</w:t>
                  </w:r>
                </w:p>
              </w:tc>
              <w:tc>
                <w:tcPr/>
                <w:p>
                  <w:pPr>
                    <w:pStyle w:val="Compact"/>
                    <w:jc w:val="right"/>
                    <w:jc w:val="center"/>
                  </w:pPr>
                  <w:r>
                    <w:t xml:space="preserve">21%</w:t>
                  </w:r>
                </w:p>
              </w:tc>
              <w:tc>
                <w:tcPr/>
                <w:p>
                  <w:pPr>
                    <w:pStyle w:val="Compact"/>
                    <w:jc w:val="right"/>
                    <w:jc w:val="center"/>
                  </w:pPr>
                  <w:r>
                    <w:t xml:space="preserve">5%</w:t>
                  </w:r>
                </w:p>
              </w:tc>
              <w:tc>
                <w:tcPr/>
                <w:p>
                  <w:pPr>
                    <w:pStyle w:val="Compact"/>
                    <w:jc w:val="right"/>
                    <w:jc w:val="center"/>
                  </w:pPr>
                  <w:r>
                    <w:t xml:space="preserve">19%</w:t>
                  </w:r>
                </w:p>
              </w:tc>
              <w:tc>
                <w:tcPr/>
                <w:p>
                  <w:pPr>
                    <w:pStyle w:val="Compact"/>
                    <w:jc w:val="right"/>
                    <w:jc w:val="center"/>
                  </w:pPr>
                  <w:r>
                    <w:t xml:space="preserve">4%</w:t>
                  </w:r>
                </w:p>
              </w:tc>
              <w:tc>
                <w:tcPr/>
                <w:p>
                  <w:pPr>
                    <w:pStyle w:val="Compact"/>
                    <w:jc w:val="right"/>
                    <w:jc w:val="center"/>
                  </w:pPr>
                  <w:r>
                    <w:t xml:space="preserve">10%</w:t>
                  </w:r>
                </w:p>
              </w:tc>
              <w:tc>
                <w:tcPr/>
                <w:p>
                  <w:pPr>
                    <w:pStyle w:val="Compact"/>
                    <w:jc w:val="right"/>
                    <w:jc w:val="center"/>
                  </w:pPr>
                  <w:r>
                    <w:t xml:space="preserve">13%</w:t>
                  </w:r>
                </w:p>
              </w:tc>
              <w:tc>
                <w:tcPr/>
                <w:p>
                  <w:pPr>
                    <w:pStyle w:val="Compact"/>
                    <w:jc w:val="right"/>
                    <w:jc w:val="center"/>
                  </w:pPr>
                  <w:r>
                    <w:t xml:space="preserve">71%</w:t>
                  </w:r>
                </w:p>
              </w:tc>
              <w:tc>
                <w:tcPr/>
                <w:p>
                  <w:pPr>
                    <w:pStyle w:val="Compact"/>
                    <w:jc w:val="right"/>
                    <w:jc w:val="center"/>
                  </w:pPr>
                  <w:r>
                    <w:t xml:space="preserve">78%</w:t>
                  </w:r>
                </w:p>
              </w:tc>
              <w:tc>
                <w:tcPr/>
                <w:p>
                  <w:pPr>
                    <w:pStyle w:val="Compact"/>
                    <w:jc w:val="right"/>
                    <w:jc w:val="center"/>
                  </w:pPr>
                  <w:r>
                    <w:t xml:space="preserve">0%</w:t>
                  </w:r>
                </w:p>
              </w:tc>
              <w:tc>
                <w:tcPr/>
                <w:p>
                  <w:pPr>
                    <w:pStyle w:val="Compact"/>
                    <w:jc w:val="right"/>
                    <w:jc w:val="center"/>
                  </w:pPr>
                  <w:r>
                    <w:t xml:space="preserve">0%</w:t>
                  </w:r>
                </w:p>
              </w:tc>
            </w:tr>
            <w:tr>
              <w:tc>
                <w:tcPr>
                  <w:gridSpan w:val="1"/>
                  <w:vMerge w:val="continue"/>
                </w:tcPr>
                <w:p>
                  <w:pPr/>
                </w:p>
              </w:tc>
              <w:tc>
                <w:tcPr/>
                <w:p>
                  <w:pPr>
                    <w:pStyle w:val="Compact"/>
                    <w:jc w:val="left"/>
                    <w:jc w:val="center"/>
                  </w:pPr>
                  <w:r>
                    <w:rPr>
                      <w:b/>
                      <w:bCs/>
                    </w:rPr>
                    <w:t xml:space="preserve">Topography</w:t>
                  </w:r>
                  <w:r>
                    <w:t xml:space="preserve"> </w:t>
                  </w:r>
                  <w:r>
                    <w:rPr>
                      <w:i/>
                      <w:iCs/>
                    </w:rPr>
                    <w:t xml:space="preserve">Elements of landscape topography</w:t>
                  </w:r>
                </w:p>
              </w:tc>
              <w:tc>
                <w:tcPr/>
                <w:p>
                  <w:pPr>
                    <w:pStyle w:val="Compact"/>
                    <w:jc w:val="right"/>
                    <w:jc w:val="center"/>
                  </w:pPr>
                  <w:r>
                    <w:t xml:space="preserve">21%</w:t>
                  </w:r>
                </w:p>
              </w:tc>
              <w:tc>
                <w:tcPr/>
                <w:p>
                  <w:pPr>
                    <w:pStyle w:val="Compact"/>
                    <w:jc w:val="right"/>
                    <w:jc w:val="center"/>
                  </w:pPr>
                  <w:r>
                    <w:t xml:space="preserve">18%</w:t>
                  </w:r>
                </w:p>
              </w:tc>
              <w:tc>
                <w:tcPr/>
                <w:p>
                  <w:pPr>
                    <w:pStyle w:val="Compact"/>
                    <w:jc w:val="right"/>
                    <w:jc w:val="center"/>
                  </w:pPr>
                  <w:r>
                    <w:t xml:space="preserve">25%</w:t>
                  </w:r>
                </w:p>
              </w:tc>
              <w:tc>
                <w:tcPr/>
                <w:p>
                  <w:pPr>
                    <w:pStyle w:val="Compact"/>
                    <w:jc w:val="right"/>
                    <w:jc w:val="center"/>
                  </w:pPr>
                  <w:r>
                    <w:t xml:space="preserve">13%</w:t>
                  </w:r>
                </w:p>
              </w:tc>
              <w:tc>
                <w:tcPr/>
                <w:p>
                  <w:pPr>
                    <w:pStyle w:val="Compact"/>
                    <w:jc w:val="right"/>
                    <w:jc w:val="center"/>
                  </w:pPr>
                  <w:r>
                    <w:t xml:space="preserve">14%</w:t>
                  </w:r>
                </w:p>
              </w:tc>
              <w:tc>
                <w:tcPr/>
                <w:p>
                  <w:pPr>
                    <w:pStyle w:val="Compact"/>
                    <w:jc w:val="right"/>
                    <w:jc w:val="center"/>
                  </w:pPr>
                  <w:r>
                    <w:t xml:space="preserve">6%</w:t>
                  </w:r>
                </w:p>
              </w:tc>
              <w:tc>
                <w:tcPr/>
                <w:p>
                  <w:pPr>
                    <w:pStyle w:val="Compact"/>
                    <w:jc w:val="right"/>
                    <w:jc w:val="center"/>
                  </w:pPr>
                  <w:r>
                    <w:t xml:space="preserve">0%</w:t>
                  </w:r>
                </w:p>
              </w:tc>
              <w:tc>
                <w:tcPr/>
                <w:p>
                  <w:pPr>
                    <w:pStyle w:val="Compact"/>
                    <w:jc w:val="right"/>
                    <w:jc w:val="center"/>
                  </w:pPr>
                  <w:r>
                    <w:t xml:space="preserve">7%</w:t>
                  </w:r>
                </w:p>
              </w:tc>
              <w:tc>
                <w:tcPr/>
                <w:p>
                  <w:pPr>
                    <w:pStyle w:val="Compact"/>
                    <w:jc w:val="right"/>
                    <w:jc w:val="center"/>
                  </w:pPr>
                  <w:r>
                    <w:t xml:space="preserve">29%</w:t>
                  </w:r>
                </w:p>
              </w:tc>
              <w:tc>
                <w:tcPr/>
                <w:p>
                  <w:pPr>
                    <w:pStyle w:val="Compact"/>
                    <w:jc w:val="right"/>
                    <w:jc w:val="center"/>
                  </w:pPr>
                  <w:r>
                    <w:t xml:space="preserve">10%</w:t>
                  </w:r>
                </w:p>
              </w:tc>
            </w:tr>
            <w:tr>
              <w:tc>
                <w:tcPr>
                  <w:gridSpan w:val="1"/>
                  <w:vMerge w:val="continue"/>
                </w:tcPr>
                <w:p>
                  <w:pPr/>
                </w:p>
              </w:tc>
              <w:tc>
                <w:tcPr/>
                <w:p>
                  <w:pPr>
                    <w:pStyle w:val="Compact"/>
                    <w:jc w:val="left"/>
                    <w:jc w:val="center"/>
                  </w:pPr>
                  <w:r>
                    <w:rPr>
                      <w:b/>
                      <w:bCs/>
                    </w:rPr>
                    <w:t xml:space="preserve">Biotic interaction</w:t>
                  </w:r>
                  <w:r>
                    <w:t xml:space="preserve"> </w:t>
                  </w:r>
                  <w:r>
                    <w:rPr>
                      <w:i/>
                      <w:iCs/>
                    </w:rPr>
                    <w:t xml:space="preserve">Interactions with other (non-plant) species</w:t>
                  </w:r>
                </w:p>
              </w:tc>
              <w:tc>
                <w:tcPr/>
                <w:p>
                  <w:pPr>
                    <w:pStyle w:val="Compact"/>
                    <w:jc w:val="right"/>
                    <w:jc w:val="center"/>
                  </w:pPr>
                  <w:r>
                    <w:t xml:space="preserve">15%</w:t>
                  </w:r>
                </w:p>
              </w:tc>
              <w:tc>
                <w:tcPr/>
                <w:p>
                  <w:pPr>
                    <w:pStyle w:val="Compact"/>
                    <w:jc w:val="right"/>
                    <w:jc w:val="center"/>
                  </w:pPr>
                  <w:r>
                    <w:t xml:space="preserve">7%</w:t>
                  </w:r>
                </w:p>
              </w:tc>
              <w:tc>
                <w:tcPr/>
                <w:p>
                  <w:pPr>
                    <w:pStyle w:val="Compact"/>
                    <w:jc w:val="right"/>
                    <w:jc w:val="center"/>
                  </w:pPr>
                  <w:r>
                    <w:t xml:space="preserve">0%</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5%</w:t>
                  </w:r>
                </w:p>
              </w:tc>
              <w:tc>
                <w:tcPr/>
                <w:p>
                  <w:pPr>
                    <w:pStyle w:val="Compact"/>
                    <w:jc w:val="right"/>
                    <w:jc w:val="center"/>
                  </w:pPr>
                  <w:r>
                    <w:t xml:space="preserve">59%</w:t>
                  </w:r>
                </w:p>
              </w:tc>
              <w:tc>
                <w:tcPr/>
                <w:p>
                  <w:pPr>
                    <w:pStyle w:val="Compact"/>
                    <w:jc w:val="right"/>
                    <w:jc w:val="center"/>
                  </w:pPr>
                  <w:r>
                    <w:t xml:space="preserve">64%</w:t>
                  </w:r>
                </w:p>
              </w:tc>
              <w:tc>
                <w:tcPr/>
                <w:p>
                  <w:pPr>
                    <w:pStyle w:val="Compact"/>
                    <w:jc w:val="right"/>
                    <w:jc w:val="center"/>
                  </w:pPr>
                  <w:r>
                    <w:t xml:space="preserve">7%</w:t>
                  </w:r>
                </w:p>
              </w:tc>
              <w:tc>
                <w:tcPr/>
                <w:p>
                  <w:pPr>
                    <w:pStyle w:val="Compact"/>
                    <w:jc w:val="right"/>
                    <w:jc w:val="center"/>
                  </w:pPr>
                  <w:r>
                    <w:t xml:space="preserve">20%</w:t>
                  </w:r>
                </w:p>
              </w:tc>
            </w:tr>
            <w:tr>
              <w:tc>
                <w:tcPr>
                  <w:gridSpan w:val="1"/>
                  <w:vMerge w:val="continue"/>
                </w:tcPr>
                <w:p>
                  <w:pPr/>
                </w:p>
              </w:tc>
              <w:tc>
                <w:tcPr/>
                <w:p>
                  <w:pPr>
                    <w:pStyle w:val="Compact"/>
                    <w:jc w:val="left"/>
                    <w:jc w:val="center"/>
                  </w:pPr>
                  <w:r>
                    <w:rPr>
                      <w:b/>
                      <w:bCs/>
                    </w:rPr>
                    <w:t xml:space="preserve">Hydrology</w:t>
                  </w:r>
                  <w:r>
                    <w:t xml:space="preserve"> </w:t>
                  </w:r>
                  <w:r>
                    <w:rPr>
                      <w:i/>
                      <w:iCs/>
                    </w:rPr>
                    <w:t xml:space="preserve">Aspects of hydrology, such as distance to water</w:t>
                  </w:r>
                </w:p>
              </w:tc>
              <w:tc>
                <w:tcPr/>
                <w:p>
                  <w:pPr>
                    <w:pStyle w:val="Compact"/>
                    <w:jc w:val="right"/>
                    <w:jc w:val="center"/>
                  </w:pPr>
                  <w:r>
                    <w:t xml:space="preserve">14%</w:t>
                  </w:r>
                </w:p>
              </w:tc>
              <w:tc>
                <w:tcPr/>
                <w:p>
                  <w:pPr>
                    <w:pStyle w:val="Compact"/>
                    <w:jc w:val="right"/>
                    <w:jc w:val="center"/>
                  </w:pPr>
                  <w:r>
                    <w:t xml:space="preserve">8%</w:t>
                  </w:r>
                </w:p>
              </w:tc>
              <w:tc>
                <w:tcPr/>
                <w:p>
                  <w:pPr>
                    <w:pStyle w:val="Compact"/>
                    <w:jc w:val="right"/>
                    <w:jc w:val="center"/>
                  </w:pPr>
                  <w:r>
                    <w:t xml:space="preserve">25%</w:t>
                  </w:r>
                </w:p>
              </w:tc>
              <w:tc>
                <w:tcPr/>
                <w:p>
                  <w:pPr>
                    <w:pStyle w:val="Compact"/>
                    <w:jc w:val="right"/>
                    <w:jc w:val="center"/>
                  </w:pPr>
                  <w:r>
                    <w:t xml:space="preserve">14%</w:t>
                  </w:r>
                </w:p>
              </w:tc>
              <w:tc>
                <w:tcPr/>
                <w:p>
                  <w:pPr>
                    <w:pStyle w:val="Compact"/>
                    <w:jc w:val="right"/>
                    <w:jc w:val="center"/>
                  </w:pPr>
                  <w:r>
                    <w:t xml:space="preserve">11%</w:t>
                  </w:r>
                </w:p>
              </w:tc>
              <w:tc>
                <w:tcPr/>
                <w:p>
                  <w:pPr>
                    <w:pStyle w:val="Compact"/>
                    <w:jc w:val="right"/>
                    <w:jc w:val="center"/>
                  </w:pPr>
                  <w:r>
                    <w:t xml:space="preserve">4%</w:t>
                  </w:r>
                </w:p>
              </w:tc>
              <w:tc>
                <w:tcPr/>
                <w:p>
                  <w:pPr>
                    <w:pStyle w:val="Compact"/>
                    <w:jc w:val="right"/>
                    <w:jc w:val="center"/>
                  </w:pPr>
                  <w:r>
                    <w:t xml:space="preserve">37%</w:t>
                  </w:r>
                </w:p>
              </w:tc>
              <w:tc>
                <w:tcPr/>
                <w:p>
                  <w:pPr>
                    <w:pStyle w:val="Compact"/>
                    <w:jc w:val="right"/>
                    <w:jc w:val="center"/>
                  </w:pPr>
                  <w:r>
                    <w:t xml:space="preserve">33%</w:t>
                  </w:r>
                </w:p>
              </w:tc>
              <w:tc>
                <w:tcPr/>
                <w:p>
                  <w:pPr>
                    <w:pStyle w:val="Compact"/>
                    <w:jc w:val="right"/>
                    <w:jc w:val="center"/>
                  </w:pPr>
                  <w:r>
                    <w:t xml:space="preserve">29%</w:t>
                  </w:r>
                </w:p>
              </w:tc>
              <w:tc>
                <w:tcPr/>
                <w:p>
                  <w:pPr>
                    <w:pStyle w:val="Compact"/>
                    <w:jc w:val="right"/>
                    <w:jc w:val="center"/>
                  </w:pPr>
                  <w:r>
                    <w:t xml:space="preserve">21%</w:t>
                  </w:r>
                </w:p>
              </w:tc>
            </w:tr>
            <w:tr>
              <w:tc>
                <w:tcPr>
                  <w:gridSpan w:val="1"/>
                  <w:vMerge w:val="continue"/>
                </w:tcPr>
                <w:p>
                  <w:pPr/>
                </w:p>
              </w:tc>
              <w:tc>
                <w:tcPr/>
                <w:p>
                  <w:pPr>
                    <w:pStyle w:val="Compact"/>
                    <w:jc w:val="left"/>
                    <w:jc w:val="center"/>
                  </w:pPr>
                  <w:r>
                    <w:rPr>
                      <w:b/>
                      <w:bCs/>
                    </w:rPr>
                    <w:t xml:space="preserve">Any Environmental</w:t>
                  </w:r>
                </w:p>
              </w:tc>
              <w:tc>
                <w:tcPr/>
                <w:p>
                  <w:pPr>
                    <w:pStyle w:val="Compact"/>
                    <w:jc w:val="right"/>
                    <w:jc w:val="center"/>
                  </w:pPr>
                  <w:r>
                    <w:t xml:space="preserve">91%</w:t>
                  </w:r>
                </w:p>
              </w:tc>
              <w:tc>
                <w:tcPr/>
                <w:p>
                  <w:pPr>
                    <w:pStyle w:val="Compact"/>
                    <w:jc w:val="right"/>
                    <w:jc w:val="center"/>
                  </w:pPr>
                  <w:r>
                    <w:t xml:space="preserve">62%</w:t>
                  </w:r>
                </w:p>
              </w:tc>
              <w:tc>
                <w:tcPr/>
                <w:p>
                  <w:pPr>
                    <w:pStyle w:val="Compact"/>
                    <w:jc w:val="right"/>
                    <w:jc w:val="center"/>
                  </w:pPr>
                  <w:r>
                    <w:t xml:space="preserve">94%</w:t>
                  </w:r>
                </w:p>
              </w:tc>
              <w:tc>
                <w:tcPr/>
                <w:p>
                  <w:pPr>
                    <w:pStyle w:val="Compact"/>
                    <w:jc w:val="right"/>
                    <w:jc w:val="center"/>
                  </w:pPr>
                  <w:r>
                    <w:t xml:space="preserve">74%</w:t>
                  </w:r>
                </w:p>
              </w:tc>
              <w:tc>
                <w:tcPr/>
                <w:p>
                  <w:pPr>
                    <w:pStyle w:val="Compact"/>
                    <w:jc w:val="right"/>
                    <w:jc w:val="center"/>
                  </w:pPr>
                  <w:r>
                    <w:t xml:space="preserve">73%</w:t>
                  </w:r>
                </w:p>
              </w:tc>
              <w:tc>
                <w:tcPr/>
                <w:p>
                  <w:pPr>
                    <w:pStyle w:val="Compact"/>
                    <w:jc w:val="right"/>
                    <w:jc w:val="center"/>
                  </w:pPr>
                  <w:r>
                    <w:t xml:space="preserve">70%</w:t>
                  </w:r>
                </w:p>
              </w:tc>
              <w:tc>
                <w:tcPr/>
                <w:p>
                  <w:pPr>
                    <w:pStyle w:val="Compact"/>
                    <w:jc w:val="right"/>
                    <w:jc w:val="center"/>
                  </w:pPr>
                  <w:r>
                    <w:t xml:space="preserve">43%</w:t>
                  </w:r>
                </w:p>
              </w:tc>
              <w:tc>
                <w:tcPr/>
                <w:p>
                  <w:pPr>
                    <w:pStyle w:val="Compact"/>
                    <w:jc w:val="right"/>
                    <w:jc w:val="center"/>
                  </w:pPr>
                  <w:r>
                    <w:t xml:space="preserve">30%</w:t>
                  </w:r>
                </w:p>
              </w:tc>
              <w:tc>
                <w:tcPr/>
                <w:p>
                  <w:pPr>
                    <w:pStyle w:val="Compact"/>
                    <w:jc w:val="right"/>
                    <w:jc w:val="center"/>
                  </w:pPr>
                  <w:r>
                    <w:t xml:space="preserve">33%</w:t>
                  </w:r>
                </w:p>
              </w:tc>
              <w:tc>
                <w:tcPr/>
                <w:p>
                  <w:pPr>
                    <w:pStyle w:val="Compact"/>
                    <w:jc w:val="right"/>
                    <w:jc w:val="center"/>
                  </w:pPr>
                  <w:r>
                    <w:t xml:space="preserve">26%</w:t>
                  </w:r>
                </w:p>
              </w:tc>
            </w:tr>
            <w:tr>
              <w:tc>
                <w:tcPr>
                  <w:vMerge w:val="restart"/>
                </w:tcPr>
                <w:p>
                  <w:pPr>
                    <w:pStyle w:val="Compact"/>
                    <w:jc w:val="left"/>
                    <w:jc w:val="center"/>
                  </w:pPr>
                  <w:r>
                    <w:t xml:space="preserve">Structural covariates</w:t>
                  </w:r>
                </w:p>
              </w:tc>
              <w:tc>
                <w:tcPr/>
                <w:p>
                  <w:pPr>
                    <w:pStyle w:val="Compact"/>
                    <w:jc w:val="left"/>
                    <w:jc w:val="center"/>
                  </w:pPr>
                  <w:r>
                    <w:rPr>
                      <w:b/>
                      <w:bCs/>
                    </w:rPr>
                    <w:t xml:space="preserve">Primary occasion</w:t>
                  </w:r>
                  <w:r>
                    <w:t xml:space="preserve"> </w:t>
                  </w:r>
                  <w:r>
                    <w:rPr>
                      <w:i/>
                      <w:iCs/>
                    </w:rPr>
                    <w:t xml:space="preserve">Effect of the primary occasion</w:t>
                  </w:r>
                </w:p>
              </w:tc>
              <w:tc>
                <w:tcPr/>
                <w:p>
                  <w:pPr>
                    <w:pStyle w:val="Compact"/>
                    <w:jc w:val="right"/>
                    <w:jc w:val="center"/>
                  </w:pPr>
                  <w:r>
                    <w:t xml:space="preserve">65%</w:t>
                  </w:r>
                </w:p>
              </w:tc>
              <w:tc>
                <w:tcPr/>
                <w:p>
                  <w:pPr>
                    <w:pStyle w:val="Compact"/>
                    <w:jc w:val="right"/>
                    <w:jc w:val="center"/>
                  </w:pPr>
                  <w:r>
                    <w:t xml:space="preserve">1%</w:t>
                  </w:r>
                </w:p>
              </w:tc>
              <w:tc>
                <w:tcPr/>
                <w:p>
                  <w:pPr>
                    <w:pStyle w:val="Compact"/>
                    <w:jc w:val="right"/>
                    <w:jc w:val="center"/>
                  </w:pPr>
                  <w:r>
                    <w:t xml:space="preserve">44%</w:t>
                  </w:r>
                </w:p>
              </w:tc>
              <w:tc>
                <w:tcPr/>
                <w:p>
                  <w:pPr>
                    <w:pStyle w:val="Compact"/>
                    <w:jc w:val="right"/>
                    <w:jc w:val="center"/>
                  </w:pPr>
                  <w:r>
                    <w:t xml:space="preserve">39%</w:t>
                  </w:r>
                </w:p>
              </w:tc>
              <w:tc>
                <w:tcPr/>
                <w:p>
                  <w:pPr>
                    <w:pStyle w:val="Compact"/>
                    <w:jc w:val="right"/>
                    <w:jc w:val="center"/>
                  </w:pPr>
                  <w:r>
                    <w:t xml:space="preserve">38%</w:t>
                  </w:r>
                </w:p>
              </w:tc>
              <w:tc>
                <w:tcPr/>
                <w:p>
                  <w:pPr>
                    <w:pStyle w:val="Compact"/>
                    <w:jc w:val="right"/>
                    <w:jc w:val="center"/>
                  </w:pPr>
                  <w:r>
                    <w:t xml:space="preserve">61%</w:t>
                  </w:r>
                </w:p>
              </w:tc>
              <w:tc>
                <w:tcPr/>
                <w:p>
                  <w:pPr>
                    <w:pStyle w:val="Compact"/>
                    <w:jc w:val="right"/>
                    <w:jc w:val="center"/>
                  </w:pPr>
                  <w:r>
                    <w:t xml:space="preserve">99%</w:t>
                  </w:r>
                </w:p>
              </w:tc>
              <w:tc>
                <w:tcPr/>
                <w:p>
                  <w:pPr>
                    <w:pStyle w:val="Compact"/>
                    <w:jc w:val="right"/>
                    <w:jc w:val="center"/>
                  </w:pPr>
                  <w:r>
                    <w:t xml:space="preserve">0%</w:t>
                  </w:r>
                </w:p>
              </w:tc>
              <w:tc>
                <w:tcPr/>
                <w:p>
                  <w:pPr>
                    <w:pStyle w:val="Compact"/>
                    <w:jc w:val="right"/>
                    <w:jc w:val="center"/>
                  </w:pPr>
                  <w:r>
                    <w:t xml:space="preserve">15%</w:t>
                  </w:r>
                </w:p>
              </w:tc>
              <w:tc>
                <w:tcPr/>
                <w:p>
                  <w:pPr>
                    <w:pStyle w:val="Compact"/>
                    <w:jc w:val="right"/>
                    <w:jc w:val="center"/>
                  </w:pPr>
                  <w:r>
                    <w:t xml:space="preserve">8%</w:t>
                  </w:r>
                </w:p>
              </w:tc>
            </w:tr>
            <w:tr>
              <w:tc>
                <w:tcPr>
                  <w:gridSpan w:val="1"/>
                  <w:vMerge w:val="continue"/>
                </w:tcPr>
                <w:p>
                  <w:pPr/>
                </w:p>
              </w:tc>
              <w:tc>
                <w:tcPr/>
                <w:p>
                  <w:pPr>
                    <w:pStyle w:val="Compact"/>
                    <w:jc w:val="left"/>
                    <w:jc w:val="center"/>
                  </w:pPr>
                  <w:r>
                    <w:rPr>
                      <w:b/>
                      <w:bCs/>
                    </w:rPr>
                    <w:t xml:space="preserve">Observation</w:t>
                  </w:r>
                  <w:r>
                    <w:t xml:space="preserve"> </w:t>
                  </w:r>
                  <w:r>
                    <w:rPr>
                      <w:i/>
                      <w:iCs/>
                    </w:rPr>
                    <w:t xml:space="preserve">Details on the observation process</w:t>
                  </w:r>
                </w:p>
              </w:tc>
              <w:tc>
                <w:tcPr/>
                <w:p>
                  <w:pPr>
                    <w:pStyle w:val="Compact"/>
                    <w:jc w:val="right"/>
                    <w:jc w:val="center"/>
                  </w:pPr>
                  <w:r>
                    <w:t xml:space="preserve">24%</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24%</w:t>
                  </w:r>
                </w:p>
              </w:tc>
              <w:tc>
                <w:tcPr/>
                <w:p>
                  <w:pPr>
                    <w:pStyle w:val="Compact"/>
                    <w:jc w:val="right"/>
                    <w:jc w:val="center"/>
                  </w:pPr>
                  <w:r>
                    <w:t xml:space="preserve">93%</w:t>
                  </w:r>
                </w:p>
              </w:tc>
              <w:tc>
                <w:tcPr/>
                <w:p>
                  <w:pPr>
                    <w:pStyle w:val="Compact"/>
                    <w:jc w:val="right"/>
                    <w:jc w:val="center"/>
                  </w:pPr>
                  <w:r>
                    <w:t xml:space="preserve">7%</w:t>
                  </w:r>
                </w:p>
              </w:tc>
              <w:tc>
                <w:tcPr/>
                <w:p>
                  <w:pPr>
                    <w:pStyle w:val="Compact"/>
                    <w:jc w:val="right"/>
                    <w:jc w:val="center"/>
                  </w:pPr>
                  <w:r>
                    <w:t xml:space="preserve">8%</w:t>
                  </w:r>
                </w:p>
              </w:tc>
              <w:tc>
                <w:tcPr/>
                <w:p>
                  <w:pPr>
                    <w:pStyle w:val="Compact"/>
                    <w:jc w:val="right"/>
                    <w:jc w:val="center"/>
                  </w:pPr>
                  <w:r>
                    <w:t xml:space="preserve">4%</w:t>
                  </w:r>
                </w:p>
              </w:tc>
            </w:tr>
            <w:tr>
              <w:tc>
                <w:tcPr>
                  <w:gridSpan w:val="1"/>
                  <w:vMerge w:val="continue"/>
                </w:tcPr>
                <w:p>
                  <w:pPr/>
                </w:p>
              </w:tc>
              <w:tc>
                <w:tcPr/>
                <w:p>
                  <w:pPr>
                    <w:pStyle w:val="Compact"/>
                    <w:jc w:val="left"/>
                    <w:jc w:val="center"/>
                  </w:pPr>
                  <w:r>
                    <w:rPr>
                      <w:b/>
                      <w:bCs/>
                    </w:rPr>
                    <w:t xml:space="preserve">Secondary occasion</w:t>
                  </w:r>
                  <w:r>
                    <w:t xml:space="preserve"> </w:t>
                  </w:r>
                  <w:r>
                    <w:rPr>
                      <w:i/>
                      <w:iCs/>
                    </w:rPr>
                    <w:t xml:space="preserve">Effect of the secondary occasion</w:t>
                  </w:r>
                </w:p>
              </w:tc>
              <w:tc>
                <w:tcPr/>
                <w:p>
                  <w:pPr>
                    <w:pStyle w:val="Compact"/>
                    <w:jc w:val="right"/>
                    <w:jc w:val="center"/>
                  </w:pPr>
                  <w:r>
                    <w:t xml:space="preserve">15%</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15%</w:t>
                  </w:r>
                </w:p>
              </w:tc>
              <w:tc>
                <w:tcPr/>
                <w:p>
                  <w:pPr>
                    <w:pStyle w:val="Compact"/>
                    <w:jc w:val="right"/>
                    <w:jc w:val="center"/>
                  </w:pPr>
                  <w:r>
                    <w:t xml:space="preserve">100%</w:t>
                  </w:r>
                </w:p>
              </w:tc>
              <w:tc>
                <w:tcPr/>
                <w:p>
                  <w:pPr>
                    <w:pStyle w:val="Compact"/>
                    <w:jc w:val="right"/>
                    <w:jc w:val="center"/>
                  </w:pPr>
                  <w:r>
                    <w:t xml:space="preserve">10%</w:t>
                  </w:r>
                </w:p>
              </w:tc>
              <w:tc>
                <w:tcPr/>
                <w:p>
                  <w:pPr>
                    <w:pStyle w:val="Compact"/>
                    <w:jc w:val="right"/>
                    <w:jc w:val="center"/>
                  </w:pPr>
                  <w:r>
                    <w:t xml:space="preserve">13%</w:t>
                  </w:r>
                </w:p>
              </w:tc>
              <w:tc>
                <w:tcPr/>
                <w:p>
                  <w:pPr>
                    <w:pStyle w:val="Compact"/>
                    <w:jc w:val="right"/>
                    <w:jc w:val="center"/>
                  </w:pPr>
                  <w:r>
                    <w:t xml:space="preserve">0%</w:t>
                  </w:r>
                </w:p>
              </w:tc>
            </w:tr>
            <w:tr>
              <w:tc>
                <w:tcPr>
                  <w:gridSpan w:val="1"/>
                  <w:vMerge w:val="continue"/>
                </w:tcPr>
                <w:p>
                  <w:pPr/>
                </w:p>
              </w:tc>
              <w:tc>
                <w:tcPr/>
                <w:p>
                  <w:pPr>
                    <w:pStyle w:val="Compact"/>
                    <w:jc w:val="left"/>
                    <w:jc w:val="center"/>
                  </w:pPr>
                  <w:r>
                    <w:rPr>
                      <w:b/>
                      <w:bCs/>
                    </w:rPr>
                    <w:t xml:space="preserve">Site effect</w:t>
                  </w:r>
                  <w:r>
                    <w:t xml:space="preserve"> </w:t>
                  </w:r>
                  <w:r>
                    <w:rPr>
                      <w:i/>
                      <w:iCs/>
                    </w:rPr>
                    <w:t xml:space="preserve">Site-level effects</w:t>
                  </w:r>
                </w:p>
              </w:tc>
              <w:tc>
                <w:tcPr/>
                <w:p>
                  <w:pPr>
                    <w:pStyle w:val="Compact"/>
                    <w:jc w:val="right"/>
                    <w:jc w:val="center"/>
                  </w:pPr>
                  <w:r>
                    <w:t xml:space="preserve">3%</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gridSpan w:val="1"/>
                  <w:vMerge w:val="continue"/>
                </w:tcPr>
                <w:p>
                  <w:pPr/>
                </w:p>
              </w:tc>
              <w:tc>
                <w:tcPr/>
                <w:p>
                  <w:pPr>
                    <w:pStyle w:val="Compact"/>
                    <w:jc w:val="left"/>
                    <w:jc w:val="center"/>
                  </w:pPr>
                  <w:r>
                    <w:rPr>
                      <w:b/>
                      <w:bCs/>
                    </w:rPr>
                    <w:t xml:space="preserve">Other structural</w:t>
                  </w:r>
                  <w:r>
                    <w:t xml:space="preserve"> </w:t>
                  </w:r>
                  <w:r>
                    <w:rPr>
                      <w:i/>
                      <w:iCs/>
                    </w:rPr>
                    <w:t xml:space="preserve">Other structural covariate not otherwise listed</w:t>
                  </w:r>
                </w:p>
              </w:tc>
              <w:tc>
                <w:tcPr/>
                <w:p>
                  <w:pPr>
                    <w:pStyle w:val="Compact"/>
                    <w:jc w:val="right"/>
                    <w:jc w:val="center"/>
                  </w:pPr>
                  <w:r>
                    <w:t xml:space="preserve">3%</w:t>
                  </w:r>
                </w:p>
              </w:tc>
              <w:tc>
                <w:tcPr/>
                <w:p>
                  <w:pPr>
                    <w:pStyle w:val="Compact"/>
                    <w:jc w:val="righ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2%</w:t>
                  </w:r>
                </w:p>
              </w:tc>
              <w:tc>
                <w:tcPr/>
                <w:p>
                  <w:pPr>
                    <w:pStyle w:val="Compact"/>
                    <w:jc w:val="right"/>
                    <w:jc w:val="center"/>
                  </w:pPr>
                  <w:r>
                    <w:t xml:space="preserve">33%</w:t>
                  </w:r>
                </w:p>
              </w:tc>
              <w:tc>
                <w:tcPr/>
                <w:p>
                  <w:pPr>
                    <w:pStyle w:val="Compact"/>
                    <w:jc w:val="right"/>
                    <w:jc w:val="center"/>
                  </w:pPr>
                  <w:r>
                    <w:t xml:space="preserve">33%</w:t>
                  </w:r>
                </w:p>
              </w:tc>
              <w:tc>
                <w:tcPr/>
                <w:p>
                  <w:pPr>
                    <w:pStyle w:val="Compact"/>
                    <w:jc w:val="right"/>
                    <w:jc w:val="center"/>
                  </w:pPr>
                  <w:r>
                    <w:t xml:space="preserve">0%</w:t>
                  </w:r>
                </w:p>
              </w:tc>
              <w:tc>
                <w:tcPr/>
                <w:p>
                  <w:pPr>
                    <w:pStyle w:val="Compact"/>
                    <w:jc w:val="right"/>
                    <w:jc w:val="center"/>
                  </w:pPr>
                  <w:r>
                    <w:t xml:space="preserve">33%</w:t>
                  </w:r>
                </w:p>
              </w:tc>
            </w:tr>
            <w:tr>
              <w:tc>
                <w:tcPr>
                  <w:gridSpan w:val="1"/>
                  <w:vMerge w:val="continue"/>
                </w:tcPr>
                <w:p>
                  <w:pPr/>
                </w:p>
              </w:tc>
              <w:tc>
                <w:tcPr/>
                <w:p>
                  <w:pPr>
                    <w:pStyle w:val="Compact"/>
                    <w:jc w:val="left"/>
                    <w:jc w:val="center"/>
                  </w:pPr>
                  <w:r>
                    <w:rPr>
                      <w:b/>
                      <w:bCs/>
                    </w:rPr>
                    <w:t xml:space="preserve">Species effect</w:t>
                  </w:r>
                  <w:r>
                    <w:t xml:space="preserve"> </w:t>
                  </w:r>
                  <w:r>
                    <w:rPr>
                      <w:i/>
                      <w:iCs/>
                    </w:rPr>
                    <w:t xml:space="preserve">Species-level effects</w:t>
                  </w:r>
                </w:p>
              </w:tc>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0%</w:t>
                  </w:r>
                </w:p>
              </w:tc>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50%</w:t>
                  </w:r>
                </w:p>
              </w:tc>
            </w:tr>
            <w:tr>
              <w:tc>
                <w:tcPr>
                  <w:gridSpan w:val="1"/>
                  <w:vMerge w:val="continue"/>
                </w:tcPr>
                <w:p>
                  <w:pPr/>
                </w:p>
              </w:tc>
              <w:tc>
                <w:tcPr/>
                <w:p>
                  <w:pPr>
                    <w:pStyle w:val="Compact"/>
                    <w:jc w:val="left"/>
                    <w:jc w:val="center"/>
                  </w:pPr>
                  <w:r>
                    <w:rPr>
                      <w:b/>
                      <w:bCs/>
                    </w:rPr>
                    <w:t xml:space="preserve">Any Structural</w:t>
                  </w:r>
                </w:p>
              </w:tc>
              <w:tc>
                <w:tcPr/>
                <w:p>
                  <w:pPr>
                    <w:pStyle w:val="Compact"/>
                    <w:jc w:val="right"/>
                    <w:jc w:val="center"/>
                  </w:pPr>
                  <w:r>
                    <w:t xml:space="preserve">81%</w:t>
                  </w:r>
                </w:p>
              </w:tc>
              <w:tc>
                <w:tcPr/>
                <w:p>
                  <w:pPr>
                    <w:pStyle w:val="Compact"/>
                    <w:jc w:val="right"/>
                    <w:jc w:val="center"/>
                  </w:pPr>
                  <w:r>
                    <w:t xml:space="preserve">3%</w:t>
                  </w:r>
                </w:p>
              </w:tc>
              <w:tc>
                <w:tcPr/>
                <w:p>
                  <w:pPr>
                    <w:pStyle w:val="Compact"/>
                    <w:jc w:val="right"/>
                    <w:jc w:val="center"/>
                  </w:pPr>
                  <w:r>
                    <w:t xml:space="preserve">44%</w:t>
                  </w:r>
                </w:p>
              </w:tc>
              <w:tc>
                <w:tcPr/>
                <w:p>
                  <w:pPr>
                    <w:pStyle w:val="Compact"/>
                    <w:jc w:val="right"/>
                    <w:jc w:val="center"/>
                  </w:pPr>
                  <w:r>
                    <w:t xml:space="preserve">41%</w:t>
                  </w:r>
                </w:p>
              </w:tc>
              <w:tc>
                <w:tcPr/>
                <w:p>
                  <w:pPr>
                    <w:pStyle w:val="Compact"/>
                    <w:jc w:val="right"/>
                    <w:jc w:val="center"/>
                  </w:pPr>
                  <w:r>
                    <w:t xml:space="preserve">40%</w:t>
                  </w:r>
                </w:p>
              </w:tc>
              <w:tc>
                <w:tcPr/>
                <w:p>
                  <w:pPr>
                    <w:pStyle w:val="Compact"/>
                    <w:jc w:val="right"/>
                    <w:jc w:val="center"/>
                  </w:pPr>
                  <w:r>
                    <w:t xml:space="preserve">80%</w:t>
                  </w:r>
                </w:p>
              </w:tc>
              <w:tc>
                <w:tcPr/>
                <w:p>
                  <w:pPr>
                    <w:pStyle w:val="Compact"/>
                    <w:jc w:val="right"/>
                    <w:jc w:val="center"/>
                  </w:pPr>
                  <w:r>
                    <w:t xml:space="preserve">94%</w:t>
                  </w:r>
                </w:p>
              </w:tc>
              <w:tc>
                <w:tcPr/>
                <w:p>
                  <w:pPr>
                    <w:pStyle w:val="Compact"/>
                    <w:jc w:val="right"/>
                    <w:jc w:val="center"/>
                  </w:pPr>
                  <w:r>
                    <w:t xml:space="preserve">4%</w:t>
                  </w:r>
                </w:p>
              </w:tc>
              <w:tc>
                <w:tcPr/>
                <w:p>
                  <w:pPr>
                    <w:pStyle w:val="Compact"/>
                    <w:jc w:val="right"/>
                    <w:jc w:val="center"/>
                  </w:pPr>
                  <w:r>
                    <w:t xml:space="preserve">16%</w:t>
                  </w:r>
                </w:p>
              </w:tc>
              <w:tc>
                <w:tcPr/>
                <w:p>
                  <w:pPr>
                    <w:pStyle w:val="Compact"/>
                    <w:jc w:val="right"/>
                    <w:jc w:val="center"/>
                  </w:pPr>
                  <w:r>
                    <w:t xml:space="preserve">8%</w:t>
                  </w:r>
                </w:p>
              </w:tc>
            </w:tr>
            <w:tr>
              <w:tc>
                <w:tcPr/>
                <w:p>
                  <w:pPr>
                    <w:pStyle w:val="Compact"/>
                    <w:jc w:val="left"/>
                    <w:jc w:val="center"/>
                  </w:pPr>
                  <w:r>
                    <w:t xml:space="preserve">All covariates</w:t>
                  </w:r>
                </w:p>
              </w:tc>
              <w:tc>
                <w:tcPr/>
                <w:p>
                  <w:pPr>
                    <w:pStyle w:val="Compact"/>
                    <w:jc w:val="left"/>
                    <w:jc w:val="center"/>
                  </w:pPr>
                  <w:r>
                    <w:rPr>
                      <w:b/>
                      <w:bCs/>
                    </w:rPr>
                    <w:t xml:space="preserve">All covariates</w:t>
                  </w:r>
                </w:p>
              </w:tc>
              <w:tc>
                <w:tcPr/>
                <w:p>
                  <w:pPr>
                    <w:pStyle w:val="Compact"/>
                    <w:jc w:val="right"/>
                    <w:jc w:val="center"/>
                  </w:pPr>
                  <w:r>
                    <w:t xml:space="preserve">99%</w:t>
                  </w:r>
                </w:p>
              </w:tc>
              <w:tc>
                <w:tcPr/>
                <w:p>
                  <w:pPr>
                    <w:pStyle w:val="Compact"/>
                    <w:jc w:val="right"/>
                    <w:jc w:val="center"/>
                  </w:pPr>
                  <w:r>
                    <w:t xml:space="preserve">63%</w:t>
                  </w:r>
                </w:p>
              </w:tc>
              <w:tc>
                <w:tcPr/>
                <w:p>
                  <w:pPr>
                    <w:pStyle w:val="Compact"/>
                    <w:jc w:val="right"/>
                    <w:jc w:val="center"/>
                  </w:pPr>
                  <w:r>
                    <w:t xml:space="preserve">100%</w:t>
                  </w:r>
                </w:p>
              </w:tc>
              <w:tc>
                <w:tcPr/>
                <w:p>
                  <w:pPr>
                    <w:pStyle w:val="Compact"/>
                    <w:jc w:val="right"/>
                    <w:jc w:val="center"/>
                  </w:pPr>
                  <w:r>
                    <w:t xml:space="preserve">85%</w:t>
                  </w:r>
                </w:p>
              </w:tc>
              <w:tc>
                <w:tcPr/>
                <w:p>
                  <w:pPr>
                    <w:pStyle w:val="Compact"/>
                    <w:jc w:val="right"/>
                    <w:jc w:val="center"/>
                  </w:pPr>
                  <w:r>
                    <w:t xml:space="preserve">85%</w:t>
                  </w:r>
                </w:p>
              </w:tc>
              <w:tc>
                <w:tcPr/>
                <w:p>
                  <w:pPr>
                    <w:pStyle w:val="Compact"/>
                    <w:jc w:val="right"/>
                    <w:jc w:val="center"/>
                  </w:pPr>
                  <w:r>
                    <w:t xml:space="preserve">97%</w:t>
                  </w:r>
                </w:p>
              </w:tc>
              <w:tc>
                <w:tcPr/>
                <w:p>
                  <w:pPr>
                    <w:pStyle w:val="Compact"/>
                    <w:jc w:val="right"/>
                    <w:jc w:val="center"/>
                  </w:pPr>
                  <w:r>
                    <w:t xml:space="preserve">54%</w:t>
                  </w:r>
                </w:p>
              </w:tc>
              <w:tc>
                <w:tcPr/>
                <w:p>
                  <w:pPr>
                    <w:pStyle w:val="Compact"/>
                    <w:jc w:val="right"/>
                    <w:jc w:val="center"/>
                  </w:pPr>
                  <w:r>
                    <w:t xml:space="preserve">20%</w:t>
                  </w:r>
                </w:p>
              </w:tc>
              <w:tc>
                <w:tcPr/>
                <w:p>
                  <w:pPr>
                    <w:pStyle w:val="Compact"/>
                    <w:jc w:val="right"/>
                    <w:jc w:val="center"/>
                  </w:pPr>
                  <w:r>
                    <w:t xml:space="preserve">35%</w:t>
                  </w:r>
                </w:p>
              </w:tc>
              <w:tc>
                <w:tcPr/>
                <w:p>
                  <w:pPr>
                    <w:pStyle w:val="Compact"/>
                    <w:jc w:val="right"/>
                    <w:jc w:val="center"/>
                  </w:pPr>
                  <w:r>
                    <w:t xml:space="preserve">24%</w:t>
                  </w:r>
                </w:p>
              </w:tc>
            </w:tr>
          </w:tbl>
          <w:bookmarkEnd w:id="45"/>
          <w:p/>
        </w:tc>
      </w:tr>
    </w:tbl>
    <w:p>
      <w:pPr>
        <w:pStyle w:val="BodyText"/>
      </w:pPr>
      <w:r>
        <w:t xml:space="preserve">More covariates.</w:t>
      </w:r>
    </w:p>
    <w:tbl>
      <w:tblPr>
        <w:tblStyle w:val="Table"/>
        <w:tblW w:type="pct" w:w="5000"/>
        <w:tblLayout w:type="fixed"/>
        <w:tblLook w:firstRow="0" w:lastRow="0" w:firstColumn="0" w:lastColumn="0" w:noHBand="0" w:noVBand="0" w:val="0000"/>
      </w:tblPr>
      <w:tblGrid>
        <w:gridCol w:w="7920"/>
      </w:tblGrid>
      <w:tr>
        <w:tc>
          <w:tcPr/>
          <w:bookmarkStart w:id="49" w:name="fig-covariates"/>
          <w:p>
            <w:pPr>
              <w:pStyle w:val="Compact"/>
              <w:jc w:val="center"/>
            </w:pPr>
            <w:r>
              <w:drawing>
                <wp:inline>
                  <wp:extent cx="3810000" cy="2540000"/>
                  <wp:effectExtent b="0" l="0" r="0" t="0"/>
                  <wp:docPr descr="" title="" id="47" name="Picture"/>
                  <a:graphic>
                    <a:graphicData uri="http://schemas.openxmlformats.org/drawingml/2006/picture">
                      <pic:pic>
                        <pic:nvPicPr>
                          <pic:cNvPr descr="Figures/CovParamPlot.jpe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number of covariates considered for each parameter across all studies in our sample.</w:t>
            </w:r>
            <w:r>
              <w:t xml:space="preserve"> </w:t>
            </w:r>
            <w:r>
              <w:t xml:space="preserve">‘Occupancy’</w:t>
            </w:r>
            <w:r>
              <w:t xml:space="preserve"> </w:t>
            </w:r>
            <w:r>
              <w:t xml:space="preserve">given here represents the alternative parameterisation of the DOM which jointly estimates Occupancy for every season, Colonisation, and Detection, where Extinction is a derived parameter; this differs from the more popular Initial occupancy/Colonisation/Extinction/Detection parameterisation. Here, a</w:t>
            </w:r>
            <w:r>
              <w:t xml:space="preserve"> </w:t>
            </w:r>
            <w:r>
              <w:t xml:space="preserve">‘covariate’</w:t>
            </w:r>
            <w:r>
              <w:t xml:space="preserve"> </w:t>
            </w:r>
            <w:r>
              <w:t xml:space="preserve">is defined as each distinct covariate considered for inclusion. Linear and quadratic representations of the same covariate are counted as one covariate.</w:t>
            </w:r>
          </w:p>
          <w:bookmarkEnd w:id="49"/>
        </w:tc>
      </w:tr>
    </w:tbl>
    <w:p>
      <w:pPr>
        <w:pStyle w:val="BodyText"/>
      </w:pPr>
      <w:r>
        <w:t xml:space="preserve">Modelling summary.</w:t>
      </w:r>
    </w:p>
    <w:tbl>
      <w:tblPr>
        <w:tblStyle w:val="Table"/>
        <w:tblW w:type="pct" w:w="5000"/>
        <w:tblLayout w:type="fixed"/>
        <w:tblLook w:firstRow="0" w:lastRow="0" w:firstColumn="0" w:lastColumn="0" w:noHBand="0" w:noVBand="0" w:val="0000"/>
      </w:tblPr>
      <w:tblGrid>
        <w:gridCol w:w="7920"/>
      </w:tblGrid>
      <w:tr>
        <w:tc>
          <w:tcPr/>
          <w:bookmarkStart w:id="50" w:name="tbl-modelling"/>
          <w:p>
            <w:pPr>
              <w:jc w:val="center"/>
            </w:pPr>
            <w:pPr>
              <w:jc w:val="start"/>
              <w:spacing w:before="200"/>
              <w:pStyle w:val="ImageCaption"/>
            </w:pPr>
            <w:r>
              <w:t xml:space="preserve">Table 2: Modelling practices in dynamic occupancy models, subset by frequentist or bayesian implementations. The median covariate count presented here represents the median quantity of covariates considered for each model parameter across the studies in our review. The model selection methods represented in this table are non-exclusive and some articles employ multiple approaches. 2 models included in the</w:t>
            </w:r>
            <w:r>
              <w:t xml:space="preserve"> </w:t>
            </w:r>
            <w:r>
              <w:t xml:space="preserve">‘Overall’</w:t>
            </w:r>
            <w:r>
              <w:t xml:space="preserve"> </w:t>
            </w:r>
            <w:r>
              <w:t xml:space="preserve">column are neural network based and fall into neither the Frequentist or Bayesian categories.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jc w:val="right"/>
                    <w:jc w:val="center"/>
                  </w:pPr>
                  <w:r>
                    <w:t xml:space="preserve">Frequentist</w:t>
                  </w:r>
                </w:p>
              </w:tc>
              <w:tc>
                <w:tcPr/>
                <w:p>
                  <w:pPr>
                    <w:pStyle w:val="Compact"/>
                    <w:jc w:val="right"/>
                    <w:jc w:val="center"/>
                  </w:pPr>
                  <w:r>
                    <w:t xml:space="preserve">Bayesian</w:t>
                  </w:r>
                </w:p>
              </w:tc>
              <w:tc>
                <w:tcPr/>
                <w:p>
                  <w:pPr>
                    <w:pStyle w:val="Compact"/>
                    <w:jc w:val="right"/>
                    <w:jc w:val="center"/>
                  </w:pPr>
                  <w:r>
                    <w:t xml:space="preserve">All models</w:t>
                  </w:r>
                </w:p>
              </w:tc>
            </w:tr>
            <w:tr>
              <w:tc>
                <w:tcPr>
                  <w:gridSpan w:val="4"/>
                </w:tcPr>
                <w:p>
                  <w:pPr>
                    <w:pStyle w:val="Compact"/>
                  </w:pPr>
                </w:p>
              </w:tc>
            </w:tr>
            <w:tr>
              <w:tc>
                <w:tcPr/>
                <w:p>
                  <w:pPr>
                    <w:pStyle w:val="Compact"/>
                    <w:jc w:val="left"/>
                    <w:jc w:val="center"/>
                  </w:pPr>
                  <w:r>
                    <w:t xml:space="preserve">Number of studies</w:t>
                  </w:r>
                </w:p>
              </w:tc>
              <w:tc>
                <w:tcPr/>
                <w:p>
                  <w:pPr>
                    <w:pStyle w:val="Compact"/>
                    <w:jc w:val="right"/>
                    <w:jc w:val="center"/>
                  </w:pPr>
                  <w:r>
                    <w:t xml:space="preserve">76</w:t>
                  </w:r>
                </w:p>
              </w:tc>
              <w:tc>
                <w:tcPr/>
                <w:p>
                  <w:pPr>
                    <w:pStyle w:val="Compact"/>
                    <w:jc w:val="right"/>
                    <w:jc w:val="center"/>
                  </w:pPr>
                  <w:r>
                    <w:t xml:space="preserve">24</w:t>
                  </w:r>
                </w:p>
              </w:tc>
              <w:tc>
                <w:tcPr/>
                <w:p>
                  <w:pPr>
                    <w:pStyle w:val="Compact"/>
                    <w:jc w:val="right"/>
                    <w:jc w:val="center"/>
                  </w:pPr>
                  <w:r>
                    <w:t xml:space="preserve">102</w:t>
                  </w:r>
                </w:p>
              </w:tc>
            </w:tr>
            <w:tr>
              <w:tc>
                <w:tcPr/>
                <w:p>
                  <w:pPr>
                    <w:pStyle w:val="Compact"/>
                    <w:jc w:val="left"/>
                    <w:jc w:val="center"/>
                  </w:pPr>
                  <w:r>
                    <w:t xml:space="preserve">Median covariates considered per parameter</w:t>
                  </w:r>
                </w:p>
              </w:tc>
              <w:tc>
                <w:tcPr/>
                <w:p>
                  <w:pPr>
                    <w:pStyle w:val="Compact"/>
                    <w:jc w:val="right"/>
                    <w:jc w:val="center"/>
                  </w:pPr>
                  <w:r>
                    <w:t xml:space="preserve">3</w:t>
                  </w:r>
                </w:p>
              </w:tc>
              <w:tc>
                <w:tcPr/>
                <w:p>
                  <w:pPr>
                    <w:pStyle w:val="Compact"/>
                    <w:jc w:val="right"/>
                    <w:jc w:val="center"/>
                  </w:pPr>
                  <w:r>
                    <w:t xml:space="preserve">2.12</w:t>
                  </w:r>
                </w:p>
              </w:tc>
              <w:tc>
                <w:tcPr/>
                <w:p>
                  <w:pPr>
                    <w:pStyle w:val="Compact"/>
                    <w:jc w:val="right"/>
                    <w:jc w:val="center"/>
                  </w:pPr>
                  <w:r>
                    <w:t xml:space="preserve">2.75</w:t>
                  </w:r>
                </w:p>
              </w:tc>
            </w:tr>
            <w:tr>
              <w:tc>
                <w:tcPr>
                  <w:gridSpan w:val="4"/>
                </w:tcPr>
                <w:p>
                  <w:pPr>
                    <w:pStyle w:val="Compact"/>
                    <w:jc w:val="left"/>
                    <w:jc w:val="center"/>
                  </w:pPr>
                  <w:r>
                    <w:t xml:space="preserve">Covariate selection methods</w:t>
                  </w:r>
                </w:p>
              </w:tc>
            </w:tr>
            <w:tr>
              <w:tc>
                <w:tcPr/>
                <w:p>
                  <w:pPr>
                    <w:pStyle w:val="Compact"/>
                    <w:jc w:val="left"/>
                    <w:jc w:val="center"/>
                  </w:pPr>
                  <w:r>
                    <w:t xml:space="preserve">Percentage using any model selection approach</w:t>
                  </w:r>
                </w:p>
              </w:tc>
              <w:tc>
                <w:tcPr/>
                <w:p>
                  <w:pPr>
                    <w:pStyle w:val="Compact"/>
                    <w:jc w:val="right"/>
                    <w:jc w:val="center"/>
                  </w:pPr>
                  <w:r>
                    <w:t xml:space="preserve">95%</w:t>
                  </w:r>
                </w:p>
              </w:tc>
              <w:tc>
                <w:tcPr/>
                <w:p>
                  <w:pPr>
                    <w:pStyle w:val="Compact"/>
                    <w:jc w:val="right"/>
                    <w:jc w:val="center"/>
                  </w:pPr>
                  <w:r>
                    <w:t xml:space="preserve">33%</w:t>
                  </w:r>
                </w:p>
              </w:tc>
              <w:tc>
                <w:tcPr/>
                <w:p>
                  <w:pPr>
                    <w:pStyle w:val="Compact"/>
                    <w:jc w:val="right"/>
                    <w:jc w:val="center"/>
                  </w:pPr>
                  <w:r>
                    <w:t xml:space="preserve">80%</w:t>
                  </w:r>
                </w:p>
              </w:tc>
            </w:tr>
            <w:tr>
              <w:tc>
                <w:tcPr/>
                <w:p>
                  <w:pPr>
                    <w:pStyle w:val="Compact"/>
                    <w:jc w:val="left"/>
                    <w:jc w:val="center"/>
                  </w:pPr>
                  <w:r>
                    <w:t xml:space="preserve">Percentage comparing models in a candidate set</w:t>
                  </w:r>
                </w:p>
              </w:tc>
              <w:tc>
                <w:tcPr/>
                <w:p>
                  <w:pPr>
                    <w:pStyle w:val="Compact"/>
                    <w:jc w:val="right"/>
                    <w:jc w:val="center"/>
                  </w:pPr>
                  <w:r>
                    <w:t xml:space="preserve">45%</w:t>
                  </w:r>
                </w:p>
              </w:tc>
              <w:tc>
                <w:tcPr/>
                <w:p>
                  <w:pPr>
                    <w:pStyle w:val="Compact"/>
                    <w:jc w:val="right"/>
                    <w:jc w:val="center"/>
                  </w:pPr>
                  <w:r>
                    <w:t xml:space="preserve">12%</w:t>
                  </w:r>
                </w:p>
              </w:tc>
              <w:tc>
                <w:tcPr/>
                <w:p>
                  <w:pPr>
                    <w:pStyle w:val="Compact"/>
                    <w:jc w:val="right"/>
                    <w:jc w:val="center"/>
                  </w:pPr>
                  <w:r>
                    <w:t xml:space="preserve">36%</w:t>
                  </w:r>
                </w:p>
              </w:tc>
            </w:tr>
            <w:tr>
              <w:tc>
                <w:tcPr/>
                <w:p>
                  <w:pPr>
                    <w:pStyle w:val="Compact"/>
                    <w:jc w:val="left"/>
                    <w:jc w:val="center"/>
                  </w:pPr>
                  <w:r>
                    <w:t xml:space="preserve">Percentage using procedural model selection</w:t>
                  </w:r>
                </w:p>
              </w:tc>
              <w:tc>
                <w:tcPr/>
                <w:p>
                  <w:pPr>
                    <w:pStyle w:val="Compact"/>
                    <w:jc w:val="right"/>
                    <w:jc w:val="center"/>
                  </w:pPr>
                  <w:r>
                    <w:t xml:space="preserve">37%</w:t>
                  </w:r>
                </w:p>
              </w:tc>
              <w:tc>
                <w:tcPr/>
                <w:p>
                  <w:pPr>
                    <w:pStyle w:val="Compact"/>
                    <w:jc w:val="right"/>
                    <w:jc w:val="center"/>
                  </w:pPr>
                  <w:r>
                    <w:t xml:space="preserve">0%</w:t>
                  </w:r>
                </w:p>
              </w:tc>
              <w:tc>
                <w:tcPr/>
                <w:p>
                  <w:pPr>
                    <w:pStyle w:val="Compact"/>
                    <w:jc w:val="right"/>
                    <w:jc w:val="center"/>
                  </w:pPr>
                  <w:r>
                    <w:t xml:space="preserve">27%</w:t>
                  </w:r>
                </w:p>
              </w:tc>
            </w:tr>
            <w:tr>
              <w:tc>
                <w:tcPr/>
                <w:p>
                  <w:pPr>
                    <w:pStyle w:val="Compact"/>
                    <w:jc w:val="left"/>
                    <w:jc w:val="center"/>
                  </w:pPr>
                  <w:r>
                    <w:t xml:space="preserve">Percentage selecting covariates with simpler models</w:t>
                  </w:r>
                </w:p>
              </w:tc>
              <w:tc>
                <w:tcPr/>
                <w:p>
                  <w:pPr>
                    <w:pStyle w:val="Compact"/>
                    <w:jc w:val="right"/>
                    <w:jc w:val="center"/>
                  </w:pPr>
                  <w:r>
                    <w:t xml:space="preserve">8%</w:t>
                  </w:r>
                </w:p>
              </w:tc>
              <w:tc>
                <w:tcPr/>
                <w:p>
                  <w:pPr>
                    <w:pStyle w:val="Compact"/>
                    <w:jc w:val="right"/>
                    <w:jc w:val="center"/>
                  </w:pPr>
                  <w:r>
                    <w:t xml:space="preserve">4%</w:t>
                  </w:r>
                </w:p>
              </w:tc>
              <w:tc>
                <w:tcPr/>
                <w:p>
                  <w:pPr>
                    <w:pStyle w:val="Compact"/>
                    <w:jc w:val="right"/>
                    <w:jc w:val="center"/>
                  </w:pPr>
                  <w:r>
                    <w:t xml:space="preserve">7%</w:t>
                  </w:r>
                </w:p>
              </w:tc>
            </w:tr>
            <w:tr>
              <w:tc>
                <w:tcPr/>
                <w:p>
                  <w:pPr>
                    <w:pStyle w:val="Compact"/>
                    <w:jc w:val="left"/>
                    <w:jc w:val="center"/>
                  </w:pPr>
                  <w:r>
                    <w:t xml:space="preserve">Percentage using model-averaging</w:t>
                  </w:r>
                </w:p>
              </w:tc>
              <w:tc>
                <w:tcPr/>
                <w:p>
                  <w:pPr>
                    <w:pStyle w:val="Compact"/>
                    <w:jc w:val="right"/>
                    <w:jc w:val="center"/>
                  </w:pPr>
                  <w:r>
                    <w:t xml:space="preserve">47%</w:t>
                  </w:r>
                </w:p>
              </w:tc>
              <w:tc>
                <w:tcPr/>
                <w:p>
                  <w:pPr>
                    <w:pStyle w:val="Compact"/>
                    <w:jc w:val="right"/>
                    <w:jc w:val="center"/>
                  </w:pPr>
                  <w:r>
                    <w:t xml:space="preserve">4%</w:t>
                  </w:r>
                </w:p>
              </w:tc>
              <w:tc>
                <w:tcPr/>
                <w:p>
                  <w:pPr>
                    <w:pStyle w:val="Compact"/>
                    <w:jc w:val="right"/>
                    <w:jc w:val="center"/>
                  </w:pPr>
                  <w:r>
                    <w:t xml:space="preserve">36%</w:t>
                  </w:r>
                </w:p>
              </w:tc>
            </w:tr>
            <w:tr>
              <w:tc>
                <w:tcPr>
                  <w:gridSpan w:val="4"/>
                </w:tcPr>
                <w:p>
                  <w:pPr>
                    <w:pStyle w:val="Compact"/>
                    <w:jc w:val="left"/>
                    <w:jc w:val="center"/>
                  </w:pPr>
                  <w:r>
                    <w:t xml:space="preserve">Model evaluation conducted</w:t>
                  </w:r>
                </w:p>
              </w:tc>
            </w:tr>
            <w:tr>
              <w:tc>
                <w:tcPr/>
                <w:p>
                  <w:pPr>
                    <w:pStyle w:val="Compact"/>
                    <w:jc w:val="left"/>
                    <w:jc w:val="center"/>
                  </w:pPr>
                  <w:r>
                    <w:t xml:space="preserve">Percentage calculating goodness-of-fit</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18%</w:t>
                  </w:r>
                </w:p>
              </w:tc>
            </w:tr>
            <w:tr>
              <w:tc>
                <w:tcPr/>
                <w:p>
                  <w:pPr>
                    <w:pStyle w:val="Compact"/>
                    <w:jc w:val="left"/>
                    <w:jc w:val="center"/>
                  </w:pPr>
                  <w:r>
                    <w:t xml:space="preserve">Percentage assessing predictive performance</w:t>
                  </w:r>
                </w:p>
              </w:tc>
              <w:tc>
                <w:tcPr/>
                <w:p>
                  <w:pPr>
                    <w:pStyle w:val="Compact"/>
                    <w:jc w:val="right"/>
                    <w:jc w:val="center"/>
                  </w:pPr>
                  <w:r>
                    <w:t xml:space="preserve">4%</w:t>
                  </w:r>
                </w:p>
              </w:tc>
              <w:tc>
                <w:tcPr/>
                <w:p>
                  <w:pPr>
                    <w:pStyle w:val="Compact"/>
                    <w:jc w:val="right"/>
                    <w:jc w:val="center"/>
                  </w:pPr>
                  <w:r>
                    <w:t xml:space="preserve">17%</w:t>
                  </w:r>
                </w:p>
              </w:tc>
              <w:tc>
                <w:tcPr/>
                <w:p>
                  <w:pPr>
                    <w:pStyle w:val="Compact"/>
                    <w:jc w:val="right"/>
                    <w:jc w:val="center"/>
                  </w:pPr>
                  <w:r>
                    <w:t xml:space="preserve">7%</w:t>
                  </w:r>
                </w:p>
              </w:tc>
            </w:tr>
          </w:tbl>
          <w:bookmarkEnd w:id="50"/>
          <w:p/>
        </w:tc>
      </w:tr>
    </w:tbl>
    <w:p>
      <w:pPr>
        <w:pStyle w:val="BodyText"/>
      </w:pPr>
      <w:r>
        <w:t xml:space="preserve">Objectives.</w:t>
      </w:r>
    </w:p>
    <w:tbl>
      <w:tblPr>
        <w:tblStyle w:val="Table"/>
        <w:tblW w:type="pct" w:w="5000"/>
        <w:tblLayout w:type="fixed"/>
        <w:tblLook w:firstRow="0" w:lastRow="0" w:firstColumn="0" w:lastColumn="0" w:noHBand="0" w:noVBand="0" w:val="0000"/>
      </w:tblPr>
      <w:tblGrid>
        <w:gridCol w:w="7920"/>
      </w:tblGrid>
      <w:tr>
        <w:tc>
          <w:tcPr/>
          <w:bookmarkStart w:id="54" w:name="fig-objectives"/>
          <w:p>
            <w:pPr>
              <w:pStyle w:val="Compact"/>
              <w:jc w:val="center"/>
            </w:pPr>
            <w:r>
              <w:drawing>
                <wp:inline>
                  <wp:extent cx="3810000" cy="2540000"/>
                  <wp:effectExtent b="0" l="0" r="0" t="0"/>
                  <wp:docPr descr="" title="" id="52" name="Picture"/>
                  <a:graphic>
                    <a:graphicData uri="http://schemas.openxmlformats.org/drawingml/2006/picture">
                      <pic:pic>
                        <pic:nvPicPr>
                          <pic:cNvPr descr="Figures/ObjectiveFigure.jpeg" id="53"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Proportion of articles in each year-strata and across all years which match each of six non-exclusive objective categories. B) Quantity of covariates considered per parameter for models which pursued each objectives.</w:t>
            </w:r>
          </w:p>
          <w:bookmarkEnd w:id="54"/>
        </w:tc>
      </w:tr>
    </w:tbl>
    <w:p>
      <w:pPr>
        <w:pStyle w:val="BodyText"/>
      </w:pPr>
      <w:r>
        <w:t xml:space="preserve">More objectives.</w:t>
      </w:r>
    </w:p>
    <w:bookmarkEnd w:id="55"/>
    <w:bookmarkStart w:id="56" w:name="discussion"/>
    <w:p>
      <w:pPr>
        <w:pStyle w:val="Heading1"/>
      </w:pPr>
      <w:r>
        <w:t xml:space="preserve">Discussion</w:t>
      </w:r>
    </w:p>
    <w:p>
      <w:pPr>
        <w:pStyle w:val="FirstParagraph"/>
      </w:pPr>
      <w:r>
        <w:t xml:space="preserve">Discussion.</w:t>
      </w:r>
    </w:p>
    <w:bookmarkEnd w:id="56"/>
    <w:bookmarkStart w:id="60" w:name="conclusions"/>
    <w:p>
      <w:pPr>
        <w:pStyle w:val="Heading1"/>
      </w:pPr>
      <w:r>
        <w:t xml:space="preserve">Conclusions</w:t>
      </w:r>
    </w:p>
    <w:p>
      <w:pPr>
        <w:pStyle w:val="FirstParagraph"/>
      </w:pPr>
      <w:r>
        <w:t xml:space="preserve">Conclusions.</w:t>
      </w:r>
    </w:p>
    <w:bookmarkStart w:id="59" w:name="refs"/>
    <w:bookmarkStart w:id="58" w:name="ref-mackenzie2003"/>
    <w:p>
      <w:pPr>
        <w:pStyle w:val="Bibliography"/>
      </w:pPr>
      <w:r>
        <w:t xml:space="preserve">MacKenzie, D. I., Nichols, J. D., Hines, J. E., Knutson, M. G., &amp; Franklin, A. B. (2003). Estimating site occupancy, colonization, and local extinction when a species is detected imperfectly.</w:t>
      </w:r>
      <w:r>
        <w:t xml:space="preserve"> </w:t>
      </w:r>
      <w:r>
        <w:rPr>
          <w:i/>
          <w:iCs/>
        </w:rPr>
        <w:t xml:space="preserve">Ecology</w:t>
      </w:r>
      <w:r>
        <w:t xml:space="preserve">,</w:t>
      </w:r>
      <w:r>
        <w:t xml:space="preserve"> </w:t>
      </w:r>
      <w:r>
        <w:rPr>
          <w:i/>
          <w:iCs/>
        </w:rPr>
        <w:t xml:space="preserve">84</w:t>
      </w:r>
      <w:r>
        <w:t xml:space="preserve">(8), 2200–2207.</w:t>
      </w:r>
      <w:r>
        <w:t xml:space="preserve"> </w:t>
      </w:r>
      <w:hyperlink r:id="rId57">
        <w:r>
          <w:rPr>
            <w:rStyle w:val="Hyperlink"/>
          </w:rPr>
          <w:t xml:space="preserve">https://doi.org/10.1890/02-3090</w:t>
        </w:r>
      </w:hyperlink>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6" Target="media/rId46.jpg" /><Relationship Type="http://schemas.openxmlformats.org/officeDocument/2006/relationships/image" Id="rId37" Target="media/rId37.jpg" /><Relationship Type="http://schemas.openxmlformats.org/officeDocument/2006/relationships/image" Id="rId26" Target="media/rId26.png" /><Relationship Type="http://schemas.openxmlformats.org/officeDocument/2006/relationships/image" Id="rId51" Target="media/rId51.jp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hyperlink" Id="rId57" Target="https://doi.org/10.1890/02-3090"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890/02-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Twenty years of dynamic occupancy models: a review of applications and look towards the future</dc:title>
  <dc:creator/>
  <cp:keywords/>
  <dcterms:created xsi:type="dcterms:W3CDTF">2025-01-23T03:19:49Z</dcterms:created>
  <dcterms:modified xsi:type="dcterms:W3CDTF">2025-01-23T03:19:49Z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Occupancy models.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apa.csl</vt:lpwstr>
  </property>
  <property fmtid="{D5CDD505-2E9C-101B-9397-08002B2CF9AE}" pid="10" name="date">
    <vt:lpwstr>2025-01-23</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itle-block-banner">
    <vt:lpwstr>True</vt:lpwstr>
  </property>
  <property fmtid="{D5CDD505-2E9C-101B-9397-08002B2CF9AE}" pid="17" name="toc-title">
    <vt:lpwstr>Table of contents</vt:lpwstr>
  </property>
</Properties>
</file>