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35.jpg" ContentType="image/jpeg"/>
  <Override PartName="/word/media/rId49.jpg" ContentType="image/jpeg"/>
  <Override PartName="/word/media/rId39.png" ContentType="image/png"/>
  <Override PartName="/word/media/rId20.png" ContentType="image/png"/>
  <Override PartName="/word/media/rId24.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Twenty years of dynamic occupancy models: a review of applications and look towards the future</w:t>
      </w:r>
    </w:p>
    <w:p>
      <w:pPr>
        <w:pStyle w:val="Date"/>
      </w:pPr>
      <w:r>
        <w:t xml:space="preserve">2025-01-28</w:t>
      </w:r>
    </w:p>
    <w:p>
      <w:pPr>
        <w:pStyle w:val="AbstractTitle"/>
      </w:pPr>
      <w:r>
        <w:t xml:space="preserve">Abstract</w:t>
      </w:r>
    </w:p>
    <w:p>
      <w:pPr>
        <w:pStyle w:val="Abstract"/>
      </w:pPr>
      <w:r>
        <w:t xml:space="preserve">Occupancy models.</w:t>
      </w:r>
    </w:p>
    <w:bookmarkStart w:id="33" w:name="introduction"/>
    <w:p>
      <w:pPr>
        <w:pStyle w:val="Heading1"/>
      </w:pPr>
      <w:r>
        <w:t xml:space="preserve">Introduction</w:t>
      </w:r>
    </w:p>
    <w:p>
      <w:pPr>
        <w:pStyle w:val="FirstParagraph"/>
      </w:pPr>
      <w:r>
        <w:t xml:space="preserve">Ecologists are often asked to describe, explain, and predict where and when species occur on the landscape. Research on patterns of species occupancy dates back to the origins of the field, and continues to a priority in quantitative ecological research</w:t>
      </w:r>
      <w:r>
        <w:t xml:space="preserve"> </w:t>
      </w:r>
      <w:r>
        <w:t xml:space="preserve">(Humboldt, 1849)</w:t>
      </w:r>
      <w:r>
        <w:t xml:space="preserve">. Estimates of how widespread a species is and where it occurs are the foundation of monitoring programs and important for assessing conservation status, while identifying potential drivers of occurrence can help inform potential management actions</w:t>
      </w:r>
      <w:r>
        <w:t xml:space="preserve"> </w:t>
      </w:r>
      <w:r>
        <w:t xml:space="preserve">(MacKenzie &amp; Reardon, 2013)</w:t>
      </w:r>
      <w:r>
        <w:t xml:space="preserve">. Robust knowledge of the occupancy patterns of a species can also help us to predict where a species is most likely to occur, both under present conditions and in hypothetical future scenarios</w:t>
      </w:r>
      <w:r>
        <w:t xml:space="preserve"> </w:t>
      </w:r>
      <w:r>
        <w:t xml:space="preserve">(Kéry et al., 2013)</w:t>
      </w:r>
      <w:r>
        <w:t xml:space="preserve">.</w:t>
      </w:r>
    </w:p>
    <w:p>
      <w:pPr>
        <w:pStyle w:val="BodyText"/>
      </w:pPr>
      <w:r>
        <w:t xml:space="preserve">While occupancy is a useful concept, it is also a challenging quantity to describe, measure, and estimate. The need to understand and quantitatively describe species occupancy has led to the development of several popular modelling approaches, including stochastic patch occupancy models commonly applied to study meta-population dynamics</w:t>
      </w:r>
      <w:r>
        <w:t xml:space="preserve"> </w:t>
      </w:r>
      <w:r>
        <w:t xml:space="preserve">(Gutiérrez-Arellano et al., 2024)</w:t>
      </w:r>
      <w:r>
        <w:t xml:space="preserve">, and species distribution models (SDMs) widely used to explore species occurrence at larger scales</w:t>
      </w:r>
      <w:r>
        <w:t xml:space="preserve"> </w:t>
      </w:r>
      <w:r>
        <w:t xml:space="preserve">(Franklin, 2010)</w:t>
      </w:r>
      <w:r>
        <w:t xml:space="preserve">. However, several factors can make occupancy difficult to estimate. For instance, simple presence/absence observations can be biased when species are detected imperfectly – this is often the case in wildlife field data, where it can be impossible to determine from a single observation whether a location is truly occupied or whether the species occurs but was not detected</w:t>
      </w:r>
      <w:r>
        <w:t xml:space="preserve"> </w:t>
      </w:r>
      <w:r>
        <w:t xml:space="preserve">(Gu &amp; Swihart, 2004; Lahoz-Monfort et al., 2014)</w:t>
      </w:r>
      <w:r>
        <w:t xml:space="preserve">. Despite the ubiquity of imperfect detection in data collection, many models fit to presence/absence data make no adjustment for this source of bias</w:t>
      </w:r>
      <w:r>
        <w:t xml:space="preserve"> </w:t>
      </w:r>
      <w:r>
        <w:t xml:space="preserve">(Kellner &amp; Swihart, 2014)</w:t>
      </w:r>
      <w:r>
        <w:t xml:space="preserve">. Another challenge for modelling occupancy is the difficulty in describing populations under non-equilibrium conditions, where a species’ occurrence pattern and relationship to its environment is in flux</w:t>
      </w:r>
      <w:r>
        <w:t xml:space="preserve"> </w:t>
      </w:r>
      <w:r>
        <w:t xml:space="preserve">(Dormann, 2007; Elith et al., 2010)</w:t>
      </w:r>
      <w:r>
        <w:t xml:space="preserve">. These conditions often occur during biological invasions and climate change driven range shifts, each of which are conservation priorities and increasingly common scenarios in the Anthropocene</w:t>
      </w:r>
      <w:r>
        <w:t xml:space="preserve"> </w:t>
      </w:r>
      <w:r>
        <w:t xml:space="preserve">(Bertelsmeier et al., 2013; Lenoir &amp; Svenning, 2015)</w:t>
      </w:r>
      <w:r>
        <w:t xml:space="preserve">.</w:t>
      </w:r>
    </w:p>
    <w:p>
      <w:pPr>
        <w:pStyle w:val="BodyText"/>
      </w:pPr>
      <w:r>
        <w:t xml:space="preserve">The site occupancy models first introduced by</w:t>
      </w:r>
      <w:r>
        <w:t xml:space="preserve"> </w:t>
      </w:r>
      <w:r>
        <w:t xml:space="preserve">MacKenzie et al. (2002)</w:t>
      </w:r>
      <w:r>
        <w:t xml:space="preserve"> </w:t>
      </w:r>
      <w:r>
        <w:t xml:space="preserve">set the foundation for a powerful framework for modelling presence/absence data while accounting for each of these challenges</w:t>
      </w:r>
      <w:r>
        <w:t xml:space="preserve"> </w:t>
      </w:r>
      <w:r>
        <w:t xml:space="preserve">(Guillera-Arroita, 2017)</w:t>
      </w:r>
      <w:r>
        <w:t xml:space="preserve"> </w:t>
      </w:r>
      <w:r>
        <w:t xml:space="preserve">. Drawing on principles from the mark-recapture literature, occupancy models use multiple resurveys of sites to estimate detection probabilities and correct for bias in estimates of site occupancy. Originally a static model,</w:t>
      </w:r>
      <w:r>
        <w:t xml:space="preserve"> </w:t>
      </w:r>
      <w:r>
        <w:t xml:space="preserve">MacKenzie et al. (2003)</w:t>
      </w:r>
      <w:r>
        <w:t xml:space="preserve"> </w:t>
      </w:r>
      <w:r>
        <w:t xml:space="preserve">extended this model for use in multiple time-steps by explicitly describing the process of changing occupancy via colonisation and extinction, relaxing assumptions of equilibrium and allowing description of patterns of site occupancy through time. For newcomers to DOMs, in</w:t>
      </w:r>
      <w:r>
        <w:t xml:space="preserve"> </w:t>
      </w:r>
      <w:hyperlink w:anchor="nte-Primer">
        <w:r>
          <w:rPr>
            <w:rStyle w:val="Hyperlink"/>
          </w:rPr>
          <w:t xml:space="preserve">Box 1</w:t>
        </w:r>
      </w:hyperlink>
      <w:r>
        <w:t xml:space="preserve"> </w:t>
      </w:r>
      <w:r>
        <w:t xml:space="preserve">we present a simple introduction to the basic model form as described in</w:t>
      </w:r>
      <w:r>
        <w:t xml:space="preserve"> </w:t>
      </w:r>
      <w:r>
        <w:t xml:space="preserve">MacKenzie et al. (2003)</w:t>
      </w:r>
      <w:r>
        <w:t xml:space="preserve">.</w:t>
      </w:r>
    </w:p>
    <w:p>
      <w:pPr>
        <w:pStyle w:val="BodyText"/>
      </w:pPr>
      <w:r>
        <w:t xml:space="preserve">This dynamic occupancy model (DOM) balances complexity and feasibility, explicitly describing the key processes driving occupancy dynamics while requiring reasonably simple-to-collect presence absence/data instead of the detailed demographic or abundance data required by more process-explicit models</w:t>
      </w:r>
      <w:r>
        <w:t xml:space="preserve"> </w:t>
      </w:r>
      <w:r>
        <w:t xml:space="preserve">(Briscoe et al., 2019)</w:t>
      </w:r>
      <w:r>
        <w:t xml:space="preserve">. These features make the DOM an important tool, with uses including hypothesis testing of relationships between occupancy and the environment, explorations of the key drivers of occupancy, and even prediction of occupancy under future conditions</w:t>
      </w:r>
      <w:r>
        <w:t xml:space="preserve"> </w:t>
      </w:r>
      <w:r>
        <w:t xml:space="preserve">(Briscoe et al., 2021; Kéry et al., 2013)</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Note 1: An introduction to dynamic occupancy models</w:t>
            </w:r>
          </w:p>
        </w:tc>
      </w:tr>
      <w:tr>
        <w:trPr>
          <w:cantSplit/>
        </w:trPr>
        <w:tc>
          <w:tcPr>
            <w:tcMar>
              <w:top w:w="108" w:type="dxa"/>
              <w:bottom w:w="108" w:type="dxa"/>
            </w:tcMar>
          </w:tcPr>
          <w:p>
            <w:pPr>
              <w:pStyle w:val="BodyText"/>
            </w:pPr>
            <w:pPr>
              <w:spacing w:before="16"/>
            </w:pPr>
            <w:r>
              <w:t xml:space="preserve">We give a minimal introduction to the canonical dynamic occupancy model as defined in</w:t>
            </w:r>
            <w:r>
              <w:t xml:space="preserve"> </w:t>
            </w:r>
            <w:r>
              <w:t xml:space="preserve">MacKenzie et al. (2003)</w:t>
            </w:r>
            <w:r>
              <w:t xml:space="preserve">. DOMs allow estimation of changes in site occupancy over time while accounting for imperfect detection.</w:t>
            </w:r>
          </w:p>
          <w:bookmarkStart w:id="23" w:name="data-collection"/>
          <w:p>
            <w:pPr>
              <w:pStyle w:val="Heading4"/>
            </w:pPr>
            <w:r>
              <w:t xml:space="preserve">Data collection</w:t>
            </w:r>
          </w:p>
          <w:p>
            <w:pPr>
              <w:pStyle w:val="FirstParagraph"/>
            </w:pPr>
            <w:r>
              <w:t xml:space="preserve">DOMs require hierarchical data to separate the occupancy and detection processes. Occupancy is measured in discrete, time-bound intervals termed</w:t>
            </w:r>
            <w:r>
              <w:t xml:space="preserve"> </w:t>
            </w:r>
            <w:r>
              <w:rPr>
                <w:i/>
                <w:iCs/>
              </w:rPr>
              <w:t xml:space="preserve">primary occasions</w:t>
            </w:r>
            <w:r>
              <w:t xml:space="preserve">. Within each primary occasion</w:t>
            </w:r>
            <w:r>
              <w:t xml:space="preserve"> </w:t>
            </w:r>
            <w:r>
              <w:rPr>
                <w:i/>
                <w:iCs/>
              </w:rPr>
              <w:t xml:space="preserve">t</w:t>
            </w:r>
            <w:r>
              <w:t xml:space="preserve">, multiple observations are recorded at the same sites. Importantly, all sites or primary occasions do not require the same number of observations and some number of missing observations are permissible.</w:t>
            </w:r>
          </w:p>
          <w:p>
            <w:pPr>
              <w:pStyle w:val="BodyText"/>
            </w:pPr>
            <w:r>
              <w:drawing>
                <wp:inline>
                  <wp:extent cx="5334000" cy="2184536"/>
                  <wp:effectExtent b="0" l="0" r="0" t="0"/>
                  <wp:docPr descr="" title="" id="21" name="Picture"/>
                  <a:graphic>
                    <a:graphicData uri="http://schemas.openxmlformats.org/drawingml/2006/picture">
                      <pic:pic>
                        <pic:nvPicPr>
                          <pic:cNvPr descr="images/clipboard-2772050481.png" id="22" name="Picture"/>
                          <pic:cNvPicPr>
                            <a:picLocks noChangeArrowheads="1" noChangeAspect="1"/>
                          </pic:cNvPicPr>
                        </pic:nvPicPr>
                        <pic:blipFill>
                          <a:blip r:embed="rId20"/>
                          <a:stretch>
                            <a:fillRect/>
                          </a:stretch>
                        </pic:blipFill>
                        <pic:spPr bwMode="auto">
                          <a:xfrm>
                            <a:off x="0" y="0"/>
                            <a:ext cx="5334000" cy="2184536"/>
                          </a:xfrm>
                          <a:prstGeom prst="rect">
                            <a:avLst/>
                          </a:prstGeom>
                          <a:noFill/>
                          <a:ln w="9525">
                            <a:noFill/>
                            <a:headEnd/>
                            <a:tailEnd/>
                          </a:ln>
                        </pic:spPr>
                      </pic:pic>
                    </a:graphicData>
                  </a:graphic>
                </wp:inline>
              </w:drawing>
            </w:r>
          </w:p>
          <w:bookmarkEnd w:id="23"/>
          <w:bookmarkStart w:id="27" w:name="site-occupancy-sub-model"/>
          <w:p>
            <w:pPr>
              <w:pStyle w:val="Heading4"/>
            </w:pPr>
            <w:r>
              <w:t xml:space="preserve">Site occupancy sub-model</w:t>
            </w:r>
          </w:p>
          <w:p>
            <w:pPr>
              <w:pStyle w:val="FirstParagraph"/>
            </w:pPr>
            <w:r>
              <w:t xml:space="preserve">Occupancy is described during discrete, time-bound intervals termed</w:t>
            </w:r>
            <w:r>
              <w:t xml:space="preserve"> </w:t>
            </w:r>
            <w:r>
              <w:rPr>
                <w:i/>
                <w:iCs/>
              </w:rPr>
              <w:t xml:space="preserve">primary occasions.</w:t>
            </w:r>
            <w:r>
              <w:t xml:space="preserve"> </w:t>
            </w:r>
            <w:r>
              <w:t xml:space="preserve">In each primary occasion</w:t>
            </w:r>
            <w:r>
              <w:t xml:space="preserve"> </w:t>
            </w:r>
            <w:r>
              <w:rPr>
                <w:i/>
                <w:iCs/>
              </w:rPr>
              <w:t xml:space="preserve">t,</w:t>
            </w:r>
            <w:r>
              <w:t xml:space="preserve"> </w:t>
            </w:r>
            <w:r>
              <w:t xml:space="preserve">each site</w:t>
            </w:r>
            <w:r>
              <w:t xml:space="preserve"> </w:t>
            </w:r>
            <w:r>
              <w:rPr>
                <w:i/>
                <w:iCs/>
              </w:rPr>
              <w:t xml:space="preserve">i</w:t>
            </w:r>
            <w:r>
              <w:t xml:space="preserve"> </w:t>
            </w:r>
            <w:r>
              <w:t xml:space="preserve">may exist in either an occupied (z</w:t>
            </w:r>
            <w:r>
              <w:rPr>
                <w:vertAlign w:val="subscript"/>
              </w:rPr>
              <w:t xml:space="preserve">i,t</w:t>
            </w:r>
            <w:r>
              <w:t xml:space="preserve"> </w:t>
            </w:r>
            <w:r>
              <w:t xml:space="preserve">= 1) or unoccupied state (z</w:t>
            </w:r>
            <w:r>
              <w:rPr>
                <w:vertAlign w:val="subscript"/>
              </w:rPr>
              <w:t xml:space="preserve">i,t</w:t>
            </w:r>
            <w:r>
              <w:t xml:space="preserve"> </w:t>
            </w:r>
            <w:r>
              <w:t xml:space="preserve">= 0). In the first primary occasion, occupancy is determined as a Bernoulli trial with initial occupancy probability 𝛙</w:t>
            </w:r>
            <w:r>
              <w:rPr>
                <w:vertAlign w:val="subscript"/>
              </w:rPr>
              <w:t xml:space="preserve">1</w:t>
            </w:r>
            <w:r>
              <w:t xml:space="preserve">, such that</w:t>
            </w:r>
            <w:r>
              <w:t xml:space="preserve"> </w:t>
            </w:r>
            <m:oMath>
              <m:sSub>
                <m:e>
                  <m:r>
                    <m:t>z</m:t>
                  </m:r>
                </m:e>
                <m:sub>
                  <m:r>
                    <m:t>i</m:t>
                  </m:r>
                  <m:r>
                    <m:rPr>
                      <m:sty m:val="p"/>
                    </m:rPr>
                    <m:t>,</m:t>
                  </m:r>
                  <m:r>
                    <m:t>t</m:t>
                  </m:r>
                  <m:r>
                    <m:rPr>
                      <m:sty m:val="p"/>
                    </m:rPr>
                    <m:t>=</m:t>
                  </m:r>
                  <m:r>
                    <m:t>1</m:t>
                  </m:r>
                </m:sub>
              </m:sSub>
              <m:r>
                <m:rPr>
                  <m:sty m:val="p"/>
                </m:rPr>
                <m:t>∼</m:t>
              </m:r>
              <m:r>
                <m:t>B</m:t>
              </m:r>
              <m:r>
                <m:t>e</m:t>
              </m:r>
              <m:r>
                <m:t>r</m:t>
              </m:r>
              <m:r>
                <m:t>n</m:t>
              </m:r>
              <m:r>
                <m:t>o</m:t>
              </m:r>
              <m:r>
                <m:t>u</m:t>
              </m:r>
              <m:r>
                <m:t>l</m:t>
              </m:r>
              <m:r>
                <m:t>l</m:t>
              </m:r>
              <m:r>
                <m:t>i</m:t>
              </m:r>
              <m:d>
                <m:dPr>
                  <m:begChr m:val="("/>
                  <m:endChr m:val=")"/>
                  <m:sepChr m:val=""/>
                  <m:grow/>
                </m:dPr>
                <m:e>
                  <m:sSub>
                    <m:e>
                      <m:r>
                        <m:t>ψ</m:t>
                      </m:r>
                    </m:e>
                    <m:sub>
                      <m:r>
                        <m:t>1</m:t>
                      </m:r>
                    </m:sub>
                  </m:sSub>
                </m:e>
              </m:d>
            </m:oMath>
            <w:r>
              <w:t xml:space="preserve">. In subsequent primary occasions, site occupancy is determined by the site’s state in the previous primary occasion and probability of colonisation 𝛄 and extinction 𝛆, such that</w:t>
            </w:r>
            <w:r>
              <w:t xml:space="preserve"> </w:t>
            </w:r>
            <m:oMath>
              <m:sSub>
                <m:e>
                  <m:r>
                    <m:t>z</m:t>
                  </m:r>
                </m:e>
                <m:sub>
                  <m:r>
                    <m:t>i</m:t>
                  </m:r>
                  <m:r>
                    <m:rPr>
                      <m:sty m:val="p"/>
                    </m:rPr>
                    <m:t>,</m:t>
                  </m:r>
                  <m:r>
                    <m:t>t</m:t>
                  </m:r>
                </m:sub>
              </m:sSub>
              <m:r>
                <m:rPr>
                  <m:sty m:val="p"/>
                </m:rPr>
                <m:t>∼</m:t>
              </m:r>
              <m:r>
                <m:t>B</m:t>
              </m:r>
              <m:r>
                <m:t>e</m:t>
              </m:r>
              <m:r>
                <m:t>r</m:t>
              </m:r>
              <m:r>
                <m:t>n</m:t>
              </m:r>
              <m:r>
                <m:t>o</m:t>
              </m:r>
              <m:r>
                <m:t>u</m:t>
              </m:r>
              <m:r>
                <m:t>l</m:t>
              </m:r>
              <m:r>
                <m:t>l</m:t>
              </m:r>
              <m:r>
                <m:t>i</m:t>
              </m:r>
              <m:d>
                <m:dPr>
                  <m:begChr m:val="("/>
                  <m:endChr m:val=")"/>
                  <m:sepChr m:val=""/>
                  <m:grow/>
                </m:dPr>
                <m:e>
                  <m:sSub>
                    <m:e>
                      <m:r>
                        <m:t>z</m:t>
                      </m:r>
                    </m:e>
                    <m:sub>
                      <m:r>
                        <m:t>i</m:t>
                      </m:r>
                      <m:r>
                        <m:rPr>
                          <m:sty m:val="p"/>
                        </m:rPr>
                        <m:t>,</m:t>
                      </m:r>
                      <m:r>
                        <m:t>t</m:t>
                      </m:r>
                      <m:r>
                        <m:rPr>
                          <m:sty m:val="p"/>
                        </m:rPr>
                        <m:t>−</m:t>
                      </m:r>
                      <m:r>
                        <m:t>1</m:t>
                      </m:r>
                    </m:sub>
                  </m:sSub>
                  <m:d>
                    <m:dPr>
                      <m:begChr m:val="("/>
                      <m:endChr m:val=")"/>
                      <m:sepChr m:val=""/>
                      <m:grow/>
                    </m:dPr>
                    <m:e>
                      <m:r>
                        <m:t>1</m:t>
                      </m:r>
                      <m:r>
                        <m:rPr>
                          <m:sty m:val="p"/>
                        </m:rPr>
                        <m:t>−</m:t>
                      </m:r>
                      <m:r>
                        <m:t>ϵ</m:t>
                      </m:r>
                    </m:e>
                  </m:d>
                  <m:r>
                    <m:rPr>
                      <m:sty m:val="p"/>
                    </m:rPr>
                    <m:t>+</m:t>
                  </m:r>
                  <m:d>
                    <m:dPr>
                      <m:begChr m:val="("/>
                      <m:endChr m:val=")"/>
                      <m:sepChr m:val=""/>
                      <m:grow/>
                    </m:dPr>
                    <m:e>
                      <m:r>
                        <m:t>1</m:t>
                      </m:r>
                      <m:r>
                        <m:rPr>
                          <m:sty m:val="p"/>
                        </m:rPr>
                        <m:t>−</m:t>
                      </m:r>
                      <m:sSub>
                        <m:e>
                          <m:r>
                            <m:t>z</m:t>
                          </m:r>
                        </m:e>
                        <m:sub>
                          <m:r>
                            <m:t>i</m:t>
                          </m:r>
                          <m:r>
                            <m:rPr>
                              <m:sty m:val="p"/>
                            </m:rPr>
                            <m:t>,</m:t>
                          </m:r>
                          <m:r>
                            <m:t>t</m:t>
                          </m:r>
                          <m:r>
                            <m:rPr>
                              <m:sty m:val="p"/>
                            </m:rPr>
                            <m:t>−</m:t>
                          </m:r>
                          <m:r>
                            <m:t>1</m:t>
                          </m:r>
                        </m:sub>
                      </m:sSub>
                    </m:e>
                  </m:d>
                  <m:r>
                    <m:rPr>
                      <m:sty m:val="p"/>
                    </m:rPr>
                    <m:t>*</m:t>
                  </m:r>
                  <m:r>
                    <m:t>γ</m:t>
                  </m:r>
                </m:e>
              </m:d>
            </m:oMath>
            <w:r>
              <w:t xml:space="preserve">. While we present each of 𝛙</w:t>
            </w:r>
            <w:r>
              <w:rPr>
                <w:vertAlign w:val="subscript"/>
              </w:rPr>
              <w:t xml:space="preserve">1</w:t>
            </w:r>
            <w:r>
              <w:t xml:space="preserve">, 𝛄, and 𝛆 as constants for simplicity, they may be estimated with respect to covariates which are typically included via a logit link.</w:t>
            </w:r>
          </w:p>
          <w:p>
            <w:pPr>
              <w:pStyle w:val="BodyText"/>
            </w:pPr>
            <w:r>
              <w:drawing>
                <wp:inline>
                  <wp:extent cx="5334000" cy="1678757"/>
                  <wp:effectExtent b="0" l="0" r="0" t="0"/>
                  <wp:docPr descr="" title="" id="25" name="Picture"/>
                  <a:graphic>
                    <a:graphicData uri="http://schemas.openxmlformats.org/drawingml/2006/picture">
                      <pic:pic>
                        <pic:nvPicPr>
                          <pic:cNvPr descr="images/clipboard-3349624601.png" id="26" name="Picture"/>
                          <pic:cNvPicPr>
                            <a:picLocks noChangeArrowheads="1" noChangeAspect="1"/>
                          </pic:cNvPicPr>
                        </pic:nvPicPr>
                        <pic:blipFill>
                          <a:blip r:embed="rId24"/>
                          <a:stretch>
                            <a:fillRect/>
                          </a:stretch>
                        </pic:blipFill>
                        <pic:spPr bwMode="auto">
                          <a:xfrm>
                            <a:off x="0" y="0"/>
                            <a:ext cx="5334000" cy="1678757"/>
                          </a:xfrm>
                          <a:prstGeom prst="rect">
                            <a:avLst/>
                          </a:prstGeom>
                          <a:noFill/>
                          <a:ln w="9525">
                            <a:noFill/>
                            <a:headEnd/>
                            <a:tailEnd/>
                          </a:ln>
                        </pic:spPr>
                      </pic:pic>
                    </a:graphicData>
                  </a:graphic>
                </wp:inline>
              </w:drawing>
            </w:r>
          </w:p>
          <w:bookmarkEnd w:id="27"/>
          <w:bookmarkStart w:id="31" w:name="detection-sub-model"/>
          <w:p>
            <w:pPr>
              <w:pStyle w:val="Heading4"/>
            </w:pPr>
            <w:r>
              <w:t xml:space="preserve">Detection sub-model</w:t>
            </w:r>
          </w:p>
          <w:p>
            <w:pPr>
              <w:pStyle w:val="FirstParagraph"/>
            </w:pPr>
            <w:r>
              <w:t xml:space="preserve">During any given survey</w:t>
            </w:r>
            <w:r>
              <w:t xml:space="preserve"> </w:t>
            </w:r>
            <w:r>
              <w:rPr>
                <w:i/>
                <w:iCs/>
              </w:rPr>
              <w:t xml:space="preserve">j,</w:t>
            </w:r>
            <w:r>
              <w:t xml:space="preserve"> </w:t>
            </w:r>
            <w:r>
              <w:t xml:space="preserve">observers will either observe (y</w:t>
            </w:r>
            <w:r>
              <w:rPr>
                <w:vertAlign w:val="subscript"/>
              </w:rPr>
              <w:t xml:space="preserve">i,t,j</w:t>
            </w:r>
            <w:r>
              <w:t xml:space="preserve"> </w:t>
            </w:r>
            <w:r>
              <w:t xml:space="preserve">= 1) or not observe (y</w:t>
            </w:r>
            <w:r>
              <w:rPr>
                <w:vertAlign w:val="subscript"/>
              </w:rPr>
              <w:t xml:space="preserve">i,t,j</w:t>
            </w:r>
            <w:r>
              <w:t xml:space="preserve"> </w:t>
            </w:r>
            <w:r>
              <w:t xml:space="preserve">= 0) the target species. In each survey, the probability of observing the target species at a site is given as a Bernoulli trial with detection probability</w:t>
            </w:r>
            <w:r>
              <w:t xml:space="preserve"> </w:t>
            </w:r>
            <w:r>
              <w:rPr>
                <w:i/>
                <w:iCs/>
              </w:rPr>
              <w:t xml:space="preserve">p,</w:t>
            </w:r>
            <w:r>
              <w:t xml:space="preserve"> </w:t>
            </w:r>
            <w:r>
              <w:t xml:space="preserve">conditional on the site being occupied, such that</w:t>
            </w:r>
            <w:r>
              <w:t xml:space="preserve"> </w:t>
            </w:r>
            <m:oMath>
              <m:sSub>
                <m:e>
                  <m:r>
                    <m:t>y</m:t>
                  </m:r>
                </m:e>
                <m:sub>
                  <m:r>
                    <m:t>i</m:t>
                  </m:r>
                  <m:r>
                    <m:rPr>
                      <m:sty m:val="p"/>
                    </m:rPr>
                    <m:t>,</m:t>
                  </m:r>
                  <m:r>
                    <m:t>t</m:t>
                  </m:r>
                  <m:r>
                    <m:rPr>
                      <m:sty m:val="p"/>
                    </m:rPr>
                    <m:t>,</m:t>
                  </m:r>
                  <m:r>
                    <m:t>j</m:t>
                  </m:r>
                </m:sub>
              </m:sSub>
              <m:r>
                <m:rPr>
                  <m:sty m:val="p"/>
                </m:rPr>
                <m:t>∼</m:t>
              </m:r>
              <m:r>
                <m:t>B</m:t>
              </m:r>
              <m:r>
                <m:t>e</m:t>
              </m:r>
              <m:r>
                <m:t>r</m:t>
              </m:r>
              <m:r>
                <m:t>n</m:t>
              </m:r>
              <m:r>
                <m:t>o</m:t>
              </m:r>
              <m:r>
                <m:t>u</m:t>
              </m:r>
              <m:r>
                <m:t>l</m:t>
              </m:r>
              <m:r>
                <m:t>l</m:t>
              </m:r>
              <m:r>
                <m:t>i</m:t>
              </m:r>
              <m:d>
                <m:dPr>
                  <m:begChr m:val="("/>
                  <m:endChr m:val=")"/>
                  <m:sepChr m:val=""/>
                  <m:grow/>
                </m:dPr>
                <m:e>
                  <m:sSub>
                    <m:e>
                      <m:r>
                        <m:t>z</m:t>
                      </m:r>
                    </m:e>
                    <m:sub>
                      <m:r>
                        <m:t>i</m:t>
                      </m:r>
                      <m:r>
                        <m:rPr>
                          <m:sty m:val="p"/>
                        </m:rPr>
                        <m:t>,</m:t>
                      </m:r>
                      <m:r>
                        <m:t>t</m:t>
                      </m:r>
                    </m:sub>
                  </m:sSub>
                  <m:r>
                    <m:rPr>
                      <m:sty m:val="p"/>
                    </m:rPr>
                    <m:t>*</m:t>
                  </m:r>
                  <m:r>
                    <m:t>p</m:t>
                  </m:r>
                </m:e>
              </m:d>
            </m:oMath>
            <w:r>
              <w:t xml:space="preserve">. This formulation assumes that no false positive detections exist; that is, observations are never recorded at truly unoccupied sites. As with the occupancy probabilities,</w:t>
            </w:r>
            <w:r>
              <w:t xml:space="preserve"> </w:t>
            </w:r>
            <w:r>
              <w:rPr>
                <w:i/>
                <w:iCs/>
              </w:rPr>
              <w:t xml:space="preserve">p</w:t>
            </w:r>
            <w:r>
              <w:t xml:space="preserve"> </w:t>
            </w:r>
            <w:r>
              <w:t xml:space="preserve">may also be estimated using covariates via a logit link.</w:t>
            </w:r>
          </w:p>
          <w:p>
            <w:pPr>
              <w:pStyle w:val="BodyText"/>
            </w:pPr>
            <w:r>
              <w:drawing>
                <wp:inline>
                  <wp:extent cx="3086100" cy="1717481"/>
                  <wp:effectExtent b="0" l="0" r="0" t="0"/>
                  <wp:docPr descr="" title="" id="29" name="Picture"/>
                  <a:graphic>
                    <a:graphicData uri="http://schemas.openxmlformats.org/drawingml/2006/picture">
                      <pic:pic>
                        <pic:nvPicPr>
                          <pic:cNvPr descr="images/clipboard-411045638.png" id="30" name="Picture"/>
                          <pic:cNvPicPr>
                            <a:picLocks noChangeArrowheads="1" noChangeAspect="1"/>
                          </pic:cNvPicPr>
                        </pic:nvPicPr>
                        <pic:blipFill>
                          <a:blip r:embed="rId28"/>
                          <a:stretch>
                            <a:fillRect/>
                          </a:stretch>
                        </pic:blipFill>
                        <pic:spPr bwMode="auto">
                          <a:xfrm>
                            <a:off x="0" y="0"/>
                            <a:ext cx="3086100" cy="1717481"/>
                          </a:xfrm>
                          <a:prstGeom prst="rect">
                            <a:avLst/>
                          </a:prstGeom>
                          <a:noFill/>
                          <a:ln w="9525">
                            <a:noFill/>
                            <a:headEnd/>
                            <a:tailEnd/>
                          </a:ln>
                        </pic:spPr>
                      </pic:pic>
                    </a:graphicData>
                  </a:graphic>
                </wp:inline>
              </w:drawing>
            </w:r>
          </w:p>
          <w:bookmarkEnd w:id="31"/>
          <w:bookmarkStart w:id="32" w:name="fitting-doms"/>
          <w:p>
            <w:pPr>
              <w:pStyle w:val="Heading4"/>
            </w:pPr>
            <w:r>
              <w:t xml:space="preserve">Fitting DOMs</w:t>
            </w:r>
          </w:p>
          <w:p>
            <w:pPr>
              <w:pStyle w:val="FirstParagraph"/>
            </w:pPr>
            <w:pPr>
              <w:spacing w:after="16"/>
            </w:pPr>
            <w:r>
              <w:t xml:space="preserve">DOMs are most often fit with maximum likelihood estimation, which identifies the values of 𝛙</w:t>
            </w:r>
            <w:r>
              <w:rPr>
                <w:vertAlign w:val="subscript"/>
              </w:rPr>
              <w:t xml:space="preserve">1</w:t>
            </w:r>
            <w:r>
              <w:t xml:space="preserve">, 𝛄, 𝛆, and</w:t>
            </w:r>
            <w:r>
              <w:t xml:space="preserve"> </w:t>
            </w:r>
            <w:r>
              <w:rPr>
                <w:i/>
                <w:iCs/>
              </w:rPr>
              <w:t xml:space="preserve">p</w:t>
            </w:r>
            <w:r>
              <w:t xml:space="preserve"> </w:t>
            </w:r>
            <w:r>
              <w:t xml:space="preserve">under which the observed data</w:t>
            </w:r>
            <w:r>
              <w:t xml:space="preserve"> </w:t>
            </w:r>
            <w:r>
              <w:rPr>
                <w:b/>
                <w:bCs/>
              </w:rPr>
              <w:t xml:space="preserve">y</w:t>
            </w:r>
            <w:r>
              <w:t xml:space="preserve"> </w:t>
            </w:r>
            <w:r>
              <w:t xml:space="preserve">are most probable. Common tools for fitting DOMs include</w:t>
            </w:r>
            <w:r>
              <w:t xml:space="preserve"> </w:t>
            </w:r>
            <w:r>
              <w:rPr>
                <w:rStyle w:val="VerbatimChar"/>
              </w:rPr>
              <w:t xml:space="preserve">PRESENCE</w:t>
            </w:r>
            <w:r>
              <w:t xml:space="preserve">,</w:t>
            </w:r>
            <w:r>
              <w:t xml:space="preserve"> </w:t>
            </w:r>
            <w:r>
              <w:rPr>
                <w:rStyle w:val="VerbatimChar"/>
              </w:rPr>
              <w:t xml:space="preserve">MARK</w:t>
            </w:r>
            <w:r>
              <w:t xml:space="preserve">, and the r package</w:t>
            </w:r>
            <w:r>
              <w:t xml:space="preserve"> </w:t>
            </w:r>
            <w:r>
              <w:rPr>
                <w:rStyle w:val="VerbatimChar"/>
              </w:rPr>
              <w:t xml:space="preserve">unmarked</w:t>
            </w:r>
            <w:r>
              <w:t xml:space="preserve">. DOMs may also be fit in a Bayesian framework, with available packages including</w:t>
            </w:r>
            <w:r>
              <w:t xml:space="preserve"> </w:t>
            </w:r>
            <w:r>
              <w:rPr>
                <w:rStyle w:val="VerbatimChar"/>
              </w:rPr>
              <w:t xml:space="preserve">ubms</w:t>
            </w:r>
            <w:r>
              <w:t xml:space="preserve">.</w:t>
            </w:r>
          </w:p>
        </w:tc>
      </w:tr>
    </w:tbl>
    <w:bookmarkEnd w:id="32"/>
    <w:p>
      <w:pPr>
        <w:pStyle w:val="BodyText"/>
      </w:pPr>
      <w:r>
        <w:t xml:space="preserve">DOMs make several key assumptions requiring careful consideration by model users, which we outline here as our reviews related aspects of model building.</w:t>
      </w:r>
    </w:p>
    <w:p>
      <w:pPr>
        <w:numPr>
          <w:ilvl w:val="0"/>
          <w:numId w:val="1001"/>
        </w:numPr>
      </w:pPr>
      <w:r>
        <w:rPr>
          <w:b/>
          <w:bCs/>
        </w:rPr>
        <w:t xml:space="preserve">False positive detections do not occur</w:t>
      </w:r>
      <w:r>
        <w:t xml:space="preserve">. While this assumption can be safely met in many studies, it is not necessarily guaranteed when working with more cryptic species or less reliable survey methods.</w:t>
      </w:r>
      <w:r>
        <w:t xml:space="preserve"> </w:t>
      </w:r>
      <w:r>
        <w:t xml:space="preserve">McClintock et al. (2010)</w:t>
      </w:r>
      <w:r>
        <w:t xml:space="preserve"> </w:t>
      </w:r>
      <w:r>
        <w:t xml:space="preserve">and</w:t>
      </w:r>
      <w:r>
        <w:t xml:space="preserve"> </w:t>
      </w:r>
      <w:r>
        <w:t xml:space="preserve">Miller et al. (2015)</w:t>
      </w:r>
      <w:r>
        <w:t xml:space="preserve"> </w:t>
      </w:r>
      <w:r>
        <w:t xml:space="preserve">comment on the bias induced when false positives occur and are not accounted for, highlighting the need to consider how certain detections truly are for any given study system. Significantly, even genuine detections of a species can be considered</w:t>
      </w:r>
      <w:r>
        <w:t xml:space="preserve"> </w:t>
      </w:r>
      <w:r>
        <w:t xml:space="preserve">‘false positives’</w:t>
      </w:r>
      <w:r>
        <w:t xml:space="preserve"> </w:t>
      </w:r>
      <w:r>
        <w:t xml:space="preserve">when they do not represent the intended definition of occupancy, such as detections of transient individuals when the intent is to estimate breeding occupancy</w:t>
      </w:r>
      <w:r>
        <w:t xml:space="preserve"> </w:t>
      </w:r>
      <w:r>
        <w:t xml:space="preserve">(Berigan et al., 2019)</w:t>
      </w:r>
      <w:r>
        <w:t xml:space="preserve">. Where this assumption can not reasonably be met, model extensions designed to account for false positive error should be considered</w:t>
      </w:r>
      <w:r>
        <w:t xml:space="preserve"> </w:t>
      </w:r>
      <w:r>
        <w:t xml:space="preserve">(Miller et al., 2011; Miller et al., 2015; Royle &amp; Link, 2006)</w:t>
      </w:r>
      <w:r>
        <w:t xml:space="preserve">.</w:t>
      </w:r>
    </w:p>
    <w:p>
      <w:pPr>
        <w:numPr>
          <w:ilvl w:val="0"/>
          <w:numId w:val="1001"/>
        </w:numPr>
      </w:pPr>
      <w:r>
        <w:rPr>
          <w:b/>
          <w:bCs/>
        </w:rPr>
        <w:t xml:space="preserve">Sites are closed to occupancy between seasons.</w:t>
      </w:r>
      <w:r>
        <w:t xml:space="preserve"> </w:t>
      </w:r>
      <w:r>
        <w:t xml:space="preserve">This requirement, best known as the</w:t>
      </w:r>
      <w:r>
        <w:t xml:space="preserve"> </w:t>
      </w:r>
      <w:r>
        <w:t xml:space="preserve">‘closure assumption,’</w:t>
      </w:r>
      <w:r>
        <w:t xml:space="preserve"> </w:t>
      </w:r>
      <w:r>
        <w:t xml:space="preserve">has also been subject to considerable discussion in terms of the bias introduced when it is violated</w:t>
      </w:r>
      <w:r>
        <w:t xml:space="preserve"> </w:t>
      </w:r>
      <w:r>
        <w:t xml:space="preserve">(Otto et al., 2013; Rota et al., 2009)</w:t>
      </w:r>
      <w:r>
        <w:t xml:space="preserve">. Closure is dependent not only on the life history of the species, but also on the definition of occupancy used by researchers — short seasons may represent dynamics more representative of species</w:t>
      </w:r>
      <w:r>
        <w:t xml:space="preserve"> </w:t>
      </w:r>
      <w:r>
        <w:t xml:space="preserve">‘use,’</w:t>
      </w:r>
      <w:r>
        <w:t xml:space="preserve"> </w:t>
      </w:r>
      <w:r>
        <w:t xml:space="preserve">and it can be difficult to distinguish local extinction from temporary emigration</w:t>
      </w:r>
      <w:r>
        <w:t xml:space="preserve"> </w:t>
      </w:r>
      <w:r>
        <w:t xml:space="preserve">(Valente et al., 2017)</w:t>
      </w:r>
      <w:r>
        <w:t xml:space="preserve">. Model extensions to relax the closure assumption have been developed, including approaches using staggered arrival and departure periods between sites</w:t>
      </w:r>
      <w:r>
        <w:t xml:space="preserve"> </w:t>
      </w:r>
      <w:r>
        <w:t xml:space="preserve">(Kendall et al., 2013)</w:t>
      </w:r>
      <w:r>
        <w:t xml:space="preserve">. A more pertinent approach for most studies, however, is careful consideration of the appropriate definition of occupancy under the survey design used</w:t>
      </w:r>
      <w:r>
        <w:t xml:space="preserve"> </w:t>
      </w:r>
      <w:r>
        <w:t xml:space="preserve">(Steenweg et al., 2018)</w:t>
      </w:r>
      <w:r>
        <w:t xml:space="preserve">.</w:t>
      </w:r>
    </w:p>
    <w:p>
      <w:pPr>
        <w:numPr>
          <w:ilvl w:val="0"/>
          <w:numId w:val="1001"/>
        </w:numPr>
      </w:pPr>
      <w:r>
        <w:rPr>
          <w:b/>
          <w:bCs/>
        </w:rPr>
        <w:t xml:space="preserve">Heterogeneity in occupancy and detection is accounted for.</w:t>
      </w:r>
      <w:r>
        <w:t xml:space="preserve"> </w:t>
      </w:r>
      <w:r>
        <w:t xml:space="preserve">As with any approach for modelling species occurrence, it is assumed that DOMs appropriately capture variation in occupancy patterns and species detectability across the study system. Generally, this is achieved by allowing model parameters (ψ</w:t>
      </w:r>
      <w:r>
        <w:rPr>
          <w:vertAlign w:val="subscript"/>
        </w:rPr>
        <w:t xml:space="preserve">1</w:t>
      </w:r>
      <w:r>
        <w:t xml:space="preserve">, γ, ε, and ρ) to vary with respect to covariates representing the environmental factors which may be expected to influence these parameters. An important element of this assumption is that the likelihood of detection of a species can depend not only on the observability of the species, but also on factors like habitat suitability which influence species abundance and activity</w:t>
      </w:r>
      <w:r>
        <w:t xml:space="preserve"> </w:t>
      </w:r>
      <w:r>
        <w:t xml:space="preserve">(Guillera-Arroita, 2017)</w:t>
      </w:r>
      <w:r>
        <w:t xml:space="preserve">. While no model will fully account for the complexity inherent in patterns of species occupancy and detection, failure to capture key drivers is likely to introduce bias and confound inference made from model estimates</w:t>
      </w:r>
      <w:r>
        <w:t xml:space="preserve"> </w:t>
      </w:r>
      <w:r>
        <w:t xml:space="preserve">(Barry &amp; Elith, 2006)</w:t>
      </w:r>
      <w:r>
        <w:t xml:space="preserve">. Compared to the first two assumptions mentioned, this aspect of DOMs has been less thoroughly discussed and comparatively little is known about how this latent heterogeneity can influence model performance.</w:t>
      </w:r>
    </w:p>
    <w:p>
      <w:pPr>
        <w:pStyle w:val="FirstParagraph"/>
      </w:pPr>
      <w:r>
        <w:t xml:space="preserve">Since its original description in</w:t>
      </w:r>
      <w:r>
        <w:t xml:space="preserve"> </w:t>
      </w:r>
      <w:r>
        <w:t xml:space="preserve">MacKenzie et al. (2003)</w:t>
      </w:r>
      <w:r>
        <w:t xml:space="preserve">, the DOM has been further developed with numerous model extensions and alternative formulations including aforementioned implementations accounting for false positives</w:t>
      </w:r>
      <w:r>
        <w:t xml:space="preserve"> </w:t>
      </w:r>
      <w:r>
        <w:t xml:space="preserve">(Miller et al., 2011; Miller et al., 2015; Royle &amp; Link, 2006)</w:t>
      </w:r>
      <w:r>
        <w:t xml:space="preserve">, multiple states beyond occupied and unoccupied</w:t>
      </w:r>
      <w:r>
        <w:t xml:space="preserve"> </w:t>
      </w:r>
      <w:r>
        <w:t xml:space="preserve">(Nichols et al., 2007)</w:t>
      </w:r>
      <w:r>
        <w:t xml:space="preserve">, and jointly estimated multi-species models</w:t>
      </w:r>
      <w:r>
        <w:t xml:space="preserve"> </w:t>
      </w:r>
      <w:r>
        <w:t xml:space="preserve">(Dorazio et al., 2010)</w:t>
      </w:r>
      <w:r>
        <w:t xml:space="preserve">. For a comprehensive discussion of common extensions and their applications see</w:t>
      </w:r>
      <w:r>
        <w:t xml:space="preserve"> </w:t>
      </w:r>
      <w:r>
        <w:t xml:space="preserve">Bailey et al. (2014)</w:t>
      </w:r>
      <w:r>
        <w:t xml:space="preserve"> </w:t>
      </w:r>
      <w:r>
        <w:t xml:space="preserve">and</w:t>
      </w:r>
      <w:r>
        <w:t xml:space="preserve"> </w:t>
      </w:r>
      <w:r>
        <w:t xml:space="preserve">Guillera-Arroita (2017)</w:t>
      </w:r>
      <w:r>
        <w:t xml:space="preserve">, as well as</w:t>
      </w:r>
      <w:r>
        <w:t xml:space="preserve"> </w:t>
      </w:r>
      <w:r>
        <w:t xml:space="preserve">Devarajan et al. (2020)</w:t>
      </w:r>
      <w:r>
        <w:t xml:space="preserve"> </w:t>
      </w:r>
      <w:r>
        <w:t xml:space="preserve">for a more detailed review of multi-species occupancy models.</w:t>
      </w:r>
    </w:p>
    <w:bookmarkEnd w:id="33"/>
    <w:bookmarkStart w:id="34" w:name="review-methods"/>
    <w:p>
      <w:pPr>
        <w:pStyle w:val="Heading1"/>
      </w:pPr>
      <w:r>
        <w:t xml:space="preserve">Review methods</w:t>
      </w:r>
    </w:p>
    <w:p>
      <w:pPr>
        <w:pStyle w:val="FirstParagraph"/>
      </w:pPr>
      <w:r>
        <w:t xml:space="preserve">Methods.</w:t>
      </w:r>
    </w:p>
    <w:bookmarkEnd w:id="34"/>
    <w:bookmarkStart w:id="53" w:name="results"/>
    <w:p>
      <w:pPr>
        <w:pStyle w:val="Heading1"/>
      </w:pPr>
      <w:r>
        <w:t xml:space="preserve">Results</w:t>
      </w:r>
    </w:p>
    <w:p>
      <w:pPr>
        <w:pStyle w:val="FirstParagraph"/>
      </w:pPr>
      <w:r>
        <w:t xml:space="preserve">Coverage.</w:t>
      </w:r>
    </w:p>
    <w:tbl>
      <w:tblPr>
        <w:tblStyle w:val="Table"/>
        <w:tblW w:type="pct" w:w="5000"/>
        <w:tblLayout w:type="fixed"/>
        <w:tblLook w:firstRow="0" w:lastRow="0" w:firstColumn="0" w:lastColumn="0" w:noHBand="0" w:noVBand="0" w:val="0000"/>
      </w:tblPr>
      <w:tblGrid>
        <w:gridCol w:w="7920"/>
      </w:tblGrid>
      <w:tr>
        <w:tc>
          <w:tcPr/>
          <w:bookmarkStart w:id="38" w:name="fig-coverage"/>
          <w:p>
            <w:pPr>
              <w:pStyle w:val="Compact"/>
              <w:jc w:val="center"/>
            </w:pPr>
            <w:r>
              <w:drawing>
                <wp:inline>
                  <wp:extent cx="3810000" cy="2540000"/>
                  <wp:effectExtent b="0" l="0" r="0" t="0"/>
                  <wp:docPr descr="" title="" id="36" name="Picture"/>
                  <a:graphic>
                    <a:graphicData uri="http://schemas.openxmlformats.org/drawingml/2006/picture">
                      <pic:pic>
                        <pic:nvPicPr>
                          <pic:cNvPr descr="Figures/CoveragePlot.jpeg" id="37" name="Picture"/>
                          <pic:cNvPicPr>
                            <a:picLocks noChangeArrowheads="1" noChangeAspect="1"/>
                          </pic:cNvPicPr>
                        </pic:nvPicPr>
                        <pic:blipFill>
                          <a:blip r:embed="rId35"/>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Bars indicate the 92 articles included in our review as a proportion of the estimated number of published articles fitting DOMs, based on the qualification rate for articles in each strata. The proportion of articles included from each strata were as follows: 12% from 2005-2008; 24% from 2008-2011; 42% from 2012-2015; 35% from 2016-2019; and 57% from 2020-2023.</w:t>
            </w:r>
          </w:p>
          <w:bookmarkEnd w:id="38"/>
        </w:tc>
      </w:tr>
    </w:tbl>
    <w:p>
      <w:pPr>
        <w:pStyle w:val="BodyText"/>
      </w:pPr>
      <w:r>
        <w:t xml:space="preserve">Stamp collection.</w:t>
      </w:r>
    </w:p>
    <w:tbl>
      <w:tblPr>
        <w:tblStyle w:val="Table"/>
        <w:tblW w:type="pct" w:w="5000"/>
        <w:tblLayout w:type="fixed"/>
        <w:tblLook w:firstRow="0" w:lastRow="0" w:firstColumn="0" w:lastColumn="0" w:noHBand="0" w:noVBand="0" w:val="0000"/>
      </w:tblPr>
      <w:tblGrid>
        <w:gridCol w:w="7920"/>
      </w:tblGrid>
      <w:tr>
        <w:tc>
          <w:tcPr/>
          <w:bookmarkStart w:id="42" w:name="fig-StudyDetails"/>
          <w:p>
            <w:pPr>
              <w:pStyle w:val="Compact"/>
              <w:jc w:val="center"/>
            </w:pPr>
            <w:r>
              <w:drawing>
                <wp:inline>
                  <wp:extent cx="5334000" cy="6024890"/>
                  <wp:effectExtent b="0" l="0" r="0" t="0"/>
                  <wp:docPr descr="" title="" id="40" name="Picture"/>
                  <a:graphic>
                    <a:graphicData uri="http://schemas.openxmlformats.org/drawingml/2006/picture">
                      <pic:pic>
                        <pic:nvPicPr>
                          <pic:cNvPr descr="Figures/ReviewBox.png" id="41" name="Picture"/>
                          <pic:cNvPicPr>
                            <a:picLocks noChangeArrowheads="1" noChangeAspect="1"/>
                          </pic:cNvPicPr>
                        </pic:nvPicPr>
                        <pic:blipFill>
                          <a:blip r:embed="rId39"/>
                          <a:stretch>
                            <a:fillRect/>
                          </a:stretch>
                        </pic:blipFill>
                        <pic:spPr bwMode="auto">
                          <a:xfrm>
                            <a:off x="0" y="0"/>
                            <a:ext cx="5334000" cy="60248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Locations of study areas where data was collected for reviewed DOMs. B) Spatial extent of study areas, defined as the area of inference, within which all surveyed points were contained. C) Number of articles which fit models to each category of taxa. Taxa were considered</w:t>
            </w:r>
            <w:r>
              <w:t xml:space="preserve"> </w:t>
            </w:r>
            <w:r>
              <w:t xml:space="preserve">‘threatened’</w:t>
            </w:r>
            <w:r>
              <w:t xml:space="preserve"> </w:t>
            </w:r>
            <w:r>
              <w:t xml:space="preserve">if they are listed on the IUCN Red List, or if authors indicate that they are otherwise threatened. D) Explicitly multi-species models include both hierarchical, jointly estimated models as well as more interactive models. Some studies fit both independent and multi-species models, such that these values do not sum to our sample size. E) Survey methods used to collected presence/absence data. Note that some articles employed multiple detection methods, and that some methods (e.g., citizen bird counts) may fall into multiple categories. F) Quantity of sites where surveys were conducted and duration of studies. Yellow bars indicate median values for site quantity (100) and study duration (8.2 years). Study duration is defined as the time elapsed between the first and last survey.</w:t>
            </w:r>
          </w:p>
          <w:bookmarkEnd w:id="42"/>
        </w:tc>
      </w:tr>
    </w:tbl>
    <w:p>
      <w:pPr>
        <w:pStyle w:val="BodyText"/>
      </w:pPr>
      <w:r>
        <w:t xml:space="preserve">Covariates.</w:t>
      </w:r>
    </w:p>
    <w:tbl>
      <w:tblPr>
        <w:tblStyle w:val="Table"/>
        <w:tblW w:type="pct" w:w="5000"/>
        <w:tblLayout w:type="fixed"/>
        <w:tblLook w:firstRow="0" w:lastRow="0" w:firstColumn="0" w:lastColumn="0" w:noHBand="0" w:noVBand="0" w:val="0000"/>
      </w:tblPr>
      <w:tblGrid>
        <w:gridCol w:w="7920"/>
      </w:tblGrid>
      <w:tr>
        <w:tc>
          <w:tcPr/>
          <w:bookmarkStart w:id="43" w:name="tbl-covariates"/>
          <w:p>
            <w:pPr>
              <w:jc w:val="center"/>
            </w:pPr>
            <w:pPr>
              <w:jc w:val="start"/>
              <w:spacing w:before="200"/>
              <w:pStyle w:val="ImageCaption"/>
            </w:pPr>
            <w:r>
              <w:t xml:space="preserve">Table 1: All covariates considered for inclusion in a study were classified into mutually exclusive categories. We calculate the percentage of studies which include at least one covariate of a given category on any parameter, Initial Occupancy (ψ1), Occupancy (ψ), Colonisation (γ), Extinction(ε), and Detection (ρ). We also present the average percentage of covariates in a category which are dynamic (varying through seasons) and directly observed, as well as the percentage of articles which model each category of covariate with a non-linear relationship or as part of an interaction with another covariate.</w:t>
            </w:r>
          </w:p>
          <w:tbl>
            <w:tblPr>
              <w:tblStyle w:val="Table"/>
              <w:tblW w:type="pct" w:w="5000"/>
              <w:tblLayout w:type="fixed"/>
              <w:tblLook w:firstRow="1" w:lastRow="0" w:firstColumn="0" w:lastColumn="0" w:noHBand="0" w:noVBand="0" w:val="0020"/>
            </w:tblPr>
            <w:tblGrid>
              <w:gridCol w:w="660"/>
              <w:gridCol w:w="660"/>
              <w:gridCol w:w="660"/>
              <w:gridCol w:w="660"/>
              <w:gridCol w:w="660"/>
              <w:gridCol w:w="660"/>
              <w:gridCol w:w="660"/>
              <w:gridCol w:w="660"/>
              <w:gridCol w:w="660"/>
              <w:gridCol w:w="660"/>
              <w:gridCol w:w="660"/>
              <w:gridCol w:w="660"/>
            </w:tblGrid>
            <w:tr>
              <w:trPr>
                <w:tblHeader w:val="on"/>
              </w:trPr>
              <w:tc>
                <w:tcPr>
                  <w:gridSpan w:val="2"/>
                  <w:vMerge w:val="restart"/>
                </w:tcPr>
                <w:p>
                  <w:pPr>
                    <w:pStyle w:val="Compact"/>
                  </w:pPr>
                </w:p>
              </w:tc>
              <w:tc>
                <w:tcPr>
                  <w:gridSpan w:val="6"/>
                </w:tcPr>
                <w:p>
                  <w:pPr>
                    <w:pStyle w:val="Compact"/>
                    <w:jc w:val="center"/>
                    <w:jc w:val="center"/>
                  </w:pPr>
                  <w:r>
                    <w:t xml:space="preserve">Percentage of articles with covariate on parameters:</w:t>
                  </w:r>
                </w:p>
              </w:tc>
              <w:tc>
                <w:tcPr>
                  <w:gridSpan w:val="2"/>
                </w:tcPr>
                <w:p>
                  <w:pPr>
                    <w:pStyle w:val="Compact"/>
                    <w:jc w:val="center"/>
                    <w:jc w:val="center"/>
                  </w:pPr>
                  <w:r>
                    <w:t xml:space="preserve">Percentage which are:</w:t>
                  </w:r>
                </w:p>
              </w:tc>
              <w:tc>
                <w:tcPr>
                  <w:gridSpan w:val="2"/>
                </w:tcPr>
                <w:p>
                  <w:pPr>
                    <w:pStyle w:val="Compact"/>
                    <w:jc w:val="center"/>
                    <w:jc w:val="center"/>
                  </w:pPr>
                  <w:r>
                    <w:t xml:space="preserve">Articles representing this covariate with:</w:t>
                  </w:r>
                </w:p>
              </w:tc>
            </w:tr>
            <w:tr>
              <w:trPr>
                <w:tblHeader w:val="on"/>
              </w:trPr>
              <w:tc>
                <w:tcPr>
                  <w:gridSpan w:val="2"/>
                  <w:vMerge w:val="continue"/>
                </w:tcPr>
                <w:p>
                  <w:pPr/>
                </w:p>
              </w:tc>
              <w:tc>
                <w:tcPr/>
                <w:p>
                  <w:pPr>
                    <w:pStyle w:val="Compact"/>
                    <w:jc w:val="right"/>
                    <w:jc w:val="center"/>
                  </w:pPr>
                  <w:r>
                    <w:t xml:space="preserve">Any</w:t>
                  </w:r>
                </w:p>
              </w:tc>
              <w:tc>
                <w:tcPr/>
                <w:p>
                  <w:pPr>
                    <w:pStyle w:val="Compact"/>
                    <w:jc w:val="right"/>
                    <w:jc w:val="center"/>
                  </w:pPr>
                  <w:r>
                    <w:t xml:space="preserve">ψ1</w:t>
                  </w:r>
                </w:p>
              </w:tc>
              <w:tc>
                <w:tcPr/>
                <w:p>
                  <w:pPr>
                    <w:pStyle w:val="Compact"/>
                    <w:jc w:val="right"/>
                    <w:jc w:val="center"/>
                  </w:pPr>
                  <w:r>
                    <w:t xml:space="preserve">ψ</w:t>
                  </w:r>
                </w:p>
              </w:tc>
              <w:tc>
                <w:tcPr/>
                <w:p>
                  <w:pPr>
                    <w:pStyle w:val="Compact"/>
                    <w:jc w:val="right"/>
                    <w:jc w:val="center"/>
                  </w:pPr>
                  <w:r>
                    <w:t xml:space="preserve">γ</w:t>
                  </w:r>
                </w:p>
              </w:tc>
              <w:tc>
                <w:tcPr/>
                <w:p>
                  <w:pPr>
                    <w:pStyle w:val="Compact"/>
                    <w:jc w:val="right"/>
                    <w:jc w:val="center"/>
                  </w:pPr>
                  <w:r>
                    <w:t xml:space="preserve">ε</w:t>
                  </w:r>
                </w:p>
              </w:tc>
              <w:tc>
                <w:tcPr/>
                <w:p>
                  <w:pPr>
                    <w:pStyle w:val="Compact"/>
                    <w:jc w:val="right"/>
                    <w:jc w:val="center"/>
                  </w:pPr>
                  <w:r>
                    <w:t xml:space="preserve">ρ</w:t>
                  </w:r>
                </w:p>
              </w:tc>
              <w:tc>
                <w:tcPr/>
                <w:p>
                  <w:pPr>
                    <w:pStyle w:val="Compact"/>
                    <w:jc w:val="right"/>
                    <w:jc w:val="center"/>
                  </w:pPr>
                  <w:r>
                    <w:t xml:space="preserve">Dynamic</w:t>
                  </w:r>
                </w:p>
              </w:tc>
              <w:tc>
                <w:tcPr/>
                <w:p>
                  <w:pPr>
                    <w:pStyle w:val="Compact"/>
                    <w:jc w:val="right"/>
                    <w:jc w:val="center"/>
                  </w:pPr>
                  <w:r>
                    <w:t xml:space="preserve">Directly observed</w:t>
                  </w:r>
                </w:p>
              </w:tc>
              <w:tc>
                <w:tcPr/>
                <w:p>
                  <w:pPr>
                    <w:pStyle w:val="Compact"/>
                    <w:jc w:val="right"/>
                    <w:jc w:val="center"/>
                  </w:pPr>
                  <w:r>
                    <w:t xml:space="preserve">Non-linear relationships</w:t>
                  </w:r>
                </w:p>
              </w:tc>
              <w:tc>
                <w:tcPr/>
                <w:p>
                  <w:pPr>
                    <w:pStyle w:val="Compact"/>
                    <w:jc w:val="right"/>
                    <w:jc w:val="center"/>
                  </w:pPr>
                  <w:r>
                    <w:t xml:space="preserve">Interactions between covariates</w:t>
                  </w:r>
                </w:p>
              </w:tc>
            </w:tr>
            <w:tr>
              <w:tc>
                <w:tcPr>
                  <w:vMerge w:val="restart"/>
                </w:tcPr>
                <w:p>
                  <w:pPr>
                    <w:pStyle w:val="Compact"/>
                    <w:jc w:val="left"/>
                    <w:jc w:val="center"/>
                  </w:pPr>
                  <w:r>
                    <w:t xml:space="preserve">Environmental covariates</w:t>
                  </w:r>
                </w:p>
              </w:tc>
              <w:tc>
                <w:tcPr/>
                <w:p>
                  <w:pPr>
                    <w:pStyle w:val="Compact"/>
                    <w:jc w:val="left"/>
                    <w:jc w:val="center"/>
                  </w:pPr>
                  <w:r>
                    <w:rPr>
                      <w:b/>
                      <w:bCs/>
                    </w:rPr>
                    <w:t xml:space="preserve">Habitat</w:t>
                  </w:r>
                  <w:r>
                    <w:t xml:space="preserve"> </w:t>
                  </w:r>
                  <w:r>
                    <w:rPr>
                      <w:i/>
                      <w:iCs/>
                    </w:rPr>
                    <w:t xml:space="preserve">Aspects of habitat and land cover</w:t>
                  </w:r>
                </w:p>
              </w:tc>
              <w:tc>
                <w:tcPr/>
                <w:p>
                  <w:pPr>
                    <w:pStyle w:val="Compact"/>
                    <w:jc w:val="right"/>
                    <w:jc w:val="center"/>
                  </w:pPr>
                  <w:r>
                    <w:t xml:space="preserve">55%</w:t>
                  </w:r>
                </w:p>
              </w:tc>
              <w:tc>
                <w:tcPr/>
                <w:p>
                  <w:pPr>
                    <w:pStyle w:val="Compact"/>
                    <w:jc w:val="right"/>
                    <w:jc w:val="center"/>
                  </w:pPr>
                  <w:r>
                    <w:t xml:space="preserve">41%</w:t>
                  </w:r>
                </w:p>
              </w:tc>
              <w:tc>
                <w:tcPr/>
                <w:p>
                  <w:pPr>
                    <w:pStyle w:val="Compact"/>
                    <w:jc w:val="right"/>
                    <w:jc w:val="center"/>
                  </w:pPr>
                  <w:r>
                    <w:t xml:space="preserve">25%</w:t>
                  </w:r>
                </w:p>
              </w:tc>
              <w:tc>
                <w:tcPr/>
                <w:p>
                  <w:pPr>
                    <w:pStyle w:val="Compact"/>
                    <w:jc w:val="right"/>
                    <w:jc w:val="center"/>
                  </w:pPr>
                  <w:r>
                    <w:t xml:space="preserve">43%</w:t>
                  </w:r>
                </w:p>
              </w:tc>
              <w:tc>
                <w:tcPr/>
                <w:p>
                  <w:pPr>
                    <w:pStyle w:val="Compact"/>
                    <w:jc w:val="right"/>
                    <w:jc w:val="center"/>
                  </w:pPr>
                  <w:r>
                    <w:t xml:space="preserve">46%</w:t>
                  </w:r>
                </w:p>
              </w:tc>
              <w:tc>
                <w:tcPr/>
                <w:p>
                  <w:pPr>
                    <w:pStyle w:val="Compact"/>
                    <w:jc w:val="right"/>
                    <w:jc w:val="center"/>
                  </w:pPr>
                  <w:r>
                    <w:t xml:space="preserve">28%</w:t>
                  </w:r>
                </w:p>
              </w:tc>
              <w:tc>
                <w:tcPr/>
                <w:p>
                  <w:pPr>
                    <w:pStyle w:val="Compact"/>
                    <w:jc w:val="right"/>
                    <w:jc w:val="center"/>
                  </w:pPr>
                  <w:r>
                    <w:t xml:space="preserve">24%</w:t>
                  </w:r>
                </w:p>
              </w:tc>
              <w:tc>
                <w:tcPr/>
                <w:p>
                  <w:pPr>
                    <w:pStyle w:val="Compact"/>
                    <w:jc w:val="right"/>
                    <w:jc w:val="center"/>
                  </w:pPr>
                  <w:r>
                    <w:t xml:space="preserve">33%</w:t>
                  </w:r>
                </w:p>
              </w:tc>
              <w:tc>
                <w:tcPr/>
                <w:p>
                  <w:pPr>
                    <w:pStyle w:val="Compact"/>
                    <w:jc w:val="right"/>
                    <w:jc w:val="center"/>
                  </w:pPr>
                  <w:r>
                    <w:t xml:space="preserve">12%</w:t>
                  </w:r>
                </w:p>
              </w:tc>
              <w:tc>
                <w:tcPr/>
                <w:p>
                  <w:pPr>
                    <w:pStyle w:val="Compact"/>
                    <w:jc w:val="right"/>
                    <w:jc w:val="center"/>
                  </w:pPr>
                  <w:r>
                    <w:t xml:space="preserve">25%</w:t>
                  </w:r>
                </w:p>
              </w:tc>
            </w:tr>
            <w:tr>
              <w:tc>
                <w:tcPr>
                  <w:gridSpan w:val="1"/>
                  <w:vMerge w:val="continue"/>
                </w:tcPr>
                <w:p>
                  <w:pPr/>
                </w:p>
              </w:tc>
              <w:tc>
                <w:tcPr/>
                <w:p>
                  <w:pPr>
                    <w:pStyle w:val="Compact"/>
                    <w:jc w:val="left"/>
                    <w:jc w:val="center"/>
                  </w:pPr>
                  <w:r>
                    <w:rPr>
                      <w:b/>
                      <w:bCs/>
                    </w:rPr>
                    <w:t xml:space="preserve">Spatial</w:t>
                  </w:r>
                  <w:r>
                    <w:t xml:space="preserve"> </w:t>
                  </w:r>
                  <w:r>
                    <w:rPr>
                      <w:i/>
                      <w:iCs/>
                    </w:rPr>
                    <w:t xml:space="preserve">Site geometry, connectivity, or other spatial elements</w:t>
                  </w:r>
                </w:p>
              </w:tc>
              <w:tc>
                <w:tcPr/>
                <w:p>
                  <w:pPr>
                    <w:pStyle w:val="Compact"/>
                    <w:jc w:val="right"/>
                    <w:jc w:val="center"/>
                  </w:pPr>
                  <w:r>
                    <w:t xml:space="preserve">35%</w:t>
                  </w:r>
                </w:p>
              </w:tc>
              <w:tc>
                <w:tcPr/>
                <w:p>
                  <w:pPr>
                    <w:pStyle w:val="Compact"/>
                    <w:jc w:val="right"/>
                    <w:jc w:val="center"/>
                  </w:pPr>
                  <w:r>
                    <w:t xml:space="preserve">22%</w:t>
                  </w:r>
                </w:p>
              </w:tc>
              <w:tc>
                <w:tcPr/>
                <w:p>
                  <w:pPr>
                    <w:pStyle w:val="Compact"/>
                    <w:jc w:val="right"/>
                    <w:jc w:val="center"/>
                  </w:pPr>
                  <w:r>
                    <w:t xml:space="preserve">31%</w:t>
                  </w:r>
                </w:p>
              </w:tc>
              <w:tc>
                <w:tcPr/>
                <w:p>
                  <w:pPr>
                    <w:pStyle w:val="Compact"/>
                    <w:jc w:val="right"/>
                    <w:jc w:val="center"/>
                  </w:pPr>
                  <w:r>
                    <w:t xml:space="preserve">33%</w:t>
                  </w:r>
                </w:p>
              </w:tc>
              <w:tc>
                <w:tcPr/>
                <w:p>
                  <w:pPr>
                    <w:pStyle w:val="Compact"/>
                    <w:jc w:val="right"/>
                    <w:jc w:val="center"/>
                  </w:pPr>
                  <w:r>
                    <w:t xml:space="preserve">30%</w:t>
                  </w:r>
                </w:p>
              </w:tc>
              <w:tc>
                <w:tcPr/>
                <w:p>
                  <w:pPr>
                    <w:pStyle w:val="Compact"/>
                    <w:jc w:val="right"/>
                    <w:jc w:val="center"/>
                  </w:pPr>
                  <w:r>
                    <w:t xml:space="preserve">11%</w:t>
                  </w:r>
                </w:p>
              </w:tc>
              <w:tc>
                <w:tcPr/>
                <w:p>
                  <w:pPr>
                    <w:pStyle w:val="Compact"/>
                    <w:jc w:val="right"/>
                    <w:jc w:val="center"/>
                  </w:pPr>
                  <w:r>
                    <w:t xml:space="preserve">30%</w:t>
                  </w:r>
                </w:p>
              </w:tc>
              <w:tc>
                <w:tcPr/>
                <w:p>
                  <w:pPr>
                    <w:pStyle w:val="Compact"/>
                    <w:jc w:val="right"/>
                    <w:jc w:val="center"/>
                  </w:pPr>
                  <w:r>
                    <w:t xml:space="preserve">39%</w:t>
                  </w:r>
                </w:p>
              </w:tc>
              <w:tc>
                <w:tcPr/>
                <w:p>
                  <w:pPr>
                    <w:pStyle w:val="Compact"/>
                    <w:jc w:val="right"/>
                    <w:jc w:val="center"/>
                  </w:pPr>
                  <w:r>
                    <w:t xml:space="preserve">22%</w:t>
                  </w:r>
                </w:p>
              </w:tc>
              <w:tc>
                <w:tcPr/>
                <w:p>
                  <w:pPr>
                    <w:pStyle w:val="Compact"/>
                    <w:jc w:val="right"/>
                    <w:jc w:val="center"/>
                  </w:pPr>
                  <w:r>
                    <w:t xml:space="preserve">25%</w:t>
                  </w:r>
                </w:p>
              </w:tc>
            </w:tr>
            <w:tr>
              <w:tc>
                <w:tcPr>
                  <w:gridSpan w:val="1"/>
                  <w:vMerge w:val="continue"/>
                </w:tcPr>
                <w:p>
                  <w:pPr/>
                </w:p>
              </w:tc>
              <w:tc>
                <w:tcPr/>
                <w:p>
                  <w:pPr>
                    <w:pStyle w:val="Compact"/>
                    <w:jc w:val="left"/>
                    <w:jc w:val="center"/>
                  </w:pPr>
                  <w:r>
                    <w:rPr>
                      <w:b/>
                      <w:bCs/>
                    </w:rPr>
                    <w:t xml:space="preserve">Phenology</w:t>
                  </w:r>
                  <w:r>
                    <w:t xml:space="preserve"> </w:t>
                  </w:r>
                  <w:r>
                    <w:rPr>
                      <w:i/>
                      <w:iCs/>
                    </w:rPr>
                    <w:t xml:space="preserve">Time-varying elements distinct from sampling occasions</w:t>
                  </w:r>
                </w:p>
              </w:tc>
              <w:tc>
                <w:tcPr/>
                <w:p>
                  <w:pPr>
                    <w:pStyle w:val="Compact"/>
                    <w:jc w:val="right"/>
                    <w:jc w:val="center"/>
                  </w:pPr>
                  <w:r>
                    <w:t xml:space="preserve">33%</w:t>
                  </w:r>
                </w:p>
              </w:tc>
              <w:tc>
                <w:tcPr/>
                <w:p>
                  <w:pPr>
                    <w:pStyle w:val="Compact"/>
                    <w:jc w:val="right"/>
                    <w:jc w:val="center"/>
                  </w:pPr>
                  <w:r>
                    <w:t xml:space="preserve">1%</w:t>
                  </w:r>
                </w:p>
              </w:tc>
              <w:tc>
                <w:tcPr/>
                <w:p>
                  <w:pPr>
                    <w:pStyle w:val="Compact"/>
                    <w:jc w:val="right"/>
                    <w:jc w:val="center"/>
                  </w:pPr>
                  <w:r>
                    <w:t xml:space="preserve">0%</w:t>
                  </w:r>
                </w:p>
              </w:tc>
              <w:tc>
                <w:tcPr/>
                <w:p>
                  <w:pPr>
                    <w:pStyle w:val="Compact"/>
                    <w:jc w:val="right"/>
                    <w:jc w:val="center"/>
                  </w:pPr>
                  <w:r>
                    <w:t xml:space="preserve">5%</w:t>
                  </w:r>
                </w:p>
              </w:tc>
              <w:tc>
                <w:tcPr/>
                <w:p>
                  <w:pPr>
                    <w:pStyle w:val="Compact"/>
                    <w:jc w:val="right"/>
                    <w:jc w:val="center"/>
                  </w:pPr>
                  <w:r>
                    <w:t xml:space="preserve">4%</w:t>
                  </w:r>
                </w:p>
              </w:tc>
              <w:tc>
                <w:tcPr/>
                <w:p>
                  <w:pPr>
                    <w:pStyle w:val="Compact"/>
                    <w:jc w:val="right"/>
                    <w:jc w:val="center"/>
                  </w:pPr>
                  <w:r>
                    <w:t xml:space="preserve">33%</w:t>
                  </w:r>
                </w:p>
              </w:tc>
              <w:tc>
                <w:tcPr/>
                <w:p>
                  <w:pPr>
                    <w:pStyle w:val="Compact"/>
                    <w:jc w:val="right"/>
                    <w:jc w:val="center"/>
                  </w:pPr>
                  <w:r>
                    <w:t xml:space="preserve">100%</w:t>
                  </w:r>
                </w:p>
              </w:tc>
              <w:tc>
                <w:tcPr/>
                <w:p>
                  <w:pPr>
                    <w:pStyle w:val="Compact"/>
                    <w:jc w:val="right"/>
                    <w:jc w:val="center"/>
                  </w:pPr>
                  <w:r>
                    <w:t xml:space="preserve">0%</w:t>
                  </w:r>
                </w:p>
              </w:tc>
              <w:tc>
                <w:tcPr/>
                <w:p>
                  <w:pPr>
                    <w:pStyle w:val="Compact"/>
                    <w:jc w:val="right"/>
                    <w:jc w:val="center"/>
                  </w:pPr>
                  <w:r>
                    <w:t xml:space="preserve">41%</w:t>
                  </w:r>
                </w:p>
              </w:tc>
              <w:tc>
                <w:tcPr/>
                <w:p>
                  <w:pPr>
                    <w:pStyle w:val="Compact"/>
                    <w:jc w:val="right"/>
                    <w:jc w:val="center"/>
                  </w:pPr>
                  <w:r>
                    <w:t xml:space="preserve">9%</w:t>
                  </w:r>
                </w:p>
              </w:tc>
            </w:tr>
            <w:tr>
              <w:tc>
                <w:tcPr>
                  <w:gridSpan w:val="1"/>
                  <w:vMerge w:val="continue"/>
                </w:tcPr>
                <w:p>
                  <w:pPr/>
                </w:p>
              </w:tc>
              <w:tc>
                <w:tcPr/>
                <w:p>
                  <w:pPr>
                    <w:pStyle w:val="Compact"/>
                    <w:jc w:val="left"/>
                    <w:jc w:val="center"/>
                  </w:pPr>
                  <w:r>
                    <w:rPr>
                      <w:b/>
                      <w:bCs/>
                    </w:rPr>
                    <w:t xml:space="preserve">Climate/Weather</w:t>
                  </w:r>
                  <w:r>
                    <w:t xml:space="preserve"> </w:t>
                  </w:r>
                  <w:r>
                    <w:rPr>
                      <w:i/>
                      <w:iCs/>
                    </w:rPr>
                    <w:t xml:space="preserve">Climate, weather, and natural disasters</w:t>
                  </w:r>
                </w:p>
              </w:tc>
              <w:tc>
                <w:tcPr/>
                <w:p>
                  <w:pPr>
                    <w:pStyle w:val="Compact"/>
                    <w:jc w:val="right"/>
                    <w:jc w:val="center"/>
                  </w:pPr>
                  <w:r>
                    <w:t xml:space="preserve">33%</w:t>
                  </w:r>
                </w:p>
              </w:tc>
              <w:tc>
                <w:tcPr/>
                <w:p>
                  <w:pPr>
                    <w:pStyle w:val="Compact"/>
                    <w:jc w:val="right"/>
                    <w:jc w:val="center"/>
                  </w:pPr>
                  <w:r>
                    <w:t xml:space="preserve">13%</w:t>
                  </w:r>
                </w:p>
              </w:tc>
              <w:tc>
                <w:tcPr/>
                <w:p>
                  <w:pPr>
                    <w:pStyle w:val="Compact"/>
                    <w:jc w:val="right"/>
                    <w:jc w:val="center"/>
                  </w:pPr>
                  <w:r>
                    <w:t xml:space="preserve">12%</w:t>
                  </w:r>
                </w:p>
              </w:tc>
              <w:tc>
                <w:tcPr/>
                <w:p>
                  <w:pPr>
                    <w:pStyle w:val="Compact"/>
                    <w:jc w:val="right"/>
                    <w:jc w:val="center"/>
                  </w:pPr>
                  <w:r>
                    <w:t xml:space="preserve">18%</w:t>
                  </w:r>
                </w:p>
              </w:tc>
              <w:tc>
                <w:tcPr/>
                <w:p>
                  <w:pPr>
                    <w:pStyle w:val="Compact"/>
                    <w:jc w:val="right"/>
                    <w:jc w:val="center"/>
                  </w:pPr>
                  <w:r>
                    <w:t xml:space="preserve">18%</w:t>
                  </w:r>
                </w:p>
              </w:tc>
              <w:tc>
                <w:tcPr/>
                <w:p>
                  <w:pPr>
                    <w:pStyle w:val="Compact"/>
                    <w:jc w:val="right"/>
                    <w:jc w:val="center"/>
                  </w:pPr>
                  <w:r>
                    <w:t xml:space="preserve">24%</w:t>
                  </w:r>
                </w:p>
              </w:tc>
              <w:tc>
                <w:tcPr/>
                <w:p>
                  <w:pPr>
                    <w:pStyle w:val="Compact"/>
                    <w:jc w:val="right"/>
                    <w:jc w:val="center"/>
                  </w:pPr>
                  <w:r>
                    <w:t xml:space="preserve">77%</w:t>
                  </w:r>
                </w:p>
              </w:tc>
              <w:tc>
                <w:tcPr/>
                <w:p>
                  <w:pPr>
                    <w:pStyle w:val="Compact"/>
                    <w:jc w:val="right"/>
                    <w:jc w:val="center"/>
                  </w:pPr>
                  <w:r>
                    <w:t xml:space="preserve">35%</w:t>
                  </w:r>
                </w:p>
              </w:tc>
              <w:tc>
                <w:tcPr/>
                <w:p>
                  <w:pPr>
                    <w:pStyle w:val="Compact"/>
                    <w:jc w:val="right"/>
                    <w:jc w:val="center"/>
                  </w:pPr>
                  <w:r>
                    <w:t xml:space="preserve">32%</w:t>
                  </w:r>
                </w:p>
              </w:tc>
              <w:tc>
                <w:tcPr/>
                <w:p>
                  <w:pPr>
                    <w:pStyle w:val="Compact"/>
                    <w:jc w:val="right"/>
                    <w:jc w:val="center"/>
                  </w:pPr>
                  <w:r>
                    <w:t xml:space="preserve">26%</w:t>
                  </w:r>
                </w:p>
              </w:tc>
            </w:tr>
            <w:tr>
              <w:tc>
                <w:tcPr>
                  <w:gridSpan w:val="1"/>
                  <w:vMerge w:val="continue"/>
                </w:tcPr>
                <w:p>
                  <w:pPr/>
                </w:p>
              </w:tc>
              <w:tc>
                <w:tcPr/>
                <w:p>
                  <w:pPr>
                    <w:pStyle w:val="Compact"/>
                    <w:jc w:val="left"/>
                    <w:jc w:val="center"/>
                  </w:pPr>
                  <w:r>
                    <w:rPr>
                      <w:b/>
                      <w:bCs/>
                    </w:rPr>
                    <w:t xml:space="preserve">Anthropogenic</w:t>
                  </w:r>
                  <w:r>
                    <w:t xml:space="preserve"> </w:t>
                  </w:r>
                  <w:r>
                    <w:rPr>
                      <w:i/>
                      <w:iCs/>
                    </w:rPr>
                    <w:t xml:space="preserve">Relations to human activity</w:t>
                  </w:r>
                </w:p>
              </w:tc>
              <w:tc>
                <w:tcPr/>
                <w:p>
                  <w:pPr>
                    <w:pStyle w:val="Compact"/>
                    <w:jc w:val="right"/>
                    <w:jc w:val="center"/>
                  </w:pPr>
                  <w:r>
                    <w:t xml:space="preserve">25%</w:t>
                  </w:r>
                </w:p>
              </w:tc>
              <w:tc>
                <w:tcPr/>
                <w:p>
                  <w:pPr>
                    <w:pStyle w:val="Compact"/>
                    <w:jc w:val="right"/>
                    <w:jc w:val="center"/>
                  </w:pPr>
                  <w:r>
                    <w:t xml:space="preserve">20%</w:t>
                  </w:r>
                </w:p>
              </w:tc>
              <w:tc>
                <w:tcPr/>
                <w:p>
                  <w:pPr>
                    <w:pStyle w:val="Compact"/>
                    <w:jc w:val="right"/>
                    <w:jc w:val="center"/>
                  </w:pPr>
                  <w:r>
                    <w:t xml:space="preserve">6%</w:t>
                  </w:r>
                </w:p>
              </w:tc>
              <w:tc>
                <w:tcPr/>
                <w:p>
                  <w:pPr>
                    <w:pStyle w:val="Compact"/>
                    <w:jc w:val="right"/>
                    <w:jc w:val="center"/>
                  </w:pPr>
                  <w:r>
                    <w:t xml:space="preserve">23%</w:t>
                  </w:r>
                </w:p>
              </w:tc>
              <w:tc>
                <w:tcPr/>
                <w:p>
                  <w:pPr>
                    <w:pStyle w:val="Compact"/>
                    <w:jc w:val="right"/>
                    <w:jc w:val="center"/>
                  </w:pPr>
                  <w:r>
                    <w:t xml:space="preserve">21%</w:t>
                  </w:r>
                </w:p>
              </w:tc>
              <w:tc>
                <w:tcPr/>
                <w:p>
                  <w:pPr>
                    <w:pStyle w:val="Compact"/>
                    <w:jc w:val="right"/>
                    <w:jc w:val="center"/>
                  </w:pPr>
                  <w:r>
                    <w:t xml:space="preserve">6%</w:t>
                  </w:r>
                </w:p>
              </w:tc>
              <w:tc>
                <w:tcPr/>
                <w:p>
                  <w:pPr>
                    <w:pStyle w:val="Compact"/>
                    <w:jc w:val="right"/>
                    <w:jc w:val="center"/>
                  </w:pPr>
                  <w:r>
                    <w:t xml:space="preserve">11%</w:t>
                  </w:r>
                </w:p>
              </w:tc>
              <w:tc>
                <w:tcPr/>
                <w:p>
                  <w:pPr>
                    <w:pStyle w:val="Compact"/>
                    <w:jc w:val="right"/>
                    <w:jc w:val="center"/>
                  </w:pPr>
                  <w:r>
                    <w:t xml:space="preserve">8%</w:t>
                  </w:r>
                </w:p>
              </w:tc>
              <w:tc>
                <w:tcPr/>
                <w:p>
                  <w:pPr>
                    <w:pStyle w:val="Compact"/>
                    <w:jc w:val="right"/>
                    <w:jc w:val="center"/>
                  </w:pPr>
                  <w:r>
                    <w:t xml:space="preserve">12%</w:t>
                  </w:r>
                </w:p>
              </w:tc>
              <w:tc>
                <w:tcPr/>
                <w:p>
                  <w:pPr>
                    <w:pStyle w:val="Compact"/>
                    <w:jc w:val="right"/>
                    <w:jc w:val="center"/>
                  </w:pPr>
                  <w:r>
                    <w:t xml:space="preserve">20%</w:t>
                  </w:r>
                </w:p>
              </w:tc>
            </w:tr>
            <w:tr>
              <w:tc>
                <w:tcPr>
                  <w:gridSpan w:val="1"/>
                  <w:vMerge w:val="continue"/>
                </w:tcPr>
                <w:p>
                  <w:pPr/>
                </w:p>
              </w:tc>
              <w:tc>
                <w:tcPr/>
                <w:p>
                  <w:pPr>
                    <w:pStyle w:val="Compact"/>
                    <w:jc w:val="left"/>
                    <w:jc w:val="center"/>
                  </w:pPr>
                  <w:r>
                    <w:rPr>
                      <w:b/>
                      <w:bCs/>
                    </w:rPr>
                    <w:t xml:space="preserve">Other environmental</w:t>
                  </w:r>
                  <w:r>
                    <w:t xml:space="preserve"> </w:t>
                  </w:r>
                  <w:r>
                    <w:rPr>
                      <w:i/>
                      <w:iCs/>
                    </w:rPr>
                    <w:t xml:space="preserve">Other environmental covariate not otherwise listed</w:t>
                  </w:r>
                </w:p>
              </w:tc>
              <w:tc>
                <w:tcPr/>
                <w:p>
                  <w:pPr>
                    <w:pStyle w:val="Compact"/>
                    <w:jc w:val="right"/>
                    <w:jc w:val="center"/>
                  </w:pPr>
                  <w:r>
                    <w:t xml:space="preserve">21%</w:t>
                  </w:r>
                </w:p>
              </w:tc>
              <w:tc>
                <w:tcPr/>
                <w:p>
                  <w:pPr>
                    <w:pStyle w:val="Compact"/>
                    <w:jc w:val="right"/>
                    <w:jc w:val="center"/>
                  </w:pPr>
                  <w:r>
                    <w:t xml:space="preserve">5%</w:t>
                  </w:r>
                </w:p>
              </w:tc>
              <w:tc>
                <w:tcPr/>
                <w:p>
                  <w:pPr>
                    <w:pStyle w:val="Compact"/>
                    <w:jc w:val="right"/>
                    <w:jc w:val="center"/>
                  </w:pPr>
                  <w:r>
                    <w:t xml:space="preserve">19%</w:t>
                  </w:r>
                </w:p>
              </w:tc>
              <w:tc>
                <w:tcPr/>
                <w:p>
                  <w:pPr>
                    <w:pStyle w:val="Compact"/>
                    <w:jc w:val="right"/>
                    <w:jc w:val="center"/>
                  </w:pPr>
                  <w:r>
                    <w:t xml:space="preserve">4%</w:t>
                  </w:r>
                </w:p>
              </w:tc>
              <w:tc>
                <w:tcPr/>
                <w:p>
                  <w:pPr>
                    <w:pStyle w:val="Compact"/>
                    <w:jc w:val="right"/>
                    <w:jc w:val="center"/>
                  </w:pPr>
                  <w:r>
                    <w:t xml:space="preserve">10%</w:t>
                  </w:r>
                </w:p>
              </w:tc>
              <w:tc>
                <w:tcPr/>
                <w:p>
                  <w:pPr>
                    <w:pStyle w:val="Compact"/>
                    <w:jc w:val="right"/>
                    <w:jc w:val="center"/>
                  </w:pPr>
                  <w:r>
                    <w:t xml:space="preserve">13%</w:t>
                  </w:r>
                </w:p>
              </w:tc>
              <w:tc>
                <w:tcPr/>
                <w:p>
                  <w:pPr>
                    <w:pStyle w:val="Compact"/>
                    <w:jc w:val="right"/>
                    <w:jc w:val="center"/>
                  </w:pPr>
                  <w:r>
                    <w:t xml:space="preserve">71%</w:t>
                  </w:r>
                </w:p>
              </w:tc>
              <w:tc>
                <w:tcPr/>
                <w:p>
                  <w:pPr>
                    <w:pStyle w:val="Compact"/>
                    <w:jc w:val="right"/>
                    <w:jc w:val="center"/>
                  </w:pPr>
                  <w:r>
                    <w:t xml:space="preserve">78%</w:t>
                  </w:r>
                </w:p>
              </w:tc>
              <w:tc>
                <w:tcPr/>
                <w:p>
                  <w:pPr>
                    <w:pStyle w:val="Compact"/>
                    <w:jc w:val="right"/>
                    <w:jc w:val="center"/>
                  </w:pPr>
                  <w:r>
                    <w:t xml:space="preserve">0%</w:t>
                  </w:r>
                </w:p>
              </w:tc>
              <w:tc>
                <w:tcPr/>
                <w:p>
                  <w:pPr>
                    <w:pStyle w:val="Compact"/>
                    <w:jc w:val="right"/>
                    <w:jc w:val="center"/>
                  </w:pPr>
                  <w:r>
                    <w:t xml:space="preserve">0%</w:t>
                  </w:r>
                </w:p>
              </w:tc>
            </w:tr>
            <w:tr>
              <w:tc>
                <w:tcPr>
                  <w:gridSpan w:val="1"/>
                  <w:vMerge w:val="continue"/>
                </w:tcPr>
                <w:p>
                  <w:pPr/>
                </w:p>
              </w:tc>
              <w:tc>
                <w:tcPr/>
                <w:p>
                  <w:pPr>
                    <w:pStyle w:val="Compact"/>
                    <w:jc w:val="left"/>
                    <w:jc w:val="center"/>
                  </w:pPr>
                  <w:r>
                    <w:rPr>
                      <w:b/>
                      <w:bCs/>
                    </w:rPr>
                    <w:t xml:space="preserve">Topography</w:t>
                  </w:r>
                  <w:r>
                    <w:t xml:space="preserve"> </w:t>
                  </w:r>
                  <w:r>
                    <w:rPr>
                      <w:i/>
                      <w:iCs/>
                    </w:rPr>
                    <w:t xml:space="preserve">Elements of landscape topography</w:t>
                  </w:r>
                </w:p>
              </w:tc>
              <w:tc>
                <w:tcPr/>
                <w:p>
                  <w:pPr>
                    <w:pStyle w:val="Compact"/>
                    <w:jc w:val="right"/>
                    <w:jc w:val="center"/>
                  </w:pPr>
                  <w:r>
                    <w:t xml:space="preserve">21%</w:t>
                  </w:r>
                </w:p>
              </w:tc>
              <w:tc>
                <w:tcPr/>
                <w:p>
                  <w:pPr>
                    <w:pStyle w:val="Compact"/>
                    <w:jc w:val="right"/>
                    <w:jc w:val="center"/>
                  </w:pPr>
                  <w:r>
                    <w:t xml:space="preserve">18%</w:t>
                  </w:r>
                </w:p>
              </w:tc>
              <w:tc>
                <w:tcPr/>
                <w:p>
                  <w:pPr>
                    <w:pStyle w:val="Compact"/>
                    <w:jc w:val="right"/>
                    <w:jc w:val="center"/>
                  </w:pPr>
                  <w:r>
                    <w:t xml:space="preserve">25%</w:t>
                  </w:r>
                </w:p>
              </w:tc>
              <w:tc>
                <w:tcPr/>
                <w:p>
                  <w:pPr>
                    <w:pStyle w:val="Compact"/>
                    <w:jc w:val="right"/>
                    <w:jc w:val="center"/>
                  </w:pPr>
                  <w:r>
                    <w:t xml:space="preserve">13%</w:t>
                  </w:r>
                </w:p>
              </w:tc>
              <w:tc>
                <w:tcPr/>
                <w:p>
                  <w:pPr>
                    <w:pStyle w:val="Compact"/>
                    <w:jc w:val="right"/>
                    <w:jc w:val="center"/>
                  </w:pPr>
                  <w:r>
                    <w:t xml:space="preserve">14%</w:t>
                  </w:r>
                </w:p>
              </w:tc>
              <w:tc>
                <w:tcPr/>
                <w:p>
                  <w:pPr>
                    <w:pStyle w:val="Compact"/>
                    <w:jc w:val="right"/>
                    <w:jc w:val="center"/>
                  </w:pPr>
                  <w:r>
                    <w:t xml:space="preserve">6%</w:t>
                  </w:r>
                </w:p>
              </w:tc>
              <w:tc>
                <w:tcPr/>
                <w:p>
                  <w:pPr>
                    <w:pStyle w:val="Compact"/>
                    <w:jc w:val="right"/>
                    <w:jc w:val="center"/>
                  </w:pPr>
                  <w:r>
                    <w:t xml:space="preserve">0%</w:t>
                  </w:r>
                </w:p>
              </w:tc>
              <w:tc>
                <w:tcPr/>
                <w:p>
                  <w:pPr>
                    <w:pStyle w:val="Compact"/>
                    <w:jc w:val="right"/>
                    <w:jc w:val="center"/>
                  </w:pPr>
                  <w:r>
                    <w:t xml:space="preserve">7%</w:t>
                  </w:r>
                </w:p>
              </w:tc>
              <w:tc>
                <w:tcPr/>
                <w:p>
                  <w:pPr>
                    <w:pStyle w:val="Compact"/>
                    <w:jc w:val="right"/>
                    <w:jc w:val="center"/>
                  </w:pPr>
                  <w:r>
                    <w:t xml:space="preserve">29%</w:t>
                  </w:r>
                </w:p>
              </w:tc>
              <w:tc>
                <w:tcPr/>
                <w:p>
                  <w:pPr>
                    <w:pStyle w:val="Compact"/>
                    <w:jc w:val="right"/>
                    <w:jc w:val="center"/>
                  </w:pPr>
                  <w:r>
                    <w:t xml:space="preserve">10%</w:t>
                  </w:r>
                </w:p>
              </w:tc>
            </w:tr>
            <w:tr>
              <w:tc>
                <w:tcPr>
                  <w:gridSpan w:val="1"/>
                  <w:vMerge w:val="continue"/>
                </w:tcPr>
                <w:p>
                  <w:pPr/>
                </w:p>
              </w:tc>
              <w:tc>
                <w:tcPr/>
                <w:p>
                  <w:pPr>
                    <w:pStyle w:val="Compact"/>
                    <w:jc w:val="left"/>
                    <w:jc w:val="center"/>
                  </w:pPr>
                  <w:r>
                    <w:rPr>
                      <w:b/>
                      <w:bCs/>
                    </w:rPr>
                    <w:t xml:space="preserve">Biotic interaction</w:t>
                  </w:r>
                  <w:r>
                    <w:t xml:space="preserve"> </w:t>
                  </w:r>
                  <w:r>
                    <w:rPr>
                      <w:i/>
                      <w:iCs/>
                    </w:rPr>
                    <w:t xml:space="preserve">Interactions with other (non-plant) species</w:t>
                  </w:r>
                </w:p>
              </w:tc>
              <w:tc>
                <w:tcPr/>
                <w:p>
                  <w:pPr>
                    <w:pStyle w:val="Compact"/>
                    <w:jc w:val="right"/>
                    <w:jc w:val="center"/>
                  </w:pPr>
                  <w:r>
                    <w:t xml:space="preserve">15%</w:t>
                  </w:r>
                </w:p>
              </w:tc>
              <w:tc>
                <w:tcPr/>
                <w:p>
                  <w:pPr>
                    <w:pStyle w:val="Compact"/>
                    <w:jc w:val="right"/>
                    <w:jc w:val="center"/>
                  </w:pPr>
                  <w:r>
                    <w:t xml:space="preserve">7%</w:t>
                  </w:r>
                </w:p>
              </w:tc>
              <w:tc>
                <w:tcPr/>
                <w:p>
                  <w:pPr>
                    <w:pStyle w:val="Compact"/>
                    <w:jc w:val="right"/>
                    <w:jc w:val="center"/>
                  </w:pPr>
                  <w:r>
                    <w:t xml:space="preserve">0%</w:t>
                  </w:r>
                </w:p>
              </w:tc>
              <w:tc>
                <w:tcPr/>
                <w:p>
                  <w:pPr>
                    <w:pStyle w:val="Compact"/>
                    <w:jc w:val="right"/>
                    <w:jc w:val="center"/>
                  </w:pPr>
                  <w:r>
                    <w:t xml:space="preserve">14%</w:t>
                  </w:r>
                </w:p>
              </w:tc>
              <w:tc>
                <w:tcPr/>
                <w:p>
                  <w:pPr>
                    <w:pStyle w:val="Compact"/>
                    <w:jc w:val="right"/>
                    <w:jc w:val="center"/>
                  </w:pPr>
                  <w:r>
                    <w:t xml:space="preserve">14%</w:t>
                  </w:r>
                </w:p>
              </w:tc>
              <w:tc>
                <w:tcPr/>
                <w:p>
                  <w:pPr>
                    <w:pStyle w:val="Compact"/>
                    <w:jc w:val="right"/>
                    <w:jc w:val="center"/>
                  </w:pPr>
                  <w:r>
                    <w:t xml:space="preserve">5%</w:t>
                  </w:r>
                </w:p>
              </w:tc>
              <w:tc>
                <w:tcPr/>
                <w:p>
                  <w:pPr>
                    <w:pStyle w:val="Compact"/>
                    <w:jc w:val="right"/>
                    <w:jc w:val="center"/>
                  </w:pPr>
                  <w:r>
                    <w:t xml:space="preserve">59%</w:t>
                  </w:r>
                </w:p>
              </w:tc>
              <w:tc>
                <w:tcPr/>
                <w:p>
                  <w:pPr>
                    <w:pStyle w:val="Compact"/>
                    <w:jc w:val="right"/>
                    <w:jc w:val="center"/>
                  </w:pPr>
                  <w:r>
                    <w:t xml:space="preserve">64%</w:t>
                  </w:r>
                </w:p>
              </w:tc>
              <w:tc>
                <w:tcPr/>
                <w:p>
                  <w:pPr>
                    <w:pStyle w:val="Compact"/>
                    <w:jc w:val="right"/>
                    <w:jc w:val="center"/>
                  </w:pPr>
                  <w:r>
                    <w:t xml:space="preserve">7%</w:t>
                  </w:r>
                </w:p>
              </w:tc>
              <w:tc>
                <w:tcPr/>
                <w:p>
                  <w:pPr>
                    <w:pStyle w:val="Compact"/>
                    <w:jc w:val="right"/>
                    <w:jc w:val="center"/>
                  </w:pPr>
                  <w:r>
                    <w:t xml:space="preserve">20%</w:t>
                  </w:r>
                </w:p>
              </w:tc>
            </w:tr>
            <w:tr>
              <w:tc>
                <w:tcPr>
                  <w:gridSpan w:val="1"/>
                  <w:vMerge w:val="continue"/>
                </w:tcPr>
                <w:p>
                  <w:pPr/>
                </w:p>
              </w:tc>
              <w:tc>
                <w:tcPr/>
                <w:p>
                  <w:pPr>
                    <w:pStyle w:val="Compact"/>
                    <w:jc w:val="left"/>
                    <w:jc w:val="center"/>
                  </w:pPr>
                  <w:r>
                    <w:rPr>
                      <w:b/>
                      <w:bCs/>
                    </w:rPr>
                    <w:t xml:space="preserve">Hydrology</w:t>
                  </w:r>
                  <w:r>
                    <w:t xml:space="preserve"> </w:t>
                  </w:r>
                  <w:r>
                    <w:rPr>
                      <w:i/>
                      <w:iCs/>
                    </w:rPr>
                    <w:t xml:space="preserve">Aspects of hydrology, such as distance to water</w:t>
                  </w:r>
                </w:p>
              </w:tc>
              <w:tc>
                <w:tcPr/>
                <w:p>
                  <w:pPr>
                    <w:pStyle w:val="Compact"/>
                    <w:jc w:val="right"/>
                    <w:jc w:val="center"/>
                  </w:pPr>
                  <w:r>
                    <w:t xml:space="preserve">14%</w:t>
                  </w:r>
                </w:p>
              </w:tc>
              <w:tc>
                <w:tcPr/>
                <w:p>
                  <w:pPr>
                    <w:pStyle w:val="Compact"/>
                    <w:jc w:val="right"/>
                    <w:jc w:val="center"/>
                  </w:pPr>
                  <w:r>
                    <w:t xml:space="preserve">8%</w:t>
                  </w:r>
                </w:p>
              </w:tc>
              <w:tc>
                <w:tcPr/>
                <w:p>
                  <w:pPr>
                    <w:pStyle w:val="Compact"/>
                    <w:jc w:val="right"/>
                    <w:jc w:val="center"/>
                  </w:pPr>
                  <w:r>
                    <w:t xml:space="preserve">25%</w:t>
                  </w:r>
                </w:p>
              </w:tc>
              <w:tc>
                <w:tcPr/>
                <w:p>
                  <w:pPr>
                    <w:pStyle w:val="Compact"/>
                    <w:jc w:val="right"/>
                    <w:jc w:val="center"/>
                  </w:pPr>
                  <w:r>
                    <w:t xml:space="preserve">14%</w:t>
                  </w:r>
                </w:p>
              </w:tc>
              <w:tc>
                <w:tcPr/>
                <w:p>
                  <w:pPr>
                    <w:pStyle w:val="Compact"/>
                    <w:jc w:val="right"/>
                    <w:jc w:val="center"/>
                  </w:pPr>
                  <w:r>
                    <w:t xml:space="preserve">11%</w:t>
                  </w:r>
                </w:p>
              </w:tc>
              <w:tc>
                <w:tcPr/>
                <w:p>
                  <w:pPr>
                    <w:pStyle w:val="Compact"/>
                    <w:jc w:val="right"/>
                    <w:jc w:val="center"/>
                  </w:pPr>
                  <w:r>
                    <w:t xml:space="preserve">4%</w:t>
                  </w:r>
                </w:p>
              </w:tc>
              <w:tc>
                <w:tcPr/>
                <w:p>
                  <w:pPr>
                    <w:pStyle w:val="Compact"/>
                    <w:jc w:val="right"/>
                    <w:jc w:val="center"/>
                  </w:pPr>
                  <w:r>
                    <w:t xml:space="preserve">37%</w:t>
                  </w:r>
                </w:p>
              </w:tc>
              <w:tc>
                <w:tcPr/>
                <w:p>
                  <w:pPr>
                    <w:pStyle w:val="Compact"/>
                    <w:jc w:val="right"/>
                    <w:jc w:val="center"/>
                  </w:pPr>
                  <w:r>
                    <w:t xml:space="preserve">33%</w:t>
                  </w:r>
                </w:p>
              </w:tc>
              <w:tc>
                <w:tcPr/>
                <w:p>
                  <w:pPr>
                    <w:pStyle w:val="Compact"/>
                    <w:jc w:val="right"/>
                    <w:jc w:val="center"/>
                  </w:pPr>
                  <w:r>
                    <w:t xml:space="preserve">29%</w:t>
                  </w:r>
                </w:p>
              </w:tc>
              <w:tc>
                <w:tcPr/>
                <w:p>
                  <w:pPr>
                    <w:pStyle w:val="Compact"/>
                    <w:jc w:val="right"/>
                    <w:jc w:val="center"/>
                  </w:pPr>
                  <w:r>
                    <w:t xml:space="preserve">21%</w:t>
                  </w:r>
                </w:p>
              </w:tc>
            </w:tr>
            <w:tr>
              <w:tc>
                <w:tcPr>
                  <w:gridSpan w:val="1"/>
                  <w:vMerge w:val="continue"/>
                </w:tcPr>
                <w:p>
                  <w:pPr/>
                </w:p>
              </w:tc>
              <w:tc>
                <w:tcPr/>
                <w:p>
                  <w:pPr>
                    <w:pStyle w:val="Compact"/>
                    <w:jc w:val="left"/>
                    <w:jc w:val="center"/>
                  </w:pPr>
                  <w:r>
                    <w:rPr>
                      <w:b/>
                      <w:bCs/>
                    </w:rPr>
                    <w:t xml:space="preserve">Any Environmental</w:t>
                  </w:r>
                </w:p>
              </w:tc>
              <w:tc>
                <w:tcPr/>
                <w:p>
                  <w:pPr>
                    <w:pStyle w:val="Compact"/>
                    <w:jc w:val="right"/>
                    <w:jc w:val="center"/>
                  </w:pPr>
                  <w:r>
                    <w:t xml:space="preserve">91%</w:t>
                  </w:r>
                </w:p>
              </w:tc>
              <w:tc>
                <w:tcPr/>
                <w:p>
                  <w:pPr>
                    <w:pStyle w:val="Compact"/>
                    <w:jc w:val="right"/>
                    <w:jc w:val="center"/>
                  </w:pPr>
                  <w:r>
                    <w:t xml:space="preserve">62%</w:t>
                  </w:r>
                </w:p>
              </w:tc>
              <w:tc>
                <w:tcPr/>
                <w:p>
                  <w:pPr>
                    <w:pStyle w:val="Compact"/>
                    <w:jc w:val="right"/>
                    <w:jc w:val="center"/>
                  </w:pPr>
                  <w:r>
                    <w:t xml:space="preserve">94%</w:t>
                  </w:r>
                </w:p>
              </w:tc>
              <w:tc>
                <w:tcPr/>
                <w:p>
                  <w:pPr>
                    <w:pStyle w:val="Compact"/>
                    <w:jc w:val="right"/>
                    <w:jc w:val="center"/>
                  </w:pPr>
                  <w:r>
                    <w:t xml:space="preserve">74%</w:t>
                  </w:r>
                </w:p>
              </w:tc>
              <w:tc>
                <w:tcPr/>
                <w:p>
                  <w:pPr>
                    <w:pStyle w:val="Compact"/>
                    <w:jc w:val="right"/>
                    <w:jc w:val="center"/>
                  </w:pPr>
                  <w:r>
                    <w:t xml:space="preserve">73%</w:t>
                  </w:r>
                </w:p>
              </w:tc>
              <w:tc>
                <w:tcPr/>
                <w:p>
                  <w:pPr>
                    <w:pStyle w:val="Compact"/>
                    <w:jc w:val="right"/>
                    <w:jc w:val="center"/>
                  </w:pPr>
                  <w:r>
                    <w:t xml:space="preserve">70%</w:t>
                  </w:r>
                </w:p>
              </w:tc>
              <w:tc>
                <w:tcPr/>
                <w:p>
                  <w:pPr>
                    <w:pStyle w:val="Compact"/>
                    <w:jc w:val="right"/>
                    <w:jc w:val="center"/>
                  </w:pPr>
                  <w:r>
                    <w:t xml:space="preserve">43%</w:t>
                  </w:r>
                </w:p>
              </w:tc>
              <w:tc>
                <w:tcPr/>
                <w:p>
                  <w:pPr>
                    <w:pStyle w:val="Compact"/>
                    <w:jc w:val="right"/>
                    <w:jc w:val="center"/>
                  </w:pPr>
                  <w:r>
                    <w:t xml:space="preserve">30%</w:t>
                  </w:r>
                </w:p>
              </w:tc>
              <w:tc>
                <w:tcPr/>
                <w:p>
                  <w:pPr>
                    <w:pStyle w:val="Compact"/>
                    <w:jc w:val="right"/>
                    <w:jc w:val="center"/>
                  </w:pPr>
                  <w:r>
                    <w:t xml:space="preserve">33%</w:t>
                  </w:r>
                </w:p>
              </w:tc>
              <w:tc>
                <w:tcPr/>
                <w:p>
                  <w:pPr>
                    <w:pStyle w:val="Compact"/>
                    <w:jc w:val="right"/>
                    <w:jc w:val="center"/>
                  </w:pPr>
                  <w:r>
                    <w:t xml:space="preserve">26%</w:t>
                  </w:r>
                </w:p>
              </w:tc>
            </w:tr>
            <w:tr>
              <w:tc>
                <w:tcPr>
                  <w:vMerge w:val="restart"/>
                </w:tcPr>
                <w:p>
                  <w:pPr>
                    <w:pStyle w:val="Compact"/>
                    <w:jc w:val="left"/>
                    <w:jc w:val="center"/>
                  </w:pPr>
                  <w:r>
                    <w:t xml:space="preserve">Structural covariates</w:t>
                  </w:r>
                </w:p>
              </w:tc>
              <w:tc>
                <w:tcPr/>
                <w:p>
                  <w:pPr>
                    <w:pStyle w:val="Compact"/>
                    <w:jc w:val="left"/>
                    <w:jc w:val="center"/>
                  </w:pPr>
                  <w:r>
                    <w:rPr>
                      <w:b/>
                      <w:bCs/>
                    </w:rPr>
                    <w:t xml:space="preserve">Primary occasion</w:t>
                  </w:r>
                  <w:r>
                    <w:t xml:space="preserve"> </w:t>
                  </w:r>
                  <w:r>
                    <w:rPr>
                      <w:i/>
                      <w:iCs/>
                    </w:rPr>
                    <w:t xml:space="preserve">Effect of the primary occasion</w:t>
                  </w:r>
                </w:p>
              </w:tc>
              <w:tc>
                <w:tcPr/>
                <w:p>
                  <w:pPr>
                    <w:pStyle w:val="Compact"/>
                    <w:jc w:val="right"/>
                    <w:jc w:val="center"/>
                  </w:pPr>
                  <w:r>
                    <w:t xml:space="preserve">65%</w:t>
                  </w:r>
                </w:p>
              </w:tc>
              <w:tc>
                <w:tcPr/>
                <w:p>
                  <w:pPr>
                    <w:pStyle w:val="Compact"/>
                    <w:jc w:val="right"/>
                    <w:jc w:val="center"/>
                  </w:pPr>
                  <w:r>
                    <w:t xml:space="preserve">1%</w:t>
                  </w:r>
                </w:p>
              </w:tc>
              <w:tc>
                <w:tcPr/>
                <w:p>
                  <w:pPr>
                    <w:pStyle w:val="Compact"/>
                    <w:jc w:val="right"/>
                    <w:jc w:val="center"/>
                  </w:pPr>
                  <w:r>
                    <w:t xml:space="preserve">44%</w:t>
                  </w:r>
                </w:p>
              </w:tc>
              <w:tc>
                <w:tcPr/>
                <w:p>
                  <w:pPr>
                    <w:pStyle w:val="Compact"/>
                    <w:jc w:val="right"/>
                    <w:jc w:val="center"/>
                  </w:pPr>
                  <w:r>
                    <w:t xml:space="preserve">39%</w:t>
                  </w:r>
                </w:p>
              </w:tc>
              <w:tc>
                <w:tcPr/>
                <w:p>
                  <w:pPr>
                    <w:pStyle w:val="Compact"/>
                    <w:jc w:val="right"/>
                    <w:jc w:val="center"/>
                  </w:pPr>
                  <w:r>
                    <w:t xml:space="preserve">38%</w:t>
                  </w:r>
                </w:p>
              </w:tc>
              <w:tc>
                <w:tcPr/>
                <w:p>
                  <w:pPr>
                    <w:pStyle w:val="Compact"/>
                    <w:jc w:val="right"/>
                    <w:jc w:val="center"/>
                  </w:pPr>
                  <w:r>
                    <w:t xml:space="preserve">61%</w:t>
                  </w:r>
                </w:p>
              </w:tc>
              <w:tc>
                <w:tcPr/>
                <w:p>
                  <w:pPr>
                    <w:pStyle w:val="Compact"/>
                    <w:jc w:val="right"/>
                    <w:jc w:val="center"/>
                  </w:pPr>
                  <w:r>
                    <w:t xml:space="preserve">99%</w:t>
                  </w:r>
                </w:p>
              </w:tc>
              <w:tc>
                <w:tcPr/>
                <w:p>
                  <w:pPr>
                    <w:pStyle w:val="Compact"/>
                    <w:jc w:val="right"/>
                    <w:jc w:val="center"/>
                  </w:pPr>
                  <w:r>
                    <w:t xml:space="preserve">0%</w:t>
                  </w:r>
                </w:p>
              </w:tc>
              <w:tc>
                <w:tcPr/>
                <w:p>
                  <w:pPr>
                    <w:pStyle w:val="Compact"/>
                    <w:jc w:val="right"/>
                    <w:jc w:val="center"/>
                  </w:pPr>
                  <w:r>
                    <w:t xml:space="preserve">15%</w:t>
                  </w:r>
                </w:p>
              </w:tc>
              <w:tc>
                <w:tcPr/>
                <w:p>
                  <w:pPr>
                    <w:pStyle w:val="Compact"/>
                    <w:jc w:val="right"/>
                    <w:jc w:val="center"/>
                  </w:pPr>
                  <w:r>
                    <w:t xml:space="preserve">8%</w:t>
                  </w:r>
                </w:p>
              </w:tc>
            </w:tr>
            <w:tr>
              <w:tc>
                <w:tcPr>
                  <w:gridSpan w:val="1"/>
                  <w:vMerge w:val="continue"/>
                </w:tcPr>
                <w:p>
                  <w:pPr/>
                </w:p>
              </w:tc>
              <w:tc>
                <w:tcPr/>
                <w:p>
                  <w:pPr>
                    <w:pStyle w:val="Compact"/>
                    <w:jc w:val="left"/>
                    <w:jc w:val="center"/>
                  </w:pPr>
                  <w:r>
                    <w:rPr>
                      <w:b/>
                      <w:bCs/>
                    </w:rPr>
                    <w:t xml:space="preserve">Observation</w:t>
                  </w:r>
                  <w:r>
                    <w:t xml:space="preserve"> </w:t>
                  </w:r>
                  <w:r>
                    <w:rPr>
                      <w:i/>
                      <w:iCs/>
                    </w:rPr>
                    <w:t xml:space="preserve">Details on the observation process</w:t>
                  </w:r>
                </w:p>
              </w:tc>
              <w:tc>
                <w:tcPr/>
                <w:p>
                  <w:pPr>
                    <w:pStyle w:val="Compact"/>
                    <w:jc w:val="right"/>
                    <w:jc w:val="center"/>
                  </w:pPr>
                  <w:r>
                    <w:t xml:space="preserve">24%</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24%</w:t>
                  </w:r>
                </w:p>
              </w:tc>
              <w:tc>
                <w:tcPr/>
                <w:p>
                  <w:pPr>
                    <w:pStyle w:val="Compact"/>
                    <w:jc w:val="right"/>
                    <w:jc w:val="center"/>
                  </w:pPr>
                  <w:r>
                    <w:t xml:space="preserve">93%</w:t>
                  </w:r>
                </w:p>
              </w:tc>
              <w:tc>
                <w:tcPr/>
                <w:p>
                  <w:pPr>
                    <w:pStyle w:val="Compact"/>
                    <w:jc w:val="right"/>
                    <w:jc w:val="center"/>
                  </w:pPr>
                  <w:r>
                    <w:t xml:space="preserve">7%</w:t>
                  </w:r>
                </w:p>
              </w:tc>
              <w:tc>
                <w:tcPr/>
                <w:p>
                  <w:pPr>
                    <w:pStyle w:val="Compact"/>
                    <w:jc w:val="right"/>
                    <w:jc w:val="center"/>
                  </w:pPr>
                  <w:r>
                    <w:t xml:space="preserve">8%</w:t>
                  </w:r>
                </w:p>
              </w:tc>
              <w:tc>
                <w:tcPr/>
                <w:p>
                  <w:pPr>
                    <w:pStyle w:val="Compact"/>
                    <w:jc w:val="right"/>
                    <w:jc w:val="center"/>
                  </w:pPr>
                  <w:r>
                    <w:t xml:space="preserve">4%</w:t>
                  </w:r>
                </w:p>
              </w:tc>
            </w:tr>
            <w:tr>
              <w:tc>
                <w:tcPr>
                  <w:gridSpan w:val="1"/>
                  <w:vMerge w:val="continue"/>
                </w:tcPr>
                <w:p>
                  <w:pPr/>
                </w:p>
              </w:tc>
              <w:tc>
                <w:tcPr/>
                <w:p>
                  <w:pPr>
                    <w:pStyle w:val="Compact"/>
                    <w:jc w:val="left"/>
                    <w:jc w:val="center"/>
                  </w:pPr>
                  <w:r>
                    <w:rPr>
                      <w:b/>
                      <w:bCs/>
                    </w:rPr>
                    <w:t xml:space="preserve">Secondary occasion</w:t>
                  </w:r>
                  <w:r>
                    <w:t xml:space="preserve"> </w:t>
                  </w:r>
                  <w:r>
                    <w:rPr>
                      <w:i/>
                      <w:iCs/>
                    </w:rPr>
                    <w:t xml:space="preserve">Effect of the secondary occasion</w:t>
                  </w:r>
                </w:p>
              </w:tc>
              <w:tc>
                <w:tcPr/>
                <w:p>
                  <w:pPr>
                    <w:pStyle w:val="Compact"/>
                    <w:jc w:val="right"/>
                    <w:jc w:val="center"/>
                  </w:pPr>
                  <w:r>
                    <w:t xml:space="preserve">15%</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15%</w:t>
                  </w:r>
                </w:p>
              </w:tc>
              <w:tc>
                <w:tcPr/>
                <w:p>
                  <w:pPr>
                    <w:pStyle w:val="Compact"/>
                    <w:jc w:val="right"/>
                    <w:jc w:val="center"/>
                  </w:pPr>
                  <w:r>
                    <w:t xml:space="preserve">100%</w:t>
                  </w:r>
                </w:p>
              </w:tc>
              <w:tc>
                <w:tcPr/>
                <w:p>
                  <w:pPr>
                    <w:pStyle w:val="Compact"/>
                    <w:jc w:val="right"/>
                    <w:jc w:val="center"/>
                  </w:pPr>
                  <w:r>
                    <w:t xml:space="preserve">10%</w:t>
                  </w:r>
                </w:p>
              </w:tc>
              <w:tc>
                <w:tcPr/>
                <w:p>
                  <w:pPr>
                    <w:pStyle w:val="Compact"/>
                    <w:jc w:val="right"/>
                    <w:jc w:val="center"/>
                  </w:pPr>
                  <w:r>
                    <w:t xml:space="preserve">13%</w:t>
                  </w:r>
                </w:p>
              </w:tc>
              <w:tc>
                <w:tcPr/>
                <w:p>
                  <w:pPr>
                    <w:pStyle w:val="Compact"/>
                    <w:jc w:val="right"/>
                    <w:jc w:val="center"/>
                  </w:pPr>
                  <w:r>
                    <w:t xml:space="preserve">0%</w:t>
                  </w:r>
                </w:p>
              </w:tc>
            </w:tr>
            <w:tr>
              <w:tc>
                <w:tcPr>
                  <w:gridSpan w:val="1"/>
                  <w:vMerge w:val="continue"/>
                </w:tcPr>
                <w:p>
                  <w:pPr/>
                </w:p>
              </w:tc>
              <w:tc>
                <w:tcPr/>
                <w:p>
                  <w:pPr>
                    <w:pStyle w:val="Compact"/>
                    <w:jc w:val="left"/>
                    <w:jc w:val="center"/>
                  </w:pPr>
                  <w:r>
                    <w:rPr>
                      <w:b/>
                      <w:bCs/>
                    </w:rPr>
                    <w:t xml:space="preserve">Site effect</w:t>
                  </w:r>
                  <w:r>
                    <w:t xml:space="preserve"> </w:t>
                  </w:r>
                  <w:r>
                    <w:rPr>
                      <w:i/>
                      <w:iCs/>
                    </w:rPr>
                    <w:t xml:space="preserve">Site-level effects</w:t>
                  </w:r>
                </w:p>
              </w:tc>
              <w:tc>
                <w:tcPr/>
                <w:p>
                  <w:pPr>
                    <w:pStyle w:val="Compact"/>
                    <w:jc w:val="right"/>
                    <w:jc w:val="center"/>
                  </w:pPr>
                  <w:r>
                    <w:t xml:space="preserve">3%</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r>
            <w:tr>
              <w:tc>
                <w:tcPr>
                  <w:gridSpan w:val="1"/>
                  <w:vMerge w:val="continue"/>
                </w:tcPr>
                <w:p>
                  <w:pPr/>
                </w:p>
              </w:tc>
              <w:tc>
                <w:tcPr/>
                <w:p>
                  <w:pPr>
                    <w:pStyle w:val="Compact"/>
                    <w:jc w:val="left"/>
                    <w:jc w:val="center"/>
                  </w:pPr>
                  <w:r>
                    <w:rPr>
                      <w:b/>
                      <w:bCs/>
                    </w:rPr>
                    <w:t xml:space="preserve">Other structural</w:t>
                  </w:r>
                  <w:r>
                    <w:t xml:space="preserve"> </w:t>
                  </w:r>
                  <w:r>
                    <w:rPr>
                      <w:i/>
                      <w:iCs/>
                    </w:rPr>
                    <w:t xml:space="preserve">Other structural covariate not otherwise listed</w:t>
                  </w:r>
                </w:p>
              </w:tc>
              <w:tc>
                <w:tcPr/>
                <w:p>
                  <w:pPr>
                    <w:pStyle w:val="Compact"/>
                    <w:jc w:val="right"/>
                    <w:jc w:val="center"/>
                  </w:pPr>
                  <w:r>
                    <w:t xml:space="preserve">3%</w:t>
                  </w:r>
                </w:p>
              </w:tc>
              <w:tc>
                <w:tcPr/>
                <w:p>
                  <w:pPr>
                    <w:pStyle w:val="Compact"/>
                    <w:jc w:val="right"/>
                    <w:jc w:val="center"/>
                  </w:pPr>
                  <w:r>
                    <w:t xml:space="preserve">1%</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2%</w:t>
                  </w:r>
                </w:p>
              </w:tc>
              <w:tc>
                <w:tcPr/>
                <w:p>
                  <w:pPr>
                    <w:pStyle w:val="Compact"/>
                    <w:jc w:val="right"/>
                    <w:jc w:val="center"/>
                  </w:pPr>
                  <w:r>
                    <w:t xml:space="preserve">33%</w:t>
                  </w:r>
                </w:p>
              </w:tc>
              <w:tc>
                <w:tcPr/>
                <w:p>
                  <w:pPr>
                    <w:pStyle w:val="Compact"/>
                    <w:jc w:val="right"/>
                    <w:jc w:val="center"/>
                  </w:pPr>
                  <w:r>
                    <w:t xml:space="preserve">33%</w:t>
                  </w:r>
                </w:p>
              </w:tc>
              <w:tc>
                <w:tcPr/>
                <w:p>
                  <w:pPr>
                    <w:pStyle w:val="Compact"/>
                    <w:jc w:val="right"/>
                    <w:jc w:val="center"/>
                  </w:pPr>
                  <w:r>
                    <w:t xml:space="preserve">0%</w:t>
                  </w:r>
                </w:p>
              </w:tc>
              <w:tc>
                <w:tcPr/>
                <w:p>
                  <w:pPr>
                    <w:pStyle w:val="Compact"/>
                    <w:jc w:val="right"/>
                    <w:jc w:val="center"/>
                  </w:pPr>
                  <w:r>
                    <w:t xml:space="preserve">33%</w:t>
                  </w:r>
                </w:p>
              </w:tc>
            </w:tr>
            <w:tr>
              <w:tc>
                <w:tcPr>
                  <w:gridSpan w:val="1"/>
                  <w:vMerge w:val="continue"/>
                </w:tcPr>
                <w:p>
                  <w:pPr/>
                </w:p>
              </w:tc>
              <w:tc>
                <w:tcPr/>
                <w:p>
                  <w:pPr>
                    <w:pStyle w:val="Compact"/>
                    <w:jc w:val="left"/>
                    <w:jc w:val="center"/>
                  </w:pPr>
                  <w:r>
                    <w:rPr>
                      <w:b/>
                      <w:bCs/>
                    </w:rPr>
                    <w:t xml:space="preserve">Species effect</w:t>
                  </w:r>
                  <w:r>
                    <w:t xml:space="preserve"> </w:t>
                  </w:r>
                  <w:r>
                    <w:rPr>
                      <w:i/>
                      <w:iCs/>
                    </w:rPr>
                    <w:t xml:space="preserve">Species-level effects</w:t>
                  </w:r>
                </w:p>
              </w:tc>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0%</w:t>
                  </w:r>
                </w:p>
              </w:tc>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1%</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50%</w:t>
                  </w:r>
                </w:p>
              </w:tc>
            </w:tr>
            <w:tr>
              <w:tc>
                <w:tcPr>
                  <w:gridSpan w:val="1"/>
                  <w:vMerge w:val="continue"/>
                </w:tcPr>
                <w:p>
                  <w:pPr/>
                </w:p>
              </w:tc>
              <w:tc>
                <w:tcPr/>
                <w:p>
                  <w:pPr>
                    <w:pStyle w:val="Compact"/>
                    <w:jc w:val="left"/>
                    <w:jc w:val="center"/>
                  </w:pPr>
                  <w:r>
                    <w:rPr>
                      <w:b/>
                      <w:bCs/>
                    </w:rPr>
                    <w:t xml:space="preserve">Any Structural</w:t>
                  </w:r>
                </w:p>
              </w:tc>
              <w:tc>
                <w:tcPr/>
                <w:p>
                  <w:pPr>
                    <w:pStyle w:val="Compact"/>
                    <w:jc w:val="right"/>
                    <w:jc w:val="center"/>
                  </w:pPr>
                  <w:r>
                    <w:t xml:space="preserve">81%</w:t>
                  </w:r>
                </w:p>
              </w:tc>
              <w:tc>
                <w:tcPr/>
                <w:p>
                  <w:pPr>
                    <w:pStyle w:val="Compact"/>
                    <w:jc w:val="right"/>
                    <w:jc w:val="center"/>
                  </w:pPr>
                  <w:r>
                    <w:t xml:space="preserve">3%</w:t>
                  </w:r>
                </w:p>
              </w:tc>
              <w:tc>
                <w:tcPr/>
                <w:p>
                  <w:pPr>
                    <w:pStyle w:val="Compact"/>
                    <w:jc w:val="right"/>
                    <w:jc w:val="center"/>
                  </w:pPr>
                  <w:r>
                    <w:t xml:space="preserve">44%</w:t>
                  </w:r>
                </w:p>
              </w:tc>
              <w:tc>
                <w:tcPr/>
                <w:p>
                  <w:pPr>
                    <w:pStyle w:val="Compact"/>
                    <w:jc w:val="right"/>
                    <w:jc w:val="center"/>
                  </w:pPr>
                  <w:r>
                    <w:t xml:space="preserve">41%</w:t>
                  </w:r>
                </w:p>
              </w:tc>
              <w:tc>
                <w:tcPr/>
                <w:p>
                  <w:pPr>
                    <w:pStyle w:val="Compact"/>
                    <w:jc w:val="right"/>
                    <w:jc w:val="center"/>
                  </w:pPr>
                  <w:r>
                    <w:t xml:space="preserve">40%</w:t>
                  </w:r>
                </w:p>
              </w:tc>
              <w:tc>
                <w:tcPr/>
                <w:p>
                  <w:pPr>
                    <w:pStyle w:val="Compact"/>
                    <w:jc w:val="right"/>
                    <w:jc w:val="center"/>
                  </w:pPr>
                  <w:r>
                    <w:t xml:space="preserve">80%</w:t>
                  </w:r>
                </w:p>
              </w:tc>
              <w:tc>
                <w:tcPr/>
                <w:p>
                  <w:pPr>
                    <w:pStyle w:val="Compact"/>
                    <w:jc w:val="right"/>
                    <w:jc w:val="center"/>
                  </w:pPr>
                  <w:r>
                    <w:t xml:space="preserve">94%</w:t>
                  </w:r>
                </w:p>
              </w:tc>
              <w:tc>
                <w:tcPr/>
                <w:p>
                  <w:pPr>
                    <w:pStyle w:val="Compact"/>
                    <w:jc w:val="right"/>
                    <w:jc w:val="center"/>
                  </w:pPr>
                  <w:r>
                    <w:t xml:space="preserve">4%</w:t>
                  </w:r>
                </w:p>
              </w:tc>
              <w:tc>
                <w:tcPr/>
                <w:p>
                  <w:pPr>
                    <w:pStyle w:val="Compact"/>
                    <w:jc w:val="right"/>
                    <w:jc w:val="center"/>
                  </w:pPr>
                  <w:r>
                    <w:t xml:space="preserve">16%</w:t>
                  </w:r>
                </w:p>
              </w:tc>
              <w:tc>
                <w:tcPr/>
                <w:p>
                  <w:pPr>
                    <w:pStyle w:val="Compact"/>
                    <w:jc w:val="right"/>
                    <w:jc w:val="center"/>
                  </w:pPr>
                  <w:r>
                    <w:t xml:space="preserve">8%</w:t>
                  </w:r>
                </w:p>
              </w:tc>
            </w:tr>
            <w:tr>
              <w:tc>
                <w:tcPr/>
                <w:p>
                  <w:pPr>
                    <w:pStyle w:val="Compact"/>
                    <w:jc w:val="left"/>
                    <w:jc w:val="center"/>
                  </w:pPr>
                  <w:r>
                    <w:t xml:space="preserve">All covariates</w:t>
                  </w:r>
                </w:p>
              </w:tc>
              <w:tc>
                <w:tcPr/>
                <w:p>
                  <w:pPr>
                    <w:pStyle w:val="Compact"/>
                    <w:jc w:val="left"/>
                    <w:jc w:val="center"/>
                  </w:pPr>
                  <w:r>
                    <w:rPr>
                      <w:b/>
                      <w:bCs/>
                    </w:rPr>
                    <w:t xml:space="preserve">All covariates</w:t>
                  </w:r>
                </w:p>
              </w:tc>
              <w:tc>
                <w:tcPr/>
                <w:p>
                  <w:pPr>
                    <w:pStyle w:val="Compact"/>
                    <w:jc w:val="right"/>
                    <w:jc w:val="center"/>
                  </w:pPr>
                  <w:r>
                    <w:t xml:space="preserve">99%</w:t>
                  </w:r>
                </w:p>
              </w:tc>
              <w:tc>
                <w:tcPr/>
                <w:p>
                  <w:pPr>
                    <w:pStyle w:val="Compact"/>
                    <w:jc w:val="right"/>
                    <w:jc w:val="center"/>
                  </w:pPr>
                  <w:r>
                    <w:t xml:space="preserve">63%</w:t>
                  </w:r>
                </w:p>
              </w:tc>
              <w:tc>
                <w:tcPr/>
                <w:p>
                  <w:pPr>
                    <w:pStyle w:val="Compact"/>
                    <w:jc w:val="right"/>
                    <w:jc w:val="center"/>
                  </w:pPr>
                  <w:r>
                    <w:t xml:space="preserve">100%</w:t>
                  </w:r>
                </w:p>
              </w:tc>
              <w:tc>
                <w:tcPr/>
                <w:p>
                  <w:pPr>
                    <w:pStyle w:val="Compact"/>
                    <w:jc w:val="right"/>
                    <w:jc w:val="center"/>
                  </w:pPr>
                  <w:r>
                    <w:t xml:space="preserve">85%</w:t>
                  </w:r>
                </w:p>
              </w:tc>
              <w:tc>
                <w:tcPr/>
                <w:p>
                  <w:pPr>
                    <w:pStyle w:val="Compact"/>
                    <w:jc w:val="right"/>
                    <w:jc w:val="center"/>
                  </w:pPr>
                  <w:r>
                    <w:t xml:space="preserve">85%</w:t>
                  </w:r>
                </w:p>
              </w:tc>
              <w:tc>
                <w:tcPr/>
                <w:p>
                  <w:pPr>
                    <w:pStyle w:val="Compact"/>
                    <w:jc w:val="right"/>
                    <w:jc w:val="center"/>
                  </w:pPr>
                  <w:r>
                    <w:t xml:space="preserve">97%</w:t>
                  </w:r>
                </w:p>
              </w:tc>
              <w:tc>
                <w:tcPr/>
                <w:p>
                  <w:pPr>
                    <w:pStyle w:val="Compact"/>
                    <w:jc w:val="right"/>
                    <w:jc w:val="center"/>
                  </w:pPr>
                  <w:r>
                    <w:t xml:space="preserve">54%</w:t>
                  </w:r>
                </w:p>
              </w:tc>
              <w:tc>
                <w:tcPr/>
                <w:p>
                  <w:pPr>
                    <w:pStyle w:val="Compact"/>
                    <w:jc w:val="right"/>
                    <w:jc w:val="center"/>
                  </w:pPr>
                  <w:r>
                    <w:t xml:space="preserve">20%</w:t>
                  </w:r>
                </w:p>
              </w:tc>
              <w:tc>
                <w:tcPr/>
                <w:p>
                  <w:pPr>
                    <w:pStyle w:val="Compact"/>
                    <w:jc w:val="right"/>
                    <w:jc w:val="center"/>
                  </w:pPr>
                  <w:r>
                    <w:t xml:space="preserve">35%</w:t>
                  </w:r>
                </w:p>
              </w:tc>
              <w:tc>
                <w:tcPr/>
                <w:p>
                  <w:pPr>
                    <w:pStyle w:val="Compact"/>
                    <w:jc w:val="right"/>
                    <w:jc w:val="center"/>
                  </w:pPr>
                  <w:r>
                    <w:t xml:space="preserve">24%</w:t>
                  </w:r>
                </w:p>
              </w:tc>
            </w:tr>
          </w:tbl>
          <w:bookmarkEnd w:id="43"/>
          <w:p/>
        </w:tc>
      </w:tr>
    </w:tbl>
    <w:p>
      <w:pPr>
        <w:pStyle w:val="BodyText"/>
      </w:pPr>
      <w:r>
        <w:t xml:space="preserve">More covariates.</w:t>
      </w:r>
    </w:p>
    <w:tbl>
      <w:tblPr>
        <w:tblStyle w:val="Table"/>
        <w:tblW w:type="pct" w:w="5000"/>
        <w:tblLayout w:type="fixed"/>
        <w:tblLook w:firstRow="0" w:lastRow="0" w:firstColumn="0" w:lastColumn="0" w:noHBand="0" w:noVBand="0" w:val="0000"/>
      </w:tblPr>
      <w:tblGrid>
        <w:gridCol w:w="7920"/>
      </w:tblGrid>
      <w:tr>
        <w:tc>
          <w:tcPr/>
          <w:bookmarkStart w:id="47" w:name="fig-covariates"/>
          <w:p>
            <w:pPr>
              <w:pStyle w:val="Compact"/>
              <w:jc w:val="center"/>
            </w:pPr>
            <w:r>
              <w:drawing>
                <wp:inline>
                  <wp:extent cx="3810000" cy="2540000"/>
                  <wp:effectExtent b="0" l="0" r="0" t="0"/>
                  <wp:docPr descr="" title="" id="45" name="Picture"/>
                  <a:graphic>
                    <a:graphicData uri="http://schemas.openxmlformats.org/drawingml/2006/picture">
                      <pic:pic>
                        <pic:nvPicPr>
                          <pic:cNvPr descr="Figures/CovParamPlot.jpeg" id="46"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number of covariates considered for each parameter across all studies in our sample.</w:t>
            </w:r>
            <w:r>
              <w:t xml:space="preserve"> </w:t>
            </w:r>
            <w:r>
              <w:t xml:space="preserve">‘Occupancy’</w:t>
            </w:r>
            <w:r>
              <w:t xml:space="preserve"> </w:t>
            </w:r>
            <w:r>
              <w:t xml:space="preserve">given here represents the alternative parameterisation of the DOM which jointly estimates Occupancy for every season, Colonisation, and Detection, where Extinction is a derived parameter; this differs from the more popular Initial occupancy/Colonisation/Extinction/Detection parameterisation. Here, a</w:t>
            </w:r>
            <w:r>
              <w:t xml:space="preserve"> </w:t>
            </w:r>
            <w:r>
              <w:t xml:space="preserve">‘covariate’</w:t>
            </w:r>
            <w:r>
              <w:t xml:space="preserve"> </w:t>
            </w:r>
            <w:r>
              <w:t xml:space="preserve">is defined as each distinct covariate considered for inclusion. Linear and quadratic representations of the same covariate are counted as one covariate.</w:t>
            </w:r>
          </w:p>
          <w:bookmarkEnd w:id="47"/>
        </w:tc>
      </w:tr>
    </w:tbl>
    <w:p>
      <w:pPr>
        <w:pStyle w:val="BodyText"/>
      </w:pPr>
      <w:r>
        <w:t xml:space="preserve">Modelling summary.</w:t>
      </w:r>
    </w:p>
    <w:tbl>
      <w:tblPr>
        <w:tblStyle w:val="Table"/>
        <w:tblW w:type="pct" w:w="5000"/>
        <w:tblLayout w:type="fixed"/>
        <w:tblLook w:firstRow="0" w:lastRow="0" w:firstColumn="0" w:lastColumn="0" w:noHBand="0" w:noVBand="0" w:val="0000"/>
      </w:tblPr>
      <w:tblGrid>
        <w:gridCol w:w="7920"/>
      </w:tblGrid>
      <w:tr>
        <w:tc>
          <w:tcPr/>
          <w:bookmarkStart w:id="48" w:name="tbl-modelling"/>
          <w:p>
            <w:pPr>
              <w:jc w:val="center"/>
            </w:pPr>
            <w:pPr>
              <w:jc w:val="start"/>
              <w:spacing w:before="200"/>
              <w:pStyle w:val="ImageCaption"/>
            </w:pPr>
            <w:r>
              <w:t xml:space="preserve">Table 2: Modelling practices in dynamic occupancy models, subset by frequentist or bayesian implementations. The median covariate count presented here represents the median quantity of covariates considered for each model parameter across the studies in our review. The model selection methods represented in this table are non-exclusive and some articles employ multiple approaches. 2 models included in the</w:t>
            </w:r>
            <w:r>
              <w:t xml:space="preserve"> </w:t>
            </w:r>
            <w:r>
              <w:t xml:space="preserve">‘Overall’</w:t>
            </w:r>
            <w:r>
              <w:t xml:space="preserve"> </w:t>
            </w:r>
            <w:r>
              <w:t xml:space="preserve">column are neural network based and fall into neither the Frequentist or Bayesian categories.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p>
              </w:tc>
              <w:tc>
                <w:tcPr/>
                <w:p>
                  <w:pPr>
                    <w:pStyle w:val="Compact"/>
                    <w:jc w:val="right"/>
                    <w:jc w:val="center"/>
                  </w:pPr>
                  <w:r>
                    <w:t xml:space="preserve">Frequentist</w:t>
                  </w:r>
                </w:p>
              </w:tc>
              <w:tc>
                <w:tcPr/>
                <w:p>
                  <w:pPr>
                    <w:pStyle w:val="Compact"/>
                    <w:jc w:val="right"/>
                    <w:jc w:val="center"/>
                  </w:pPr>
                  <w:r>
                    <w:t xml:space="preserve">Bayesian</w:t>
                  </w:r>
                </w:p>
              </w:tc>
              <w:tc>
                <w:tcPr/>
                <w:p>
                  <w:pPr>
                    <w:pStyle w:val="Compact"/>
                    <w:jc w:val="right"/>
                    <w:jc w:val="center"/>
                  </w:pPr>
                  <w:r>
                    <w:t xml:space="preserve">All models</w:t>
                  </w:r>
                </w:p>
              </w:tc>
            </w:tr>
            <w:tr>
              <w:tc>
                <w:tcPr>
                  <w:gridSpan w:val="4"/>
                </w:tcPr>
                <w:p>
                  <w:pPr>
                    <w:pStyle w:val="Compact"/>
                  </w:pPr>
                </w:p>
              </w:tc>
            </w:tr>
            <w:tr>
              <w:tc>
                <w:tcPr/>
                <w:p>
                  <w:pPr>
                    <w:pStyle w:val="Compact"/>
                    <w:jc w:val="left"/>
                    <w:jc w:val="center"/>
                  </w:pPr>
                  <w:r>
                    <w:t xml:space="preserve">Number of studies</w:t>
                  </w:r>
                </w:p>
              </w:tc>
              <w:tc>
                <w:tcPr/>
                <w:p>
                  <w:pPr>
                    <w:pStyle w:val="Compact"/>
                    <w:jc w:val="right"/>
                    <w:jc w:val="center"/>
                  </w:pPr>
                  <w:r>
                    <w:t xml:space="preserve">76</w:t>
                  </w:r>
                </w:p>
              </w:tc>
              <w:tc>
                <w:tcPr/>
                <w:p>
                  <w:pPr>
                    <w:pStyle w:val="Compact"/>
                    <w:jc w:val="right"/>
                    <w:jc w:val="center"/>
                  </w:pPr>
                  <w:r>
                    <w:t xml:space="preserve">24</w:t>
                  </w:r>
                </w:p>
              </w:tc>
              <w:tc>
                <w:tcPr/>
                <w:p>
                  <w:pPr>
                    <w:pStyle w:val="Compact"/>
                    <w:jc w:val="right"/>
                    <w:jc w:val="center"/>
                  </w:pPr>
                  <w:r>
                    <w:t xml:space="preserve">102</w:t>
                  </w:r>
                </w:p>
              </w:tc>
            </w:tr>
            <w:tr>
              <w:tc>
                <w:tcPr/>
                <w:p>
                  <w:pPr>
                    <w:pStyle w:val="Compact"/>
                    <w:jc w:val="left"/>
                    <w:jc w:val="center"/>
                  </w:pPr>
                  <w:r>
                    <w:t xml:space="preserve">Median covariates considered per parameter</w:t>
                  </w:r>
                </w:p>
              </w:tc>
              <w:tc>
                <w:tcPr/>
                <w:p>
                  <w:pPr>
                    <w:pStyle w:val="Compact"/>
                    <w:jc w:val="right"/>
                    <w:jc w:val="center"/>
                  </w:pPr>
                  <w:r>
                    <w:t xml:space="preserve">3</w:t>
                  </w:r>
                </w:p>
              </w:tc>
              <w:tc>
                <w:tcPr/>
                <w:p>
                  <w:pPr>
                    <w:pStyle w:val="Compact"/>
                    <w:jc w:val="right"/>
                    <w:jc w:val="center"/>
                  </w:pPr>
                  <w:r>
                    <w:t xml:space="preserve">2.12</w:t>
                  </w:r>
                </w:p>
              </w:tc>
              <w:tc>
                <w:tcPr/>
                <w:p>
                  <w:pPr>
                    <w:pStyle w:val="Compact"/>
                    <w:jc w:val="right"/>
                    <w:jc w:val="center"/>
                  </w:pPr>
                  <w:r>
                    <w:t xml:space="preserve">2.75</w:t>
                  </w:r>
                </w:p>
              </w:tc>
            </w:tr>
            <w:tr>
              <w:tc>
                <w:tcPr>
                  <w:gridSpan w:val="4"/>
                </w:tcPr>
                <w:p>
                  <w:pPr>
                    <w:pStyle w:val="Compact"/>
                    <w:jc w:val="left"/>
                    <w:jc w:val="center"/>
                  </w:pPr>
                  <w:r>
                    <w:t xml:space="preserve">Covariate selection methods</w:t>
                  </w:r>
                </w:p>
              </w:tc>
            </w:tr>
            <w:tr>
              <w:tc>
                <w:tcPr/>
                <w:p>
                  <w:pPr>
                    <w:pStyle w:val="Compact"/>
                    <w:jc w:val="left"/>
                    <w:jc w:val="center"/>
                  </w:pPr>
                  <w:r>
                    <w:t xml:space="preserve">Percentage using any model selection approach</w:t>
                  </w:r>
                </w:p>
              </w:tc>
              <w:tc>
                <w:tcPr/>
                <w:p>
                  <w:pPr>
                    <w:pStyle w:val="Compact"/>
                    <w:jc w:val="right"/>
                    <w:jc w:val="center"/>
                  </w:pPr>
                  <w:r>
                    <w:t xml:space="preserve">95%</w:t>
                  </w:r>
                </w:p>
              </w:tc>
              <w:tc>
                <w:tcPr/>
                <w:p>
                  <w:pPr>
                    <w:pStyle w:val="Compact"/>
                    <w:jc w:val="right"/>
                    <w:jc w:val="center"/>
                  </w:pPr>
                  <w:r>
                    <w:t xml:space="preserve">33%</w:t>
                  </w:r>
                </w:p>
              </w:tc>
              <w:tc>
                <w:tcPr/>
                <w:p>
                  <w:pPr>
                    <w:pStyle w:val="Compact"/>
                    <w:jc w:val="right"/>
                    <w:jc w:val="center"/>
                  </w:pPr>
                  <w:r>
                    <w:t xml:space="preserve">80%</w:t>
                  </w:r>
                </w:p>
              </w:tc>
            </w:tr>
            <w:tr>
              <w:tc>
                <w:tcPr/>
                <w:p>
                  <w:pPr>
                    <w:pStyle w:val="Compact"/>
                    <w:jc w:val="left"/>
                    <w:jc w:val="center"/>
                  </w:pPr>
                  <w:r>
                    <w:t xml:space="preserve">Percentage comparing models in a candidate set</w:t>
                  </w:r>
                </w:p>
              </w:tc>
              <w:tc>
                <w:tcPr/>
                <w:p>
                  <w:pPr>
                    <w:pStyle w:val="Compact"/>
                    <w:jc w:val="right"/>
                    <w:jc w:val="center"/>
                  </w:pPr>
                  <w:r>
                    <w:t xml:space="preserve">45%</w:t>
                  </w:r>
                </w:p>
              </w:tc>
              <w:tc>
                <w:tcPr/>
                <w:p>
                  <w:pPr>
                    <w:pStyle w:val="Compact"/>
                    <w:jc w:val="right"/>
                    <w:jc w:val="center"/>
                  </w:pPr>
                  <w:r>
                    <w:t xml:space="preserve">12%</w:t>
                  </w:r>
                </w:p>
              </w:tc>
              <w:tc>
                <w:tcPr/>
                <w:p>
                  <w:pPr>
                    <w:pStyle w:val="Compact"/>
                    <w:jc w:val="right"/>
                    <w:jc w:val="center"/>
                  </w:pPr>
                  <w:r>
                    <w:t xml:space="preserve">36%</w:t>
                  </w:r>
                </w:p>
              </w:tc>
            </w:tr>
            <w:tr>
              <w:tc>
                <w:tcPr/>
                <w:p>
                  <w:pPr>
                    <w:pStyle w:val="Compact"/>
                    <w:jc w:val="left"/>
                    <w:jc w:val="center"/>
                  </w:pPr>
                  <w:r>
                    <w:t xml:space="preserve">Percentage using procedural model selection</w:t>
                  </w:r>
                </w:p>
              </w:tc>
              <w:tc>
                <w:tcPr/>
                <w:p>
                  <w:pPr>
                    <w:pStyle w:val="Compact"/>
                    <w:jc w:val="right"/>
                    <w:jc w:val="center"/>
                  </w:pPr>
                  <w:r>
                    <w:t xml:space="preserve">37%</w:t>
                  </w:r>
                </w:p>
              </w:tc>
              <w:tc>
                <w:tcPr/>
                <w:p>
                  <w:pPr>
                    <w:pStyle w:val="Compact"/>
                    <w:jc w:val="right"/>
                    <w:jc w:val="center"/>
                  </w:pPr>
                  <w:r>
                    <w:t xml:space="preserve">0%</w:t>
                  </w:r>
                </w:p>
              </w:tc>
              <w:tc>
                <w:tcPr/>
                <w:p>
                  <w:pPr>
                    <w:pStyle w:val="Compact"/>
                    <w:jc w:val="right"/>
                    <w:jc w:val="center"/>
                  </w:pPr>
                  <w:r>
                    <w:t xml:space="preserve">27%</w:t>
                  </w:r>
                </w:p>
              </w:tc>
            </w:tr>
            <w:tr>
              <w:tc>
                <w:tcPr/>
                <w:p>
                  <w:pPr>
                    <w:pStyle w:val="Compact"/>
                    <w:jc w:val="left"/>
                    <w:jc w:val="center"/>
                  </w:pPr>
                  <w:r>
                    <w:t xml:space="preserve">Percentage selecting covariates with simpler models</w:t>
                  </w:r>
                </w:p>
              </w:tc>
              <w:tc>
                <w:tcPr/>
                <w:p>
                  <w:pPr>
                    <w:pStyle w:val="Compact"/>
                    <w:jc w:val="right"/>
                    <w:jc w:val="center"/>
                  </w:pPr>
                  <w:r>
                    <w:t xml:space="preserve">8%</w:t>
                  </w:r>
                </w:p>
              </w:tc>
              <w:tc>
                <w:tcPr/>
                <w:p>
                  <w:pPr>
                    <w:pStyle w:val="Compact"/>
                    <w:jc w:val="right"/>
                    <w:jc w:val="center"/>
                  </w:pPr>
                  <w:r>
                    <w:t xml:space="preserve">4%</w:t>
                  </w:r>
                </w:p>
              </w:tc>
              <w:tc>
                <w:tcPr/>
                <w:p>
                  <w:pPr>
                    <w:pStyle w:val="Compact"/>
                    <w:jc w:val="right"/>
                    <w:jc w:val="center"/>
                  </w:pPr>
                  <w:r>
                    <w:t xml:space="preserve">7%</w:t>
                  </w:r>
                </w:p>
              </w:tc>
            </w:tr>
            <w:tr>
              <w:tc>
                <w:tcPr/>
                <w:p>
                  <w:pPr>
                    <w:pStyle w:val="Compact"/>
                    <w:jc w:val="left"/>
                    <w:jc w:val="center"/>
                  </w:pPr>
                  <w:r>
                    <w:t xml:space="preserve">Percentage using model-averaging</w:t>
                  </w:r>
                </w:p>
              </w:tc>
              <w:tc>
                <w:tcPr/>
                <w:p>
                  <w:pPr>
                    <w:pStyle w:val="Compact"/>
                    <w:jc w:val="right"/>
                    <w:jc w:val="center"/>
                  </w:pPr>
                  <w:r>
                    <w:t xml:space="preserve">47%</w:t>
                  </w:r>
                </w:p>
              </w:tc>
              <w:tc>
                <w:tcPr/>
                <w:p>
                  <w:pPr>
                    <w:pStyle w:val="Compact"/>
                    <w:jc w:val="right"/>
                    <w:jc w:val="center"/>
                  </w:pPr>
                  <w:r>
                    <w:t xml:space="preserve">4%</w:t>
                  </w:r>
                </w:p>
              </w:tc>
              <w:tc>
                <w:tcPr/>
                <w:p>
                  <w:pPr>
                    <w:pStyle w:val="Compact"/>
                    <w:jc w:val="right"/>
                    <w:jc w:val="center"/>
                  </w:pPr>
                  <w:r>
                    <w:t xml:space="preserve">36%</w:t>
                  </w:r>
                </w:p>
              </w:tc>
            </w:tr>
            <w:tr>
              <w:tc>
                <w:tcPr>
                  <w:gridSpan w:val="4"/>
                </w:tcPr>
                <w:p>
                  <w:pPr>
                    <w:pStyle w:val="Compact"/>
                    <w:jc w:val="left"/>
                    <w:jc w:val="center"/>
                  </w:pPr>
                  <w:r>
                    <w:t xml:space="preserve">Model evaluation conducted</w:t>
                  </w:r>
                </w:p>
              </w:tc>
            </w:tr>
            <w:tr>
              <w:tc>
                <w:tcPr/>
                <w:p>
                  <w:pPr>
                    <w:pStyle w:val="Compact"/>
                    <w:jc w:val="left"/>
                    <w:jc w:val="center"/>
                  </w:pPr>
                  <w:r>
                    <w:t xml:space="preserve">Percentage calculating goodness-of-fit</w:t>
                  </w:r>
                </w:p>
              </w:tc>
              <w:tc>
                <w:tcPr/>
                <w:p>
                  <w:pPr>
                    <w:pStyle w:val="Compact"/>
                    <w:jc w:val="right"/>
                    <w:jc w:val="center"/>
                  </w:pPr>
                  <w:r>
                    <w:t xml:space="preserve">20%</w:t>
                  </w:r>
                </w:p>
              </w:tc>
              <w:tc>
                <w:tcPr/>
                <w:p>
                  <w:pPr>
                    <w:pStyle w:val="Compact"/>
                    <w:jc w:val="right"/>
                    <w:jc w:val="center"/>
                  </w:pPr>
                  <w:r>
                    <w:t xml:space="preserve">12%</w:t>
                  </w:r>
                </w:p>
              </w:tc>
              <w:tc>
                <w:tcPr/>
                <w:p>
                  <w:pPr>
                    <w:pStyle w:val="Compact"/>
                    <w:jc w:val="right"/>
                    <w:jc w:val="center"/>
                  </w:pPr>
                  <w:r>
                    <w:t xml:space="preserve">18%</w:t>
                  </w:r>
                </w:p>
              </w:tc>
            </w:tr>
            <w:tr>
              <w:tc>
                <w:tcPr/>
                <w:p>
                  <w:pPr>
                    <w:pStyle w:val="Compact"/>
                    <w:jc w:val="left"/>
                    <w:jc w:val="center"/>
                  </w:pPr>
                  <w:r>
                    <w:t xml:space="preserve">Percentage assessing predictive performance</w:t>
                  </w:r>
                </w:p>
              </w:tc>
              <w:tc>
                <w:tcPr/>
                <w:p>
                  <w:pPr>
                    <w:pStyle w:val="Compact"/>
                    <w:jc w:val="right"/>
                    <w:jc w:val="center"/>
                  </w:pPr>
                  <w:r>
                    <w:t xml:space="preserve">4%</w:t>
                  </w:r>
                </w:p>
              </w:tc>
              <w:tc>
                <w:tcPr/>
                <w:p>
                  <w:pPr>
                    <w:pStyle w:val="Compact"/>
                    <w:jc w:val="right"/>
                    <w:jc w:val="center"/>
                  </w:pPr>
                  <w:r>
                    <w:t xml:space="preserve">17%</w:t>
                  </w:r>
                </w:p>
              </w:tc>
              <w:tc>
                <w:tcPr/>
                <w:p>
                  <w:pPr>
                    <w:pStyle w:val="Compact"/>
                    <w:jc w:val="right"/>
                    <w:jc w:val="center"/>
                  </w:pPr>
                  <w:r>
                    <w:t xml:space="preserve">7%</w:t>
                  </w:r>
                </w:p>
              </w:tc>
            </w:tr>
          </w:tbl>
          <w:bookmarkEnd w:id="48"/>
          <w:p/>
        </w:tc>
      </w:tr>
    </w:tbl>
    <w:p>
      <w:pPr>
        <w:pStyle w:val="BodyText"/>
      </w:pPr>
      <w:r>
        <w:t xml:space="preserve">Objectives.</w:t>
      </w:r>
    </w:p>
    <w:tbl>
      <w:tblPr>
        <w:tblStyle w:val="Table"/>
        <w:tblW w:type="pct" w:w="5000"/>
        <w:tblLayout w:type="fixed"/>
        <w:tblLook w:firstRow="0" w:lastRow="0" w:firstColumn="0" w:lastColumn="0" w:noHBand="0" w:noVBand="0" w:val="0000"/>
      </w:tblPr>
      <w:tblGrid>
        <w:gridCol w:w="7920"/>
      </w:tblGrid>
      <w:tr>
        <w:tc>
          <w:tcPr/>
          <w:bookmarkStart w:id="52" w:name="fig-objectives"/>
          <w:p>
            <w:pPr>
              <w:pStyle w:val="Compact"/>
              <w:jc w:val="center"/>
            </w:pPr>
            <w:r>
              <w:drawing>
                <wp:inline>
                  <wp:extent cx="3810000" cy="2540000"/>
                  <wp:effectExtent b="0" l="0" r="0" t="0"/>
                  <wp:docPr descr="" title="" id="50" name="Picture"/>
                  <a:graphic>
                    <a:graphicData uri="http://schemas.openxmlformats.org/drawingml/2006/picture">
                      <pic:pic>
                        <pic:nvPicPr>
                          <pic:cNvPr descr="Figures/ObjectiveFigure.jpeg" id="51"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A) Proportion of articles in each year-strata and across all years which match each of six non-exclusive objective categories. B) Quantity of covariates considered per parameter for models which pursued each objectives.</w:t>
            </w:r>
          </w:p>
          <w:bookmarkEnd w:id="52"/>
        </w:tc>
      </w:tr>
    </w:tbl>
    <w:p>
      <w:pPr>
        <w:pStyle w:val="BodyText"/>
      </w:pPr>
      <w:r>
        <w:t xml:space="preserve">More objectives.</w:t>
      </w:r>
    </w:p>
    <w:bookmarkEnd w:id="53"/>
    <w:bookmarkStart w:id="54" w:name="discussion"/>
    <w:p>
      <w:pPr>
        <w:pStyle w:val="Heading1"/>
      </w:pPr>
      <w:r>
        <w:t xml:space="preserve">Discussion</w:t>
      </w:r>
    </w:p>
    <w:p>
      <w:pPr>
        <w:pStyle w:val="FirstParagraph"/>
      </w:pPr>
      <w:r>
        <w:t xml:space="preserve">Discussion.</w:t>
      </w:r>
    </w:p>
    <w:bookmarkEnd w:id="54"/>
    <w:bookmarkStart w:id="119" w:name="conclusions"/>
    <w:p>
      <w:pPr>
        <w:pStyle w:val="Heading1"/>
      </w:pPr>
      <w:r>
        <w:t xml:space="preserve">Conclusions</w:t>
      </w:r>
    </w:p>
    <w:p>
      <w:pPr>
        <w:pStyle w:val="FirstParagraph"/>
      </w:pPr>
      <w:r>
        <w:t xml:space="preserve">Conclusions.</w:t>
      </w:r>
    </w:p>
    <w:bookmarkStart w:id="118" w:name="refs"/>
    <w:bookmarkStart w:id="56" w:name="ref-bailey2014"/>
    <w:p>
      <w:pPr>
        <w:pStyle w:val="Bibliography"/>
      </w:pPr>
      <w:r>
        <w:t xml:space="preserve">Bailey, L. L., MacKenzie, D. I., &amp; Nichols, J. D. (2014). Advances and applications of occupancy models.</w:t>
      </w:r>
      <w:r>
        <w:t xml:space="preserve"> </w:t>
      </w:r>
      <w:r>
        <w:rPr>
          <w:i/>
          <w:iCs/>
        </w:rPr>
        <w:t xml:space="preserve">Methods in Ecology and Evolution</w:t>
      </w:r>
      <w:r>
        <w:t xml:space="preserve">,</w:t>
      </w:r>
      <w:r>
        <w:t xml:space="preserve"> </w:t>
      </w:r>
      <w:r>
        <w:rPr>
          <w:i/>
          <w:iCs/>
        </w:rPr>
        <w:t xml:space="preserve">5</w:t>
      </w:r>
      <w:r>
        <w:t xml:space="preserve">(12), 1269–1279.</w:t>
      </w:r>
      <w:r>
        <w:t xml:space="preserve"> </w:t>
      </w:r>
      <w:hyperlink r:id="rId55">
        <w:r>
          <w:rPr>
            <w:rStyle w:val="Hyperlink"/>
          </w:rPr>
          <w:t xml:space="preserve">https://doi.org/10.1111/2041-210X.12100</w:t>
        </w:r>
      </w:hyperlink>
    </w:p>
    <w:bookmarkEnd w:id="56"/>
    <w:bookmarkStart w:id="58" w:name="ref-barry2006"/>
    <w:p>
      <w:pPr>
        <w:pStyle w:val="Bibliography"/>
      </w:pPr>
      <w:r>
        <w:t xml:space="preserve">Barry, S., &amp; Elith, J. (2006). Error and uncertainty in habitat models.</w:t>
      </w:r>
      <w:r>
        <w:t xml:space="preserve"> </w:t>
      </w:r>
      <w:r>
        <w:rPr>
          <w:i/>
          <w:iCs/>
        </w:rPr>
        <w:t xml:space="preserve">Journal of Applied Ecology</w:t>
      </w:r>
      <w:r>
        <w:t xml:space="preserve">,</w:t>
      </w:r>
      <w:r>
        <w:t xml:space="preserve"> </w:t>
      </w:r>
      <w:r>
        <w:rPr>
          <w:i/>
          <w:iCs/>
        </w:rPr>
        <w:t xml:space="preserve">43</w:t>
      </w:r>
      <w:r>
        <w:t xml:space="preserve">(3), 413–423.</w:t>
      </w:r>
      <w:r>
        <w:t xml:space="preserve"> </w:t>
      </w:r>
      <w:hyperlink r:id="rId57">
        <w:r>
          <w:rPr>
            <w:rStyle w:val="Hyperlink"/>
          </w:rPr>
          <w:t xml:space="preserve">https://doi.org/10.1111/j.1365-2664.2006.01136.x</w:t>
        </w:r>
      </w:hyperlink>
    </w:p>
    <w:bookmarkEnd w:id="58"/>
    <w:bookmarkStart w:id="60" w:name="ref-berigan2019"/>
    <w:p>
      <w:pPr>
        <w:pStyle w:val="Bibliography"/>
      </w:pPr>
      <w:r>
        <w:t xml:space="preserve">Berigan, W. J., Jones, G. M., Whitmore, S. A., Gutiérrez, R. J., &amp; Peery, M. Z. (2019). Cryptic wide-ranging movements lead to upwardly biased occupancy in a territorial species.</w:t>
      </w:r>
      <w:r>
        <w:t xml:space="preserve"> </w:t>
      </w:r>
      <w:r>
        <w:rPr>
          <w:i/>
          <w:iCs/>
        </w:rPr>
        <w:t xml:space="preserve">Journal of Applied Ecology</w:t>
      </w:r>
      <w:r>
        <w:t xml:space="preserve">,</w:t>
      </w:r>
      <w:r>
        <w:t xml:space="preserve"> </w:t>
      </w:r>
      <w:r>
        <w:rPr>
          <w:i/>
          <w:iCs/>
        </w:rPr>
        <w:t xml:space="preserve">56</w:t>
      </w:r>
      <w:r>
        <w:t xml:space="preserve">(2), 470–480.</w:t>
      </w:r>
      <w:r>
        <w:t xml:space="preserve"> </w:t>
      </w:r>
      <w:hyperlink r:id="rId59">
        <w:r>
          <w:rPr>
            <w:rStyle w:val="Hyperlink"/>
          </w:rPr>
          <w:t xml:space="preserve">https://doi.org/10.1111/1365-2664.13265</w:t>
        </w:r>
      </w:hyperlink>
    </w:p>
    <w:bookmarkEnd w:id="60"/>
    <w:bookmarkStart w:id="62" w:name="ref-bertelsmeier2013"/>
    <w:p>
      <w:pPr>
        <w:pStyle w:val="Bibliography"/>
      </w:pPr>
      <w:r>
        <w:t xml:space="preserve">Bertelsmeier, C., Luque, G. M., &amp; Courchamp, F. (2013). Increase in Quantity and Quality of Suitable Areas for Invasive Species as Climate Changes.</w:t>
      </w:r>
      <w:r>
        <w:t xml:space="preserve"> </w:t>
      </w:r>
      <w:r>
        <w:rPr>
          <w:i/>
          <w:iCs/>
        </w:rPr>
        <w:t xml:space="preserve">Conservation Biology</w:t>
      </w:r>
      <w:r>
        <w:t xml:space="preserve">,</w:t>
      </w:r>
      <w:r>
        <w:t xml:space="preserve"> </w:t>
      </w:r>
      <w:r>
        <w:rPr>
          <w:i/>
          <w:iCs/>
        </w:rPr>
        <w:t xml:space="preserve">27</w:t>
      </w:r>
      <w:r>
        <w:t xml:space="preserve">(6), 1458–1467.</w:t>
      </w:r>
      <w:r>
        <w:t xml:space="preserve"> </w:t>
      </w:r>
      <w:hyperlink r:id="rId61">
        <w:r>
          <w:rPr>
            <w:rStyle w:val="Hyperlink"/>
          </w:rPr>
          <w:t xml:space="preserve">https://doi.org/10.1111/cobi.12093</w:t>
        </w:r>
      </w:hyperlink>
    </w:p>
    <w:bookmarkEnd w:id="62"/>
    <w:bookmarkStart w:id="64" w:name="ref-briscoe2019"/>
    <w:p>
      <w:pPr>
        <w:pStyle w:val="Bibliography"/>
      </w:pPr>
      <w:r>
        <w:t xml:space="preserve">Briscoe, N. J., Elith, J., Salguero-Gómez, R., Lahoz-Monfort, J. J., Camac, J. S., Giljohann, K. M., Holden, M. H., Hradsky, B. A., Kearney, M. R., McMahon, S. M., Phillips, B. L., Regan, T. J., Rhodes, J. R., Vesk, P. A., Wintle, B. A., Yen, J. D. L., &amp; Guillera-Arroita, G. (2019). Forecasting species range dynamics with process-explicit models: matching methods to applications.</w:t>
      </w:r>
      <w:r>
        <w:t xml:space="preserve"> </w:t>
      </w:r>
      <w:r>
        <w:rPr>
          <w:i/>
          <w:iCs/>
        </w:rPr>
        <w:t xml:space="preserve">Ecology Letters</w:t>
      </w:r>
      <w:r>
        <w:t xml:space="preserve">,</w:t>
      </w:r>
      <w:r>
        <w:t xml:space="preserve"> </w:t>
      </w:r>
      <w:r>
        <w:rPr>
          <w:i/>
          <w:iCs/>
        </w:rPr>
        <w:t xml:space="preserve">22</w:t>
      </w:r>
      <w:r>
        <w:t xml:space="preserve">(11), 1940–1956.</w:t>
      </w:r>
      <w:r>
        <w:t xml:space="preserve"> </w:t>
      </w:r>
      <w:hyperlink r:id="rId63">
        <w:r>
          <w:rPr>
            <w:rStyle w:val="Hyperlink"/>
          </w:rPr>
          <w:t xml:space="preserve">https://doi.org/10.1111/ele.13348</w:t>
        </w:r>
      </w:hyperlink>
    </w:p>
    <w:bookmarkEnd w:id="64"/>
    <w:bookmarkStart w:id="66" w:name="ref-briscoe2021"/>
    <w:p>
      <w:pPr>
        <w:pStyle w:val="Bibliography"/>
      </w:pPr>
      <w:r>
        <w:t xml:space="preserve">Briscoe, N. J., Zurell, D., Elith, J., König, C., Fandos, G., Malchow, A.-K., Kéry, M., Schmid, H., &amp; Guillera-Arroita, G. (2021). Can dynamic occupancy models improve predictions of species’ range dynamics? A test using Swiss birds.</w:t>
      </w:r>
      <w:r>
        <w:t xml:space="preserve"> </w:t>
      </w:r>
      <w:r>
        <w:rPr>
          <w:i/>
          <w:iCs/>
        </w:rPr>
        <w:t xml:space="preserve">Global Change Biology</w:t>
      </w:r>
      <w:r>
        <w:t xml:space="preserve">,</w:t>
      </w:r>
      <w:r>
        <w:t xml:space="preserve"> </w:t>
      </w:r>
      <w:r>
        <w:rPr>
          <w:i/>
          <w:iCs/>
        </w:rPr>
        <w:t xml:space="preserve">27</w:t>
      </w:r>
      <w:r>
        <w:t xml:space="preserve">(18), 4269–4282.</w:t>
      </w:r>
      <w:r>
        <w:t xml:space="preserve"> </w:t>
      </w:r>
      <w:hyperlink r:id="rId65">
        <w:r>
          <w:rPr>
            <w:rStyle w:val="Hyperlink"/>
          </w:rPr>
          <w:t xml:space="preserve">https://doi.org/10.1111/gcb.15723</w:t>
        </w:r>
      </w:hyperlink>
    </w:p>
    <w:bookmarkEnd w:id="66"/>
    <w:bookmarkStart w:id="68" w:name="ref-devarajan2020"/>
    <w:p>
      <w:pPr>
        <w:pStyle w:val="Bibliography"/>
      </w:pPr>
      <w:r>
        <w:t xml:space="preserve">Devarajan, K., Morelli, T. L., &amp; Tenan, S. (2020). Multi</w:t>
      </w:r>
      <w:r>
        <w:t xml:space="preserve">-</w:t>
      </w:r>
      <w:r>
        <w:t xml:space="preserve">species occupancy models: review, roadmap, and recommendations.</w:t>
      </w:r>
      <w:r>
        <w:t xml:space="preserve"> </w:t>
      </w:r>
      <w:r>
        <w:rPr>
          <w:i/>
          <w:iCs/>
        </w:rPr>
        <w:t xml:space="preserve">Ecography</w:t>
      </w:r>
      <w:r>
        <w:t xml:space="preserve">,</w:t>
      </w:r>
      <w:r>
        <w:t xml:space="preserve"> </w:t>
      </w:r>
      <w:r>
        <w:rPr>
          <w:i/>
          <w:iCs/>
        </w:rPr>
        <w:t xml:space="preserve">43</w:t>
      </w:r>
      <w:r>
        <w:t xml:space="preserve">(11), 1612–1624.</w:t>
      </w:r>
      <w:r>
        <w:t xml:space="preserve"> </w:t>
      </w:r>
      <w:hyperlink r:id="rId67">
        <w:r>
          <w:rPr>
            <w:rStyle w:val="Hyperlink"/>
          </w:rPr>
          <w:t xml:space="preserve">https://doi.org/10.1111/ecog.04957</w:t>
        </w:r>
      </w:hyperlink>
    </w:p>
    <w:bookmarkEnd w:id="68"/>
    <w:bookmarkStart w:id="70" w:name="ref-dorazio2010"/>
    <w:p>
      <w:pPr>
        <w:pStyle w:val="Bibliography"/>
      </w:pPr>
      <w:r>
        <w:t xml:space="preserve">Dorazio, R. M., Kéry, M., Royle, J. A., &amp; Plattner, M. (2010). Models for inference in dynamic metacommunity systems.</w:t>
      </w:r>
      <w:r>
        <w:t xml:space="preserve"> </w:t>
      </w:r>
      <w:r>
        <w:rPr>
          <w:i/>
          <w:iCs/>
        </w:rPr>
        <w:t xml:space="preserve">Ecology</w:t>
      </w:r>
      <w:r>
        <w:t xml:space="preserve">,</w:t>
      </w:r>
      <w:r>
        <w:t xml:space="preserve"> </w:t>
      </w:r>
      <w:r>
        <w:rPr>
          <w:i/>
          <w:iCs/>
        </w:rPr>
        <w:t xml:space="preserve">91</w:t>
      </w:r>
      <w:r>
        <w:t xml:space="preserve">(8), 2466–2475.</w:t>
      </w:r>
      <w:r>
        <w:t xml:space="preserve"> </w:t>
      </w:r>
      <w:hyperlink r:id="rId69">
        <w:r>
          <w:rPr>
            <w:rStyle w:val="Hyperlink"/>
          </w:rPr>
          <w:t xml:space="preserve">https://doi.org/10.1890/09-1033.1</w:t>
        </w:r>
      </w:hyperlink>
    </w:p>
    <w:bookmarkEnd w:id="70"/>
    <w:bookmarkStart w:id="72" w:name="ref-dormann2007"/>
    <w:p>
      <w:pPr>
        <w:pStyle w:val="Bibliography"/>
      </w:pPr>
      <w:r>
        <w:t xml:space="preserve">Dormann, C. F. (2007). Promising the future? Global change projections of species distributions.</w:t>
      </w:r>
      <w:r>
        <w:t xml:space="preserve"> </w:t>
      </w:r>
      <w:r>
        <w:rPr>
          <w:i/>
          <w:iCs/>
        </w:rPr>
        <w:t xml:space="preserve">Basic and Applied Ecology</w:t>
      </w:r>
      <w:r>
        <w:t xml:space="preserve">,</w:t>
      </w:r>
      <w:r>
        <w:t xml:space="preserve"> </w:t>
      </w:r>
      <w:r>
        <w:rPr>
          <w:i/>
          <w:iCs/>
        </w:rPr>
        <w:t xml:space="preserve">8</w:t>
      </w:r>
      <w:r>
        <w:t xml:space="preserve">(5), 387–397.</w:t>
      </w:r>
      <w:r>
        <w:t xml:space="preserve"> </w:t>
      </w:r>
      <w:hyperlink r:id="rId71">
        <w:r>
          <w:rPr>
            <w:rStyle w:val="Hyperlink"/>
          </w:rPr>
          <w:t xml:space="preserve">https://doi.org/10.1016/j.baae.2006.11.001</w:t>
        </w:r>
      </w:hyperlink>
    </w:p>
    <w:bookmarkEnd w:id="72"/>
    <w:bookmarkStart w:id="74" w:name="ref-elith2010"/>
    <w:p>
      <w:pPr>
        <w:pStyle w:val="Bibliography"/>
      </w:pPr>
      <w:r>
        <w:t xml:space="preserve">Elith, J., Kearney, M., &amp; Phillips, S. (2010). The art of modelling range-shifting species.</w:t>
      </w:r>
      <w:r>
        <w:t xml:space="preserve"> </w:t>
      </w:r>
      <w:r>
        <w:rPr>
          <w:i/>
          <w:iCs/>
        </w:rPr>
        <w:t xml:space="preserve">Methods in Ecology and Evolution</w:t>
      </w:r>
      <w:r>
        <w:t xml:space="preserve">,</w:t>
      </w:r>
      <w:r>
        <w:t xml:space="preserve"> </w:t>
      </w:r>
      <w:r>
        <w:rPr>
          <w:i/>
          <w:iCs/>
        </w:rPr>
        <w:t xml:space="preserve">1</w:t>
      </w:r>
      <w:r>
        <w:t xml:space="preserve">(4), 330–342.</w:t>
      </w:r>
      <w:r>
        <w:t xml:space="preserve"> </w:t>
      </w:r>
      <w:hyperlink r:id="rId73">
        <w:r>
          <w:rPr>
            <w:rStyle w:val="Hyperlink"/>
          </w:rPr>
          <w:t xml:space="preserve">https://doi.org/10.1111/j.2041-210X.2010.00036.x</w:t>
        </w:r>
      </w:hyperlink>
    </w:p>
    <w:bookmarkEnd w:id="74"/>
    <w:bookmarkStart w:id="76" w:name="ref-franklin2010"/>
    <w:p>
      <w:pPr>
        <w:pStyle w:val="Bibliography"/>
      </w:pPr>
      <w:r>
        <w:t xml:space="preserve">Franklin, J. (2010).</w:t>
      </w:r>
      <w:r>
        <w:t xml:space="preserve"> </w:t>
      </w:r>
      <w:r>
        <w:rPr>
          <w:i/>
          <w:iCs/>
        </w:rPr>
        <w:t xml:space="preserve">Mapping species distributions: Spatial inference and prediction</w:t>
      </w:r>
      <w:r>
        <w:t xml:space="preserve">. Cambridge University Press.</w:t>
      </w:r>
      <w:r>
        <w:t xml:space="preserve"> </w:t>
      </w:r>
      <w:hyperlink r:id="rId75">
        <w:r>
          <w:rPr>
            <w:rStyle w:val="Hyperlink"/>
          </w:rPr>
          <w:t xml:space="preserve">https://www.cambridge.org/core/books/mapping-species-distributions/58225AE5693AED8BD812F7CEBE35378A</w:t>
        </w:r>
      </w:hyperlink>
    </w:p>
    <w:bookmarkEnd w:id="76"/>
    <w:bookmarkStart w:id="78" w:name="ref-gu2004"/>
    <w:p>
      <w:pPr>
        <w:pStyle w:val="Bibliography"/>
      </w:pPr>
      <w:r>
        <w:t xml:space="preserve">Gu, W., &amp; Swihart, R. K. (2004). Absent or undetected? Effects of non-detection of species occurrence on wildlife</w:t>
      </w:r>
      <w:r>
        <w:t xml:space="preserve">habitat models.</w:t>
      </w:r>
      <w:r>
        <w:t xml:space="preserve"> </w:t>
      </w:r>
      <w:r>
        <w:rPr>
          <w:i/>
          <w:iCs/>
        </w:rPr>
        <w:t xml:space="preserve">Biological Conservation</w:t>
      </w:r>
      <w:r>
        <w:t xml:space="preserve">,</w:t>
      </w:r>
      <w:r>
        <w:t xml:space="preserve"> </w:t>
      </w:r>
      <w:r>
        <w:rPr>
          <w:i/>
          <w:iCs/>
        </w:rPr>
        <w:t xml:space="preserve">116</w:t>
      </w:r>
      <w:r>
        <w:t xml:space="preserve">(2), 195–203.</w:t>
      </w:r>
      <w:r>
        <w:t xml:space="preserve"> </w:t>
      </w:r>
      <w:hyperlink r:id="rId77">
        <w:r>
          <w:rPr>
            <w:rStyle w:val="Hyperlink"/>
          </w:rPr>
          <w:t xml:space="preserve">https://doi.org/10.1016/S0006-3207(03)00190-3</w:t>
        </w:r>
      </w:hyperlink>
    </w:p>
    <w:bookmarkEnd w:id="78"/>
    <w:bookmarkStart w:id="80" w:name="ref-guillera-arroita2017a"/>
    <w:p>
      <w:pPr>
        <w:pStyle w:val="Bibliography"/>
      </w:pPr>
      <w:r>
        <w:t xml:space="preserve">Guillera-Arroita, G. (2017). Modelling of species distributions, range dynamics and communities under imperfect detection: advances, challenges and opportunities.</w:t>
      </w:r>
      <w:r>
        <w:t xml:space="preserve"> </w:t>
      </w:r>
      <w:r>
        <w:rPr>
          <w:i/>
          <w:iCs/>
        </w:rPr>
        <w:t xml:space="preserve">Ecography</w:t>
      </w:r>
      <w:r>
        <w:t xml:space="preserve">,</w:t>
      </w:r>
      <w:r>
        <w:t xml:space="preserve"> </w:t>
      </w:r>
      <w:r>
        <w:rPr>
          <w:i/>
          <w:iCs/>
        </w:rPr>
        <w:t xml:space="preserve">40</w:t>
      </w:r>
      <w:r>
        <w:t xml:space="preserve">(2), 281–295.</w:t>
      </w:r>
      <w:r>
        <w:t xml:space="preserve"> </w:t>
      </w:r>
      <w:hyperlink r:id="rId79">
        <w:r>
          <w:rPr>
            <w:rStyle w:val="Hyperlink"/>
          </w:rPr>
          <w:t xml:space="preserve">https://doi.org/10.1111/ecog.02445</w:t>
        </w:r>
      </w:hyperlink>
    </w:p>
    <w:bookmarkEnd w:id="80"/>
    <w:bookmarkStart w:id="82" w:name="ref-gutiérrez-arellano2024"/>
    <w:p>
      <w:pPr>
        <w:pStyle w:val="Bibliography"/>
      </w:pPr>
      <w:r>
        <w:t xml:space="preserve">Gutiérrez-Arellano, C., Crone, E. E., Pettorelli, N., &amp; Hodgson, J. A. (2024). Broadening applications of stochastic patch occupancy models over three decades.</w:t>
      </w:r>
      <w:r>
        <w:t xml:space="preserve"> </w:t>
      </w:r>
      <w:r>
        <w:rPr>
          <w:i/>
          <w:iCs/>
        </w:rPr>
        <w:t xml:space="preserve">Diversity and Distributions</w:t>
      </w:r>
      <w:r>
        <w:t xml:space="preserve">,</w:t>
      </w:r>
      <w:r>
        <w:t xml:space="preserve"> </w:t>
      </w:r>
      <w:r>
        <w:rPr>
          <w:i/>
          <w:iCs/>
        </w:rPr>
        <w:t xml:space="preserve">n/a</w:t>
      </w:r>
      <w:r>
        <w:t xml:space="preserve">(n/a), e13822.</w:t>
      </w:r>
      <w:r>
        <w:t xml:space="preserve"> </w:t>
      </w:r>
      <w:hyperlink r:id="rId81">
        <w:r>
          <w:rPr>
            <w:rStyle w:val="Hyperlink"/>
          </w:rPr>
          <w:t xml:space="preserve">https://doi.org/10.1111/ddi.13822</w:t>
        </w:r>
      </w:hyperlink>
    </w:p>
    <w:bookmarkEnd w:id="82"/>
    <w:bookmarkStart w:id="83" w:name="ref-humboldt1849"/>
    <w:p>
      <w:pPr>
        <w:pStyle w:val="Bibliography"/>
      </w:pPr>
      <w:r>
        <w:t xml:space="preserve">Humboldt, A. von. (1849).</w:t>
      </w:r>
      <w:r>
        <w:t xml:space="preserve"> </w:t>
      </w:r>
      <w:r>
        <w:rPr>
          <w:i/>
          <w:iCs/>
        </w:rPr>
        <w:t xml:space="preserve">Cosmos : a sketch of a physical description of the universe</w:t>
      </w:r>
      <w:r>
        <w:t xml:space="preserve">.</w:t>
      </w:r>
    </w:p>
    <w:bookmarkEnd w:id="83"/>
    <w:bookmarkStart w:id="85" w:name="ref-kellner2014"/>
    <w:p>
      <w:pPr>
        <w:pStyle w:val="Bibliography"/>
      </w:pPr>
      <w:r>
        <w:t xml:space="preserve">Kellner, K. F., &amp; Swihart, R. K. (2014). Accounting for Imperfect Detection in Ecology: A Quantitative Review.</w:t>
      </w:r>
      <w:r>
        <w:t xml:space="preserve"> </w:t>
      </w:r>
      <w:r>
        <w:rPr>
          <w:i/>
          <w:iCs/>
        </w:rPr>
        <w:t xml:space="preserve">PLOS ONE</w:t>
      </w:r>
      <w:r>
        <w:t xml:space="preserve">,</w:t>
      </w:r>
      <w:r>
        <w:t xml:space="preserve"> </w:t>
      </w:r>
      <w:r>
        <w:rPr>
          <w:i/>
          <w:iCs/>
        </w:rPr>
        <w:t xml:space="preserve">9</w:t>
      </w:r>
      <w:r>
        <w:t xml:space="preserve">(10), e111436.</w:t>
      </w:r>
      <w:r>
        <w:t xml:space="preserve"> </w:t>
      </w:r>
      <w:hyperlink r:id="rId84">
        <w:r>
          <w:rPr>
            <w:rStyle w:val="Hyperlink"/>
          </w:rPr>
          <w:t xml:space="preserve">https://doi.org/10.1371/journal.pone.0111436</w:t>
        </w:r>
      </w:hyperlink>
    </w:p>
    <w:bookmarkEnd w:id="85"/>
    <w:bookmarkStart w:id="87" w:name="ref-kendall2013"/>
    <w:p>
      <w:pPr>
        <w:pStyle w:val="Bibliography"/>
      </w:pPr>
      <w:r>
        <w:t xml:space="preserve">Kendall, W. L., Hines, J. E., Nichols, J. D., &amp; Grant, E. H. C. (2013). Relaxing the closure assumption in occupancy models: staggered arrival and departure times.</w:t>
      </w:r>
      <w:r>
        <w:t xml:space="preserve"> </w:t>
      </w:r>
      <w:r>
        <w:rPr>
          <w:i/>
          <w:iCs/>
        </w:rPr>
        <w:t xml:space="preserve">Ecology</w:t>
      </w:r>
      <w:r>
        <w:t xml:space="preserve">,</w:t>
      </w:r>
      <w:r>
        <w:t xml:space="preserve"> </w:t>
      </w:r>
      <w:r>
        <w:rPr>
          <w:i/>
          <w:iCs/>
        </w:rPr>
        <w:t xml:space="preserve">94</w:t>
      </w:r>
      <w:r>
        <w:t xml:space="preserve">(3), 610–617.</w:t>
      </w:r>
      <w:r>
        <w:t xml:space="preserve"> </w:t>
      </w:r>
      <w:hyperlink r:id="rId86">
        <w:r>
          <w:rPr>
            <w:rStyle w:val="Hyperlink"/>
          </w:rPr>
          <w:t xml:space="preserve">https://doi.org/10.1890/12-1720.1</w:t>
        </w:r>
      </w:hyperlink>
    </w:p>
    <w:bookmarkEnd w:id="87"/>
    <w:bookmarkStart w:id="89" w:name="ref-kéry2013"/>
    <w:p>
      <w:pPr>
        <w:pStyle w:val="Bibliography"/>
      </w:pPr>
      <w:r>
        <w:t xml:space="preserve">Kéry, M., Guillera-Arroita, G., &amp; Lahoz-Monfort, J. J. (2013). Analysing and mapping species range dynamics using occupancy models.</w:t>
      </w:r>
      <w:r>
        <w:t xml:space="preserve"> </w:t>
      </w:r>
      <w:r>
        <w:rPr>
          <w:i/>
          <w:iCs/>
        </w:rPr>
        <w:t xml:space="preserve">Journal of Biogeography</w:t>
      </w:r>
      <w:r>
        <w:t xml:space="preserve">,</w:t>
      </w:r>
      <w:r>
        <w:t xml:space="preserve"> </w:t>
      </w:r>
      <w:r>
        <w:rPr>
          <w:i/>
          <w:iCs/>
        </w:rPr>
        <w:t xml:space="preserve">40</w:t>
      </w:r>
      <w:r>
        <w:t xml:space="preserve">(8), 1463–1474.</w:t>
      </w:r>
      <w:r>
        <w:t xml:space="preserve"> </w:t>
      </w:r>
      <w:hyperlink r:id="rId88">
        <w:r>
          <w:rPr>
            <w:rStyle w:val="Hyperlink"/>
          </w:rPr>
          <w:t xml:space="preserve">https://doi.org/10.1111/jbi.12087</w:t>
        </w:r>
      </w:hyperlink>
    </w:p>
    <w:bookmarkEnd w:id="89"/>
    <w:bookmarkStart w:id="91" w:name="ref-lahoz-monfort2014"/>
    <w:p>
      <w:pPr>
        <w:pStyle w:val="Bibliography"/>
      </w:pPr>
      <w:r>
        <w:t xml:space="preserve">Lahoz-Monfort, J. J., Guillera-Arroita, G., &amp; Wintle, B. A. (2014). Imperfect detection impacts the performance of species distribution models.</w:t>
      </w:r>
      <w:r>
        <w:t xml:space="preserve"> </w:t>
      </w:r>
      <w:r>
        <w:rPr>
          <w:i/>
          <w:iCs/>
        </w:rPr>
        <w:t xml:space="preserve">Global Ecology and Biogeography</w:t>
      </w:r>
      <w:r>
        <w:t xml:space="preserve">,</w:t>
      </w:r>
      <w:r>
        <w:t xml:space="preserve"> </w:t>
      </w:r>
      <w:r>
        <w:rPr>
          <w:i/>
          <w:iCs/>
        </w:rPr>
        <w:t xml:space="preserve">23</w:t>
      </w:r>
      <w:r>
        <w:t xml:space="preserve">(4), 504–515.</w:t>
      </w:r>
      <w:r>
        <w:t xml:space="preserve"> </w:t>
      </w:r>
      <w:hyperlink r:id="rId90">
        <w:r>
          <w:rPr>
            <w:rStyle w:val="Hyperlink"/>
          </w:rPr>
          <w:t xml:space="preserve">https://doi.org/10.1111/geb.12138</w:t>
        </w:r>
      </w:hyperlink>
    </w:p>
    <w:bookmarkEnd w:id="91"/>
    <w:bookmarkStart w:id="93" w:name="ref-lenoir2015"/>
    <w:p>
      <w:pPr>
        <w:pStyle w:val="Bibliography"/>
      </w:pPr>
      <w:r>
        <w:t xml:space="preserve">Lenoir, J., &amp; Svenning, J.-C. (2015). Climate-related range shifts</w:t>
      </w:r>
      <w:r>
        <w:t xml:space="preserve"> </w:t>
      </w:r>
      <w:r>
        <w:t xml:space="preserve"> </w:t>
      </w:r>
      <w:r>
        <w:t xml:space="preserve">a global multidimensional synthesis and new research directions.</w:t>
      </w:r>
      <w:r>
        <w:t xml:space="preserve"> </w:t>
      </w:r>
      <w:r>
        <w:rPr>
          <w:i/>
          <w:iCs/>
        </w:rPr>
        <w:t xml:space="preserve">Ecography</w:t>
      </w:r>
      <w:r>
        <w:t xml:space="preserve">,</w:t>
      </w:r>
      <w:r>
        <w:t xml:space="preserve"> </w:t>
      </w:r>
      <w:r>
        <w:rPr>
          <w:i/>
          <w:iCs/>
        </w:rPr>
        <w:t xml:space="preserve">38</w:t>
      </w:r>
      <w:r>
        <w:t xml:space="preserve">(1), 15–28.</w:t>
      </w:r>
      <w:r>
        <w:t xml:space="preserve"> </w:t>
      </w:r>
      <w:hyperlink r:id="rId92">
        <w:r>
          <w:rPr>
            <w:rStyle w:val="Hyperlink"/>
          </w:rPr>
          <w:t xml:space="preserve">https://doi.org/10.1111/ecog.00967</w:t>
        </w:r>
      </w:hyperlink>
    </w:p>
    <w:bookmarkEnd w:id="93"/>
    <w:bookmarkStart w:id="95" w:name="ref-mackenzie2003"/>
    <w:p>
      <w:pPr>
        <w:pStyle w:val="Bibliography"/>
      </w:pPr>
      <w:r>
        <w:t xml:space="preserve">MacKenzie, D. I., Nichols, J. D., Hines, J. E., Knutson, M. G., &amp; Franklin, A. B. (2003). Estimating site occupancy, colonization, and local extinction when a species is detected imperfectly.</w:t>
      </w:r>
      <w:r>
        <w:t xml:space="preserve"> </w:t>
      </w:r>
      <w:r>
        <w:rPr>
          <w:i/>
          <w:iCs/>
        </w:rPr>
        <w:t xml:space="preserve">Ecology</w:t>
      </w:r>
      <w:r>
        <w:t xml:space="preserve">,</w:t>
      </w:r>
      <w:r>
        <w:t xml:space="preserve"> </w:t>
      </w:r>
      <w:r>
        <w:rPr>
          <w:i/>
          <w:iCs/>
        </w:rPr>
        <w:t xml:space="preserve">84</w:t>
      </w:r>
      <w:r>
        <w:t xml:space="preserve">(8), 2200–2207.</w:t>
      </w:r>
      <w:r>
        <w:t xml:space="preserve"> </w:t>
      </w:r>
      <w:hyperlink r:id="rId94">
        <w:r>
          <w:rPr>
            <w:rStyle w:val="Hyperlink"/>
          </w:rPr>
          <w:t xml:space="preserve">https://doi.org/10.1890/02-3090</w:t>
        </w:r>
      </w:hyperlink>
    </w:p>
    <w:bookmarkEnd w:id="95"/>
    <w:bookmarkStart w:id="97" w:name="ref-mackenzie2002"/>
    <w:p>
      <w:pPr>
        <w:pStyle w:val="Bibliography"/>
      </w:pPr>
      <w:r>
        <w:t xml:space="preserve">MacKenzie, D. I., Nichols, J. D., Lachman, G. B., Droege, S., Andrew Royle, J., &amp; Langtimm, C. A. (2002). Estimating Site Occupancy Rates When Detection Probabilities Are Less Than One.</w:t>
      </w:r>
      <w:r>
        <w:t xml:space="preserve"> </w:t>
      </w:r>
      <w:r>
        <w:rPr>
          <w:i/>
          <w:iCs/>
        </w:rPr>
        <w:t xml:space="preserve">Ecology</w:t>
      </w:r>
      <w:r>
        <w:t xml:space="preserve">,</w:t>
      </w:r>
      <w:r>
        <w:t xml:space="preserve"> </w:t>
      </w:r>
      <w:r>
        <w:rPr>
          <w:i/>
          <w:iCs/>
        </w:rPr>
        <w:t xml:space="preserve">83</w:t>
      </w:r>
      <w:r>
        <w:t xml:space="preserve">(8), 2248–2255.</w:t>
      </w:r>
      <w:r>
        <w:t xml:space="preserve"> </w:t>
      </w:r>
      <w:hyperlink r:id="rId96">
        <w:r>
          <w:rPr>
            <w:rStyle w:val="Hyperlink"/>
          </w:rPr>
          <w:t xml:space="preserve">https://doi.org/10.1890/0012-9658(2002)083[2248:ESORWD]2.0.CO;2</w:t>
        </w:r>
      </w:hyperlink>
    </w:p>
    <w:bookmarkEnd w:id="97"/>
    <w:bookmarkStart w:id="99" w:name="ref-mackenzie2013"/>
    <w:p>
      <w:pPr>
        <w:pStyle w:val="Bibliography"/>
      </w:pPr>
      <w:r>
        <w:t xml:space="preserve">MacKenzie, D. I., &amp; Reardon, J. T. (2013).</w:t>
      </w:r>
      <w:r>
        <w:t xml:space="preserve"> </w:t>
      </w:r>
      <w:r>
        <w:rPr>
          <w:i/>
          <w:iCs/>
        </w:rPr>
        <w:t xml:space="preserve">Occupancy Methods for Conservation Management</w:t>
      </w:r>
      <w:r>
        <w:t xml:space="preserve"> </w:t>
      </w:r>
      <w:r>
        <w:t xml:space="preserve">(pp. 248–264). John Wiley &amp; Sons, Ltd.</w:t>
      </w:r>
      <w:r>
        <w:t xml:space="preserve"> </w:t>
      </w:r>
      <w:hyperlink r:id="rId98">
        <w:r>
          <w:rPr>
            <w:rStyle w:val="Hyperlink"/>
          </w:rPr>
          <w:t xml:space="preserve">https://doi.org/10.1002/9781118490747.ch11</w:t>
        </w:r>
      </w:hyperlink>
    </w:p>
    <w:bookmarkEnd w:id="99"/>
    <w:bookmarkStart w:id="101" w:name="ref-mcclintock2010"/>
    <w:p>
      <w:pPr>
        <w:pStyle w:val="Bibliography"/>
      </w:pPr>
      <w:r>
        <w:t xml:space="preserve">McClintock, B. T., Bailey, L. L., Pollock, K. H., &amp; Simons, T. R. (2010). Unmodelred observation error induces bias when inferring patterns and dynamics of species occurrence via aural detections.</w:t>
      </w:r>
      <w:r>
        <w:t xml:space="preserve"> </w:t>
      </w:r>
      <w:r>
        <w:rPr>
          <w:i/>
          <w:iCs/>
        </w:rPr>
        <w:t xml:space="preserve">Ecology</w:t>
      </w:r>
      <w:r>
        <w:t xml:space="preserve">,</w:t>
      </w:r>
      <w:r>
        <w:t xml:space="preserve"> </w:t>
      </w:r>
      <w:r>
        <w:rPr>
          <w:i/>
          <w:iCs/>
        </w:rPr>
        <w:t xml:space="preserve">91</w:t>
      </w:r>
      <w:r>
        <w:t xml:space="preserve">(8), 2446–2454.</w:t>
      </w:r>
      <w:r>
        <w:t xml:space="preserve"> </w:t>
      </w:r>
      <w:hyperlink r:id="rId100">
        <w:r>
          <w:rPr>
            <w:rStyle w:val="Hyperlink"/>
          </w:rPr>
          <w:t xml:space="preserve">https://www.jstor.org/stable/27860809</w:t>
        </w:r>
      </w:hyperlink>
    </w:p>
    <w:bookmarkEnd w:id="101"/>
    <w:bookmarkStart w:id="103" w:name="ref-miller2015"/>
    <w:p>
      <w:pPr>
        <w:pStyle w:val="Bibliography"/>
      </w:pPr>
      <w:r>
        <w:t xml:space="preserve">Miller, D., Bailey, L. L., Grant, E. H. C., McClintock, B. T., Weir, L. A., &amp; Simons, T. R. (2015). Performance of species occurrence estimators when basic assumptions are not met: a test using field data where true occupancy status is known.</w:t>
      </w:r>
      <w:r>
        <w:t xml:space="preserve"> </w:t>
      </w:r>
      <w:r>
        <w:rPr>
          <w:i/>
          <w:iCs/>
        </w:rPr>
        <w:t xml:space="preserve">Methods in Ecology and Evolution</w:t>
      </w:r>
      <w:r>
        <w:t xml:space="preserve">,</w:t>
      </w:r>
      <w:r>
        <w:t xml:space="preserve"> </w:t>
      </w:r>
      <w:r>
        <w:rPr>
          <w:i/>
          <w:iCs/>
        </w:rPr>
        <w:t xml:space="preserve">6</w:t>
      </w:r>
      <w:r>
        <w:t xml:space="preserve">(5), 557–565.</w:t>
      </w:r>
      <w:r>
        <w:t xml:space="preserve"> </w:t>
      </w:r>
      <w:hyperlink r:id="rId102">
        <w:r>
          <w:rPr>
            <w:rStyle w:val="Hyperlink"/>
          </w:rPr>
          <w:t xml:space="preserve">https://doi.org/10.1111/2041-210X.12342</w:t>
        </w:r>
      </w:hyperlink>
    </w:p>
    <w:bookmarkEnd w:id="103"/>
    <w:bookmarkStart w:id="105" w:name="ref-miller2011"/>
    <w:p>
      <w:pPr>
        <w:pStyle w:val="Bibliography"/>
      </w:pPr>
      <w:r>
        <w:t xml:space="preserve">Miller, D., Nichols, J., Mcclintock, B., Grant, E., Bailey, L., &amp; Weir, L. (2011). Improving occupancy estimation when two types of observational error occur: Non-detection and species misidentification.</w:t>
      </w:r>
      <w:r>
        <w:t xml:space="preserve"> </w:t>
      </w:r>
      <w:r>
        <w:rPr>
          <w:i/>
          <w:iCs/>
        </w:rPr>
        <w:t xml:space="preserve">Ecology</w:t>
      </w:r>
      <w:r>
        <w:t xml:space="preserve">,</w:t>
      </w:r>
      <w:r>
        <w:t xml:space="preserve"> </w:t>
      </w:r>
      <w:r>
        <w:rPr>
          <w:i/>
          <w:iCs/>
        </w:rPr>
        <w:t xml:space="preserve">92</w:t>
      </w:r>
      <w:r>
        <w:t xml:space="preserve">, 1422–1428.</w:t>
      </w:r>
      <w:r>
        <w:t xml:space="preserve"> </w:t>
      </w:r>
      <w:hyperlink r:id="rId104">
        <w:r>
          <w:rPr>
            <w:rStyle w:val="Hyperlink"/>
          </w:rPr>
          <w:t xml:space="preserve">https://doi.org/10.2307/23035095</w:t>
        </w:r>
      </w:hyperlink>
    </w:p>
    <w:bookmarkEnd w:id="105"/>
    <w:bookmarkStart w:id="107" w:name="ref-nichols2007"/>
    <w:p>
      <w:pPr>
        <w:pStyle w:val="Bibliography"/>
      </w:pPr>
      <w:r>
        <w:t xml:space="preserve">Nichols, J. D., Hines, J. E., Mackenzie, D. I., Seamans, M. E., &amp; Gutiérrez, R. J. (2007). Occupancy estimation and modeling with multiple states and state uncertainty.</w:t>
      </w:r>
      <w:r>
        <w:t xml:space="preserve"> </w:t>
      </w:r>
      <w:r>
        <w:rPr>
          <w:i/>
          <w:iCs/>
        </w:rPr>
        <w:t xml:space="preserve">Ecology</w:t>
      </w:r>
      <w:r>
        <w:t xml:space="preserve">,</w:t>
      </w:r>
      <w:r>
        <w:t xml:space="preserve"> </w:t>
      </w:r>
      <w:r>
        <w:rPr>
          <w:i/>
          <w:iCs/>
        </w:rPr>
        <w:t xml:space="preserve">88</w:t>
      </w:r>
      <w:r>
        <w:t xml:space="preserve">(6), 1395–1400.</w:t>
      </w:r>
      <w:r>
        <w:t xml:space="preserve"> </w:t>
      </w:r>
      <w:hyperlink r:id="rId106">
        <w:r>
          <w:rPr>
            <w:rStyle w:val="Hyperlink"/>
          </w:rPr>
          <w:t xml:space="preserve">https://www.jstor.org/stable/27651247</w:t>
        </w:r>
      </w:hyperlink>
    </w:p>
    <w:bookmarkEnd w:id="107"/>
    <w:bookmarkStart w:id="109" w:name="ref-otto2013"/>
    <w:p>
      <w:pPr>
        <w:pStyle w:val="Bibliography"/>
      </w:pPr>
      <w:r>
        <w:t xml:space="preserve">Otto, C. R. V., Bailey, L. L., &amp; Roloff, G. J. (2013). Improving species occupancy estimation when sampling violates the closure assumption.</w:t>
      </w:r>
      <w:r>
        <w:t xml:space="preserve"> </w:t>
      </w:r>
      <w:r>
        <w:rPr>
          <w:i/>
          <w:iCs/>
        </w:rPr>
        <w:t xml:space="preserve">Ecography</w:t>
      </w:r>
      <w:r>
        <w:t xml:space="preserve">,</w:t>
      </w:r>
      <w:r>
        <w:t xml:space="preserve"> </w:t>
      </w:r>
      <w:r>
        <w:rPr>
          <w:i/>
          <w:iCs/>
        </w:rPr>
        <w:t xml:space="preserve">36</w:t>
      </w:r>
      <w:r>
        <w:t xml:space="preserve">(12), 1299–1309.</w:t>
      </w:r>
      <w:r>
        <w:t xml:space="preserve"> </w:t>
      </w:r>
      <w:hyperlink r:id="rId108">
        <w:r>
          <w:rPr>
            <w:rStyle w:val="Hyperlink"/>
          </w:rPr>
          <w:t xml:space="preserve">https://doi.org/10.1111/j.1600-0587.2013.00137.x</w:t>
        </w:r>
      </w:hyperlink>
    </w:p>
    <w:bookmarkEnd w:id="109"/>
    <w:bookmarkStart w:id="111" w:name="ref-rota2009"/>
    <w:p>
      <w:pPr>
        <w:pStyle w:val="Bibliography"/>
      </w:pPr>
      <w:r>
        <w:t xml:space="preserve">Rota, C. T., Fletcher Jr, R. J., Dorazio, R. M., &amp; Betts, M. G. (2009). Occupancy estimation and the closure assumption.</w:t>
      </w:r>
      <w:r>
        <w:t xml:space="preserve"> </w:t>
      </w:r>
      <w:r>
        <w:rPr>
          <w:i/>
          <w:iCs/>
        </w:rPr>
        <w:t xml:space="preserve">Journal of Applied Ecology</w:t>
      </w:r>
      <w:r>
        <w:t xml:space="preserve">,</w:t>
      </w:r>
      <w:r>
        <w:t xml:space="preserve"> </w:t>
      </w:r>
      <w:r>
        <w:rPr>
          <w:i/>
          <w:iCs/>
        </w:rPr>
        <w:t xml:space="preserve">46</w:t>
      </w:r>
      <w:r>
        <w:t xml:space="preserve">(6), 1173–1181.</w:t>
      </w:r>
      <w:r>
        <w:t xml:space="preserve"> </w:t>
      </w:r>
      <w:hyperlink r:id="rId110">
        <w:r>
          <w:rPr>
            <w:rStyle w:val="Hyperlink"/>
          </w:rPr>
          <w:t xml:space="preserve">https://doi.org/10.1111/j.1365-2664.2009.01734.x</w:t>
        </w:r>
      </w:hyperlink>
    </w:p>
    <w:bookmarkEnd w:id="111"/>
    <w:bookmarkStart w:id="113" w:name="ref-royle2006"/>
    <w:p>
      <w:pPr>
        <w:pStyle w:val="Bibliography"/>
      </w:pPr>
      <w:r>
        <w:t xml:space="preserve">Royle, J. A., &amp; Link, W. A. (2006). GENERALIZED SITE OCCUPANCY MODELS ALLOWING FOR FALSE POSITIVE AND FALSE NEGATIVE ERRORS.</w:t>
      </w:r>
      <w:r>
        <w:t xml:space="preserve"> </w:t>
      </w:r>
      <w:r>
        <w:rPr>
          <w:i/>
          <w:iCs/>
        </w:rPr>
        <w:t xml:space="preserve">Ecology</w:t>
      </w:r>
      <w:r>
        <w:t xml:space="preserve">,</w:t>
      </w:r>
      <w:r>
        <w:t xml:space="preserve"> </w:t>
      </w:r>
      <w:r>
        <w:rPr>
          <w:i/>
          <w:iCs/>
        </w:rPr>
        <w:t xml:space="preserve">87</w:t>
      </w:r>
      <w:r>
        <w:t xml:space="preserve">(4), 835–841.</w:t>
      </w:r>
      <w:r>
        <w:t xml:space="preserve"> </w:t>
      </w:r>
      <w:hyperlink r:id="rId112">
        <w:r>
          <w:rPr>
            <w:rStyle w:val="Hyperlink"/>
          </w:rPr>
          <w:t xml:space="preserve">https://doi.org/10.1890/0012-9658(2006)87[835:GSOMAF]2.0.CO;2</w:t>
        </w:r>
      </w:hyperlink>
    </w:p>
    <w:bookmarkEnd w:id="113"/>
    <w:bookmarkStart w:id="115" w:name="ref-steenweg2018"/>
    <w:p>
      <w:pPr>
        <w:pStyle w:val="Bibliography"/>
      </w:pPr>
      <w:r>
        <w:t xml:space="preserve">Steenweg, R., Hebblewhite, M., Whittington, J., Lukacs, P., &amp; McKelvey, K. (2018). Sampling scales define occupancy and underlying occupancy</w:t>
      </w:r>
      <w:r>
        <w:t xml:space="preserve">abundance relationships in animals.</w:t>
      </w:r>
      <w:r>
        <w:t xml:space="preserve"> </w:t>
      </w:r>
      <w:r>
        <w:rPr>
          <w:i/>
          <w:iCs/>
        </w:rPr>
        <w:t xml:space="preserve">Ecology</w:t>
      </w:r>
      <w:r>
        <w:t xml:space="preserve">,</w:t>
      </w:r>
      <w:r>
        <w:t xml:space="preserve"> </w:t>
      </w:r>
      <w:r>
        <w:rPr>
          <w:i/>
          <w:iCs/>
        </w:rPr>
        <w:t xml:space="preserve">99</w:t>
      </w:r>
      <w:r>
        <w:t xml:space="preserve">(1), 172–183.</w:t>
      </w:r>
      <w:r>
        <w:t xml:space="preserve"> </w:t>
      </w:r>
      <w:hyperlink r:id="rId114">
        <w:r>
          <w:rPr>
            <w:rStyle w:val="Hyperlink"/>
          </w:rPr>
          <w:t xml:space="preserve">https://doi.org/10.1002/ecy.2054</w:t>
        </w:r>
      </w:hyperlink>
    </w:p>
    <w:bookmarkEnd w:id="115"/>
    <w:bookmarkStart w:id="117" w:name="ref-valente2017"/>
    <w:p>
      <w:pPr>
        <w:pStyle w:val="Bibliography"/>
      </w:pPr>
      <w:r>
        <w:t xml:space="preserve">Valente, J. J., Hutchinson, R. A., &amp; Betts, M. G. (2017). Distinguishing distribution dynamics from temporary emigration using dynamic occupancy models.</w:t>
      </w:r>
      <w:r>
        <w:t xml:space="preserve"> </w:t>
      </w:r>
      <w:r>
        <w:rPr>
          <w:i/>
          <w:iCs/>
        </w:rPr>
        <w:t xml:space="preserve">Methods in Ecology and Evolution</w:t>
      </w:r>
      <w:r>
        <w:t xml:space="preserve">,</w:t>
      </w:r>
      <w:r>
        <w:t xml:space="preserve"> </w:t>
      </w:r>
      <w:r>
        <w:rPr>
          <w:i/>
          <w:iCs/>
        </w:rPr>
        <w:t xml:space="preserve">8</w:t>
      </w:r>
      <w:r>
        <w:t xml:space="preserve">(12), 1707–1716.</w:t>
      </w:r>
      <w:r>
        <w:t xml:space="preserve"> </w:t>
      </w:r>
      <w:hyperlink r:id="rId116">
        <w:r>
          <w:rPr>
            <w:rStyle w:val="Hyperlink"/>
          </w:rPr>
          <w:t xml:space="preserve">https://doi.org/10.1111/2041-210X.12840</w:t>
        </w:r>
      </w:hyperlink>
    </w:p>
    <w:bookmarkEnd w:id="117"/>
    <w:bookmarkEnd w:id="118"/>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611">
    <w:nsid w:val="00A99611"/>
    <w:multiLevelType w:val="multilevel"/>
    <w:lvl w:ilvl="0">
      <w:start w:val="1"/>
      <w:numFmt w:val="upperRoman"/>
      <w:lvlText w:val="%1."/>
      <w:lvlJc w:val="left"/>
      <w:pPr>
        <w:ind w:left="720" w:hanging="360"/>
      </w:pPr>
    </w:lvl>
    <w:lvl w:ilvl="1">
      <w:start w:val="1"/>
      <w:numFmt w:val="upperRoman"/>
      <w:lvlText w:val="%2."/>
      <w:lvlJc w:val="left"/>
      <w:pPr>
        <w:ind w:left="1440" w:hanging="360"/>
      </w:pPr>
    </w:lvl>
    <w:lvl w:ilvl="2">
      <w:start w:val="1"/>
      <w:numFmt w:val="upperRoman"/>
      <w:lvlText w:val="%3."/>
      <w:lvlJc w:val="left"/>
      <w:pPr>
        <w:ind w:left="2160" w:hanging="360"/>
      </w:pPr>
    </w:lvl>
    <w:lvl w:ilvl="3">
      <w:start w:val="1"/>
      <w:numFmt w:val="upperRoman"/>
      <w:lvlText w:val="%4."/>
      <w:lvlJc w:val="left"/>
      <w:pPr>
        <w:ind w:left="2880" w:hanging="360"/>
      </w:pPr>
    </w:lvl>
    <w:lvl w:ilvl="4">
      <w:start w:val="1"/>
      <w:numFmt w:val="upperRoman"/>
      <w:lvlText w:val="%5."/>
      <w:lvlJc w:val="left"/>
      <w:pPr>
        <w:ind w:left="3600" w:hanging="360"/>
      </w:pPr>
    </w:lvl>
    <w:lvl w:ilvl="5">
      <w:start w:val="1"/>
      <w:numFmt w:val="upperRoman"/>
      <w:lvlText w:val="%6."/>
      <w:lvlJc w:val="left"/>
      <w:pPr>
        <w:ind w:left="4320" w:hanging="360"/>
      </w:pPr>
    </w:lvl>
    <w:lvl w:ilvl="6">
      <w:start w:val="1"/>
      <w:numFmt w:val="upperRoman"/>
      <w:lvlText w:val="%7."/>
      <w:lvlJc w:val="left"/>
      <w:pPr>
        <w:ind w:left="5040" w:hanging="360"/>
      </w:pPr>
    </w:lvl>
    <w:lvl w:ilvl="7">
      <w:start w:val="1"/>
      <w:numFmt w:val="upperRoman"/>
      <w:lvlText w:val="%8."/>
      <w:lvlJc w:val="left"/>
      <w:pPr>
        <w:ind w:left="5760" w:hanging="360"/>
      </w:pPr>
    </w:lvl>
    <w:lvl w:ilvl="8">
      <w:start w:val="1"/>
      <w:numFmt w:val="upperRoman"/>
      <w:lvlText w:val="%9."/>
      <w:lvlJc w:val="left"/>
      <w:pPr>
        <w:ind w:left="6480" w:hanging="360"/>
      </w:pPr>
    </w:lvl>
  </w:abstractNum>
  <w:num w:numId="1000">
    <w:abstractNumId w:val="990"/>
  </w:num>
  <w:num w:numId="1001">
    <w:abstractNumId w:val="996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35" Target="media/rId35.jpg" /><Relationship Type="http://schemas.openxmlformats.org/officeDocument/2006/relationships/image" Id="rId49" Target="media/rId49.jp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hyperlink" Id="rId98" Target="https://doi.org/10.1002/9781118490747.ch11" TargetMode="External" /><Relationship Type="http://schemas.openxmlformats.org/officeDocument/2006/relationships/hyperlink" Id="rId114" Target="https://doi.org/10.1002/ecy.2054" TargetMode="External" /><Relationship Type="http://schemas.openxmlformats.org/officeDocument/2006/relationships/hyperlink" Id="rId77" Target="https://doi.org/10.1016/S0006-3207(03)00190-3" TargetMode="External" /><Relationship Type="http://schemas.openxmlformats.org/officeDocument/2006/relationships/hyperlink" Id="rId71" Target="https://doi.org/10.1016/j.baae.2006.11.001" TargetMode="External" /><Relationship Type="http://schemas.openxmlformats.org/officeDocument/2006/relationships/hyperlink" Id="rId59" Target="https://doi.org/10.1111/1365-2664.13265" TargetMode="External" /><Relationship Type="http://schemas.openxmlformats.org/officeDocument/2006/relationships/hyperlink" Id="rId55" Target="https://doi.org/10.1111/2041-210X.12100" TargetMode="External" /><Relationship Type="http://schemas.openxmlformats.org/officeDocument/2006/relationships/hyperlink" Id="rId102" Target="https://doi.org/10.1111/2041-210X.12342" TargetMode="External" /><Relationship Type="http://schemas.openxmlformats.org/officeDocument/2006/relationships/hyperlink" Id="rId116" Target="https://doi.org/10.1111/2041-210X.12840" TargetMode="External" /><Relationship Type="http://schemas.openxmlformats.org/officeDocument/2006/relationships/hyperlink" Id="rId61" Target="https://doi.org/10.1111/cobi.12093" TargetMode="External" /><Relationship Type="http://schemas.openxmlformats.org/officeDocument/2006/relationships/hyperlink" Id="rId81" Target="https://doi.org/10.1111/ddi.13822" TargetMode="External" /><Relationship Type="http://schemas.openxmlformats.org/officeDocument/2006/relationships/hyperlink" Id="rId92" Target="https://doi.org/10.1111/ecog.00967" TargetMode="External" /><Relationship Type="http://schemas.openxmlformats.org/officeDocument/2006/relationships/hyperlink" Id="rId79" Target="https://doi.org/10.1111/ecog.02445" TargetMode="External" /><Relationship Type="http://schemas.openxmlformats.org/officeDocument/2006/relationships/hyperlink" Id="rId67" Target="https://doi.org/10.1111/ecog.04957" TargetMode="External" /><Relationship Type="http://schemas.openxmlformats.org/officeDocument/2006/relationships/hyperlink" Id="rId63" Target="https://doi.org/10.1111/ele.13348" TargetMode="External" /><Relationship Type="http://schemas.openxmlformats.org/officeDocument/2006/relationships/hyperlink" Id="rId65" Target="https://doi.org/10.1111/gcb.15723" TargetMode="External" /><Relationship Type="http://schemas.openxmlformats.org/officeDocument/2006/relationships/hyperlink" Id="rId90" Target="https://doi.org/10.1111/geb.12138" TargetMode="External" /><Relationship Type="http://schemas.openxmlformats.org/officeDocument/2006/relationships/hyperlink" Id="rId57" Target="https://doi.org/10.1111/j.1365-2664.2006.01136.x" TargetMode="External" /><Relationship Type="http://schemas.openxmlformats.org/officeDocument/2006/relationships/hyperlink" Id="rId110" Target="https://doi.org/10.1111/j.1365-2664.2009.01734.x" TargetMode="External" /><Relationship Type="http://schemas.openxmlformats.org/officeDocument/2006/relationships/hyperlink" Id="rId108" Target="https://doi.org/10.1111/j.1600-0587.2013.00137.x" TargetMode="External" /><Relationship Type="http://schemas.openxmlformats.org/officeDocument/2006/relationships/hyperlink" Id="rId73" Target="https://doi.org/10.1111/j.2041-210X.2010.00036.x" TargetMode="External" /><Relationship Type="http://schemas.openxmlformats.org/officeDocument/2006/relationships/hyperlink" Id="rId88" Target="https://doi.org/10.1111/jbi.12087" TargetMode="External" /><Relationship Type="http://schemas.openxmlformats.org/officeDocument/2006/relationships/hyperlink" Id="rId84" Target="https://doi.org/10.1371/journal.pone.0111436" TargetMode="External" /><Relationship Type="http://schemas.openxmlformats.org/officeDocument/2006/relationships/hyperlink" Id="rId96" Target="https://doi.org/10.1890/0012-9658(2002)083[2248:ESORWD]2.0.CO;2" TargetMode="External" /><Relationship Type="http://schemas.openxmlformats.org/officeDocument/2006/relationships/hyperlink" Id="rId112" Target="https://doi.org/10.1890/0012-9658(2006)87[835:GSOMAF]2.0.CO;2" TargetMode="External" /><Relationship Type="http://schemas.openxmlformats.org/officeDocument/2006/relationships/hyperlink" Id="rId94" Target="https://doi.org/10.1890/02-3090" TargetMode="External" /><Relationship Type="http://schemas.openxmlformats.org/officeDocument/2006/relationships/hyperlink" Id="rId69" Target="https://doi.org/10.1890/09-1033.1" TargetMode="External" /><Relationship Type="http://schemas.openxmlformats.org/officeDocument/2006/relationships/hyperlink" Id="rId86" Target="https://doi.org/10.1890/12-1720.1" TargetMode="External" /><Relationship Type="http://schemas.openxmlformats.org/officeDocument/2006/relationships/hyperlink" Id="rId104" Target="https://doi.org/10.2307/23035095" TargetMode="External" /><Relationship Type="http://schemas.openxmlformats.org/officeDocument/2006/relationships/hyperlink" Id="rId75" Target="https://www.cambridge.org/core/books/mapping-species-distributions/58225AE5693AED8BD812F7CEBE35378A" TargetMode="External" /><Relationship Type="http://schemas.openxmlformats.org/officeDocument/2006/relationships/hyperlink" Id="rId106" Target="https://www.jstor.org/stable/27651247" TargetMode="External" /><Relationship Type="http://schemas.openxmlformats.org/officeDocument/2006/relationships/hyperlink" Id="rId100" Target="https://www.jstor.org/stable/27860809" TargetMode="External" /></Relationships>
</file>

<file path=word/_rels/footnotes.xml.rels><?xml version="1.0" encoding="UTF-8"?><Relationships xmlns="http://schemas.openxmlformats.org/package/2006/relationships"><Relationship Type="http://schemas.openxmlformats.org/officeDocument/2006/relationships/hyperlink" Id="rId98" Target="https://doi.org/10.1002/9781118490747.ch11" TargetMode="External" /><Relationship Type="http://schemas.openxmlformats.org/officeDocument/2006/relationships/hyperlink" Id="rId114" Target="https://doi.org/10.1002/ecy.2054" TargetMode="External" /><Relationship Type="http://schemas.openxmlformats.org/officeDocument/2006/relationships/hyperlink" Id="rId77" Target="https://doi.org/10.1016/S0006-3207(03)00190-3" TargetMode="External" /><Relationship Type="http://schemas.openxmlformats.org/officeDocument/2006/relationships/hyperlink" Id="rId71" Target="https://doi.org/10.1016/j.baae.2006.11.001" TargetMode="External" /><Relationship Type="http://schemas.openxmlformats.org/officeDocument/2006/relationships/hyperlink" Id="rId59" Target="https://doi.org/10.1111/1365-2664.13265" TargetMode="External" /><Relationship Type="http://schemas.openxmlformats.org/officeDocument/2006/relationships/hyperlink" Id="rId55" Target="https://doi.org/10.1111/2041-210X.12100" TargetMode="External" /><Relationship Type="http://schemas.openxmlformats.org/officeDocument/2006/relationships/hyperlink" Id="rId102" Target="https://doi.org/10.1111/2041-210X.12342" TargetMode="External" /><Relationship Type="http://schemas.openxmlformats.org/officeDocument/2006/relationships/hyperlink" Id="rId116" Target="https://doi.org/10.1111/2041-210X.12840" TargetMode="External" /><Relationship Type="http://schemas.openxmlformats.org/officeDocument/2006/relationships/hyperlink" Id="rId61" Target="https://doi.org/10.1111/cobi.12093" TargetMode="External" /><Relationship Type="http://schemas.openxmlformats.org/officeDocument/2006/relationships/hyperlink" Id="rId81" Target="https://doi.org/10.1111/ddi.13822" TargetMode="External" /><Relationship Type="http://schemas.openxmlformats.org/officeDocument/2006/relationships/hyperlink" Id="rId92" Target="https://doi.org/10.1111/ecog.00967" TargetMode="External" /><Relationship Type="http://schemas.openxmlformats.org/officeDocument/2006/relationships/hyperlink" Id="rId79" Target="https://doi.org/10.1111/ecog.02445" TargetMode="External" /><Relationship Type="http://schemas.openxmlformats.org/officeDocument/2006/relationships/hyperlink" Id="rId67" Target="https://doi.org/10.1111/ecog.04957" TargetMode="External" /><Relationship Type="http://schemas.openxmlformats.org/officeDocument/2006/relationships/hyperlink" Id="rId63" Target="https://doi.org/10.1111/ele.13348" TargetMode="External" /><Relationship Type="http://schemas.openxmlformats.org/officeDocument/2006/relationships/hyperlink" Id="rId65" Target="https://doi.org/10.1111/gcb.15723" TargetMode="External" /><Relationship Type="http://schemas.openxmlformats.org/officeDocument/2006/relationships/hyperlink" Id="rId90" Target="https://doi.org/10.1111/geb.12138" TargetMode="External" /><Relationship Type="http://schemas.openxmlformats.org/officeDocument/2006/relationships/hyperlink" Id="rId57" Target="https://doi.org/10.1111/j.1365-2664.2006.01136.x" TargetMode="External" /><Relationship Type="http://schemas.openxmlformats.org/officeDocument/2006/relationships/hyperlink" Id="rId110" Target="https://doi.org/10.1111/j.1365-2664.2009.01734.x" TargetMode="External" /><Relationship Type="http://schemas.openxmlformats.org/officeDocument/2006/relationships/hyperlink" Id="rId108" Target="https://doi.org/10.1111/j.1600-0587.2013.00137.x" TargetMode="External" /><Relationship Type="http://schemas.openxmlformats.org/officeDocument/2006/relationships/hyperlink" Id="rId73" Target="https://doi.org/10.1111/j.2041-210X.2010.00036.x" TargetMode="External" /><Relationship Type="http://schemas.openxmlformats.org/officeDocument/2006/relationships/hyperlink" Id="rId88" Target="https://doi.org/10.1111/jbi.12087" TargetMode="External" /><Relationship Type="http://schemas.openxmlformats.org/officeDocument/2006/relationships/hyperlink" Id="rId84" Target="https://doi.org/10.1371/journal.pone.0111436" TargetMode="External" /><Relationship Type="http://schemas.openxmlformats.org/officeDocument/2006/relationships/hyperlink" Id="rId96" Target="https://doi.org/10.1890/0012-9658(2002)083[2248:ESORWD]2.0.CO;2" TargetMode="External" /><Relationship Type="http://schemas.openxmlformats.org/officeDocument/2006/relationships/hyperlink" Id="rId112" Target="https://doi.org/10.1890/0012-9658(2006)87[835:GSOMAF]2.0.CO;2" TargetMode="External" /><Relationship Type="http://schemas.openxmlformats.org/officeDocument/2006/relationships/hyperlink" Id="rId94" Target="https://doi.org/10.1890/02-3090" TargetMode="External" /><Relationship Type="http://schemas.openxmlformats.org/officeDocument/2006/relationships/hyperlink" Id="rId69" Target="https://doi.org/10.1890/09-1033.1" TargetMode="External" /><Relationship Type="http://schemas.openxmlformats.org/officeDocument/2006/relationships/hyperlink" Id="rId86" Target="https://doi.org/10.1890/12-1720.1" TargetMode="External" /><Relationship Type="http://schemas.openxmlformats.org/officeDocument/2006/relationships/hyperlink" Id="rId104" Target="https://doi.org/10.2307/23035095" TargetMode="External" /><Relationship Type="http://schemas.openxmlformats.org/officeDocument/2006/relationships/hyperlink" Id="rId75" Target="https://www.cambridge.org/core/books/mapping-species-distributions/58225AE5693AED8BD812F7CEBE35378A" TargetMode="External" /><Relationship Type="http://schemas.openxmlformats.org/officeDocument/2006/relationships/hyperlink" Id="rId106" Target="https://www.jstor.org/stable/27651247" TargetMode="External" /><Relationship Type="http://schemas.openxmlformats.org/officeDocument/2006/relationships/hyperlink" Id="rId100" Target="https://www.jstor.org/stable/278608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Twenty years of dynamic occupancy models: a review of applications and look towards the future</dc:title>
  <dc:creator/>
  <cp:keywords/>
  <dcterms:created xsi:type="dcterms:W3CDTF">2025-01-28T05:51:26Z</dcterms:created>
  <dcterms:modified xsi:type="dcterms:W3CDTF">2025-01-28T05:51:26Z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Occupancy models.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sl">
    <vt:lpwstr>apa.csl</vt:lpwstr>
  </property>
  <property fmtid="{D5CDD505-2E9C-101B-9397-08002B2CF9AE}" pid="10" name="date">
    <vt:lpwstr>2025-01-28</vt:lpwstr>
  </property>
  <property fmtid="{D5CDD505-2E9C-101B-9397-08002B2CF9AE}" pid="11" name="editor">
    <vt:lpwstr>visual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itle-block-banner">
    <vt:lpwstr>True</vt:lpwstr>
  </property>
  <property fmtid="{D5CDD505-2E9C-101B-9397-08002B2CF9AE}" pid="17" name="toc-title">
    <vt:lpwstr>Table of contents</vt:lpwstr>
  </property>
</Properties>
</file>