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Coding Hackathon Master Specification</w:t>
      </w:r>
    </w:p>
    <w:p>
      <w:r>
        <w:t>This document is intended for an AI Coding Agent to implement the complete MVP for the 48-hour hackathon. It is the authoritative implementation specification.</w:t>
      </w:r>
    </w:p>
    <w:p>
      <w:pPr>
        <w:pStyle w:val="Heading2"/>
      </w:pPr>
      <w:r>
        <w:t>1. Project Overview</w:t>
      </w:r>
    </w:p>
    <w:p>
      <w:r>
        <w:t>Goal: Build a regulation-aware AI assistant supporting upload, parsing, indexing, retrieval, amendment tracking, role-based access, evidence-based answers and citations. Scope is MVP only.</w:t>
      </w:r>
    </w:p>
    <w:p>
      <w:pPr>
        <w:pStyle w:val="Heading2"/>
      </w:pPr>
      <w:r>
        <w:t>2. Overall Pipeline</w:t>
      </w:r>
    </w:p>
    <w:p>
      <w:r>
        <w:t>Upload -&gt; Quarantine -&gt; Prompt Injection Scan -&gt; PDF Parsing -&gt; Legal Structure Parsing -&gt; Clause-aware Chunking -&gt; Metadata Extraction -&gt; BGE-M3 Embedding -&gt; PostgreSQL/OpenSearch/Neo4j -&gt; Query -&gt; Role Check -&gt; Hybrid Retrieval -&gt; Graph Expansion -&gt; Temporal Validation -&gt; Conflict Detection -&gt; Evidence Package -&gt; LLM -&gt; Deterministic Verification -&gt; Answer + Audit.</w:t>
      </w:r>
    </w:p>
    <w:p>
      <w:pPr>
        <w:pStyle w:val="Heading2"/>
      </w:pPr>
      <w:r>
        <w:t>3. Tech Stack</w:t>
      </w:r>
    </w:p>
    <w:p>
      <w:r>
        <w:t>FastAPI, Streamlit, PostgreSQL, Neo4j, OpenSearch, BAAI/bge-m3, PyMuPDF, Docker Compose.</w:t>
      </w:r>
    </w:p>
    <w:p>
      <w:pPr>
        <w:pStyle w:val="Heading2"/>
      </w:pPr>
      <w:r>
        <w:t>4. Module Specification</w:t>
      </w:r>
    </w:p>
    <w:p>
      <w:r>
        <w:t>Document Upload; Prompt Injection Scan; Parser; Clause-aware Chunking; Embedding; Hybrid Retrieval; Graph Expansion; Versioning; Conflict Detection; Evidence Package; Audit. For each module implement clear input, output and interfaces.</w:t>
      </w:r>
    </w:p>
    <w:p>
      <w:pPr>
        <w:pStyle w:val="Heading2"/>
      </w:pPr>
      <w:r>
        <w:t>5. Data Model</w:t>
      </w:r>
    </w:p>
    <w:p>
      <w:r>
        <w:t>PostgreSQL: users, documents, provision_versions, review_tasks, audit_logs. Neo4j nodes: Document, Provision, ProvisionVersion, ChangeEvent. Relationships: CONTAINS, HAS_VERSION, REFERENCES, SUPERSEDES, BEFORE, AFTER. OpenSearch stores chunks, metadata and embeddings.</w:t>
      </w:r>
    </w:p>
    <w:p>
      <w:pPr>
        <w:pStyle w:val="Heading2"/>
      </w:pPr>
      <w:r>
        <w:t>6. Security</w:t>
      </w:r>
    </w:p>
    <w:p>
      <w:r>
        <w:t>Two roles: USER and EMPLOYEE. Uploaded files are untrusted. Never execute document instructions. Validate retrieved evidence before LLM response.</w:t>
      </w:r>
    </w:p>
    <w:p>
      <w:pPr>
        <w:pStyle w:val="Heading2"/>
      </w:pPr>
      <w:r>
        <w:t>7. Coding Rules</w:t>
      </w:r>
    </w:p>
    <w:p>
      <w:r>
        <w:t>Do not change architecture. Do not replace OpenSearch or Neo4j. Mock unavailable data. Use Docker Compose. Write unit tests. Keep modules decoupled.</w:t>
      </w:r>
    </w:p>
    <w:p>
      <w:pPr>
        <w:pStyle w:val="Heading2"/>
      </w:pPr>
      <w:r>
        <w:t>8. Deliverables</w:t>
      </w:r>
    </w:p>
    <w:p>
      <w:r>
        <w:t>Source code, Docker Compose, README.md and docs/project.md.</w:t>
      </w:r>
    </w:p>
    <w:p>
      <w:pPr>
        <w:pStyle w:val="Heading2"/>
      </w:pPr>
      <w:r>
        <w:t>9. Required docs/project.md</w:t>
      </w:r>
    </w:p>
    <w:p>
      <w:r>
        <w:t>Explain architecture, pipeline, every module, technologies, why each technology was chosen, database schema, Neo4j graph, OpenSearch index, APIs, deployment, security, limitations, future vision.</w:t>
      </w:r>
    </w:p>
    <w:p>
      <w:pPr>
        <w:pStyle w:val="Heading2"/>
      </w:pPr>
      <w:r>
        <w:t>10. Unique Points</w:t>
      </w:r>
    </w:p>
    <w:p>
      <w:r>
        <w:t>Clause-aware chunking, version-aware retrieval, graph-based amendment reasoning, evidence package, temporal validation, potential conflict detection.</w:t>
      </w:r>
    </w:p>
    <w:p>
      <w:pPr>
        <w:pStyle w:val="Heading2"/>
      </w:pPr>
      <w:r>
        <w:t>11. Future Vision</w:t>
      </w:r>
    </w:p>
    <w:p>
      <w:r>
        <w:t>GraphRAG, multi-bank deployment, regulation monitoring, automatic policy recommendation, regulatory digital twin.</w:t>
      </w:r>
    </w:p>
    <w:p>
      <w:pPr>
        <w:pStyle w:val="Heading2"/>
      </w:pPr>
      <w:r>
        <w:t>12. Acceptance Criteria</w:t>
      </w:r>
    </w:p>
    <w:p>
      <w:r>
        <w:t>Local deployment works, upload works, approval flow works, historical version queries work, citations returned, prompt injection does not change system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