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6.png" ContentType="image/png"/>
  <Override PartName="/word/media/rId70.png" ContentType="image/png"/>
  <Override PartName="/word/media/rId27.png" ContentType="image/png"/>
  <Override PartName="/word/media/rId32.png" ContentType="image/png"/>
  <Override PartName="/word/media/rId37.png" ContentType="image/png"/>
  <Override PartName="/word/media/rId42.png" ContentType="image/png"/>
  <Override PartName="/word/media/rId47.png" ContentType="image/png"/>
  <Override PartName="/word/media/rId52.png" ContentType="image/png"/>
  <Override PartName="/word/media/rId57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№3.</w:t>
      </w:r>
      <w:r>
        <w:t xml:space="preserve"> </w:t>
      </w:r>
      <w:r>
        <w:t xml:space="preserve">Введение</w:t>
      </w:r>
      <w:r>
        <w:t xml:space="preserve"> </w:t>
      </w:r>
      <w:r>
        <w:t xml:space="preserve">в</w:t>
      </w:r>
      <w:r>
        <w:t xml:space="preserve"> </w:t>
      </w:r>
      <w:r>
        <w:t xml:space="preserve">работу</w:t>
      </w:r>
      <w:r>
        <w:t xml:space="preserve"> </w:t>
      </w:r>
      <w:r>
        <w:t xml:space="preserve">с</w:t>
      </w:r>
      <w:r>
        <w:t xml:space="preserve"> </w:t>
      </w:r>
      <w:r>
        <w:t xml:space="preserve">Octave.</w:t>
      </w:r>
    </w:p>
    <w:p>
      <w:pPr>
        <w:pStyle w:val="Subtitle"/>
      </w:pPr>
      <w:r>
        <w:t xml:space="preserve">Предмет: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Баклашов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Octave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GNU Octave — свободная программная система для математических вычислений, использующая совместимый с MATLAB язык высокого уровня.</w:t>
      </w:r>
    </w:p>
    <w:p>
      <w:pPr>
        <w:pStyle w:val="BodyText"/>
      </w:pPr>
      <w:r>
        <w:t xml:space="preserve">Предоставляет интерактивный командный интерфейс для решения линейных и нелинейных математических задач, а также проведения других численных экспериментов. Кроме того, Octave можно использовать для пакетной обработки. Язык Octave оперирует арифметикой вещественных и комплексных скаляров, векторов и матриц, имеет расширения для решения линейных алгебраических задач, нахождения корней систем нелинейных алгебраических уравнений, работы с полиномами, решения различных дифференциальных уравнений, интегрирования систем дифференциальных и дифференциально-алгебраических уравнений первого порядка, интегрирования функций на конечных и бесконечных интервалах. Этот список можно легко расширить, используя язык Octave (или используя динамически загружаемые модули, созданные на Си, C++, Фортране и других). [1]</w:t>
      </w:r>
    </w:p>
    <w:bookmarkEnd w:id="21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простейшие-операци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Простейшие операции</w:t>
      </w:r>
    </w:p>
    <w:p>
      <w:pPr>
        <w:numPr>
          <w:ilvl w:val="0"/>
          <w:numId w:val="1001"/>
        </w:numPr>
        <w:pStyle w:val="Compact"/>
      </w:pPr>
      <w:r>
        <w:t xml:space="preserve">Выполним простейшие операции в Octave (рис. 1)</w:t>
      </w:r>
    </w:p>
    <w:p>
      <w:pPr>
        <w:pStyle w:val="CaptionedFigure"/>
      </w:pPr>
      <w:bookmarkStart w:id="25" w:name="fig:001"/>
      <w:r>
        <w:drawing>
          <wp:inline>
            <wp:extent cx="3022600" cy="4330700"/>
            <wp:effectExtent b="0" l="0" r="0" t="0"/>
            <wp:docPr descr="Рис. 1: Простейшие операци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Простейшие операции</w:t>
      </w:r>
    </w:p>
    <w:bookmarkEnd w:id="26"/>
    <w:bookmarkStart w:id="31" w:name="операции-с-векторам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Операции с векторами</w:t>
      </w:r>
    </w:p>
    <w:p>
      <w:pPr>
        <w:numPr>
          <w:ilvl w:val="0"/>
          <w:numId w:val="1002"/>
        </w:numPr>
        <w:pStyle w:val="Compact"/>
      </w:pPr>
      <w:r>
        <w:t xml:space="preserve">Выполним операции с векторами в Octave (рис. 2)</w:t>
      </w:r>
    </w:p>
    <w:p>
      <w:pPr>
        <w:pStyle w:val="CaptionedFigure"/>
      </w:pPr>
      <w:bookmarkStart w:id="30" w:name="fig:002"/>
      <w:r>
        <w:drawing>
          <wp:inline>
            <wp:extent cx="1879600" cy="6781800"/>
            <wp:effectExtent b="0" l="0" r="0" t="0"/>
            <wp:docPr descr="Рис. 2: Операции с векторам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678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Операции с векторами</w:t>
      </w:r>
    </w:p>
    <w:bookmarkEnd w:id="31"/>
    <w:bookmarkStart w:id="36" w:name="вычисление-проектор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Вычисление проектора</w:t>
      </w:r>
    </w:p>
    <w:p>
      <w:pPr>
        <w:numPr>
          <w:ilvl w:val="0"/>
          <w:numId w:val="1003"/>
        </w:numPr>
        <w:pStyle w:val="Compact"/>
      </w:pPr>
      <w:r>
        <w:t xml:space="preserve">Выполним вычисление проектора в Octave (рис. 3)</w:t>
      </w:r>
    </w:p>
    <w:p>
      <w:pPr>
        <w:pStyle w:val="CaptionedFigure"/>
      </w:pPr>
      <w:bookmarkStart w:id="35" w:name="fig:003"/>
      <w:r>
        <w:drawing>
          <wp:inline>
            <wp:extent cx="3746500" cy="2946400"/>
            <wp:effectExtent b="0" l="0" r="0" t="0"/>
            <wp:docPr descr="Рис. 3: Вычисление проектора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Вычисление проектора</w:t>
      </w:r>
    </w:p>
    <w:bookmarkEnd w:id="36"/>
    <w:bookmarkStart w:id="41" w:name="матричные-операции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Матричные операции</w:t>
      </w:r>
    </w:p>
    <w:p>
      <w:pPr>
        <w:numPr>
          <w:ilvl w:val="0"/>
          <w:numId w:val="1004"/>
        </w:numPr>
        <w:pStyle w:val="Compact"/>
      </w:pPr>
      <w:r>
        <w:t xml:space="preserve">Выполним матричные операции в Octave (рис. 4)</w:t>
      </w:r>
    </w:p>
    <w:p>
      <w:pPr>
        <w:pStyle w:val="CaptionedFigure"/>
      </w:pPr>
      <w:bookmarkStart w:id="40" w:name="fig:004"/>
      <w:r>
        <w:drawing>
          <wp:inline>
            <wp:extent cx="2908300" cy="11023600"/>
            <wp:effectExtent b="0" l="0" r="0" t="0"/>
            <wp:docPr descr="Рис. 4: Матричные операции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102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4: Матричные операции</w:t>
      </w:r>
    </w:p>
    <w:bookmarkEnd w:id="41"/>
    <w:bookmarkStart w:id="46" w:name="построение-простейших-графиков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Построение простейших графиков</w:t>
      </w:r>
    </w:p>
    <w:p>
      <w:pPr>
        <w:numPr>
          <w:ilvl w:val="0"/>
          <w:numId w:val="1005"/>
        </w:numPr>
        <w:pStyle w:val="Compact"/>
      </w:pPr>
      <w:r>
        <w:t xml:space="preserve">Построим график функции</w:t>
      </w:r>
      <w:r>
        <w:t xml:space="preserve"> </w:t>
      </w:r>
      <m:oMath>
        <m:r>
          <m:t>s</m:t>
        </m:r>
        <m:r>
          <m:t>i</m:t>
        </m:r>
        <m:r>
          <m:t>n</m:t>
        </m:r>
        <m:r>
          <m:t>x</m:t>
        </m:r>
      </m:oMath>
      <w:r>
        <w:t xml:space="preserve"> </w:t>
      </w:r>
      <w:r>
        <w:t xml:space="preserve">на интервале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  <m:r>
              <m:t>π</m:t>
            </m:r>
          </m:e>
        </m:d>
      </m:oMath>
      <w:r>
        <w:t xml:space="preserve">. (рис. 5)</w:t>
      </w:r>
    </w:p>
    <w:p>
      <w:pPr>
        <w:pStyle w:val="CaptionedFigure"/>
      </w:pPr>
      <w:bookmarkStart w:id="45" w:name="fig:005"/>
      <w:r>
        <w:drawing>
          <wp:inline>
            <wp:extent cx="5334000" cy="5606814"/>
            <wp:effectExtent b="0" l="0" r="0" t="0"/>
            <wp:docPr descr="Рис. 5: График функции" title="" id="43" name="Picture"/>
            <a:graphic>
              <a:graphicData uri="http://schemas.openxmlformats.org/drawingml/2006/picture">
                <pic:pic>
                  <pic:nvPicPr>
                    <pic:cNvPr descr="image/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6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5: График функции</w:t>
      </w:r>
    </w:p>
    <w:bookmarkEnd w:id="46"/>
    <w:bookmarkStart w:id="51" w:name="улучшение-графика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Улучшение графика</w:t>
      </w:r>
    </w:p>
    <w:p>
      <w:pPr>
        <w:numPr>
          <w:ilvl w:val="0"/>
          <w:numId w:val="1006"/>
        </w:numPr>
        <w:pStyle w:val="Compact"/>
      </w:pPr>
      <w:r>
        <w:t xml:space="preserve">Улучшим построенный график (рис. 6)</w:t>
      </w:r>
    </w:p>
    <w:p>
      <w:pPr>
        <w:pStyle w:val="CaptionedFigure"/>
      </w:pPr>
      <w:bookmarkStart w:id="50" w:name="fig:006"/>
      <w:r>
        <w:drawing>
          <wp:inline>
            <wp:extent cx="5334000" cy="2998671"/>
            <wp:effectExtent b="0" l="0" r="0" t="0"/>
            <wp:docPr descr="Рис. 6: Улучшенный график" title="" id="48" name="Picture"/>
            <a:graphic>
              <a:graphicData uri="http://schemas.openxmlformats.org/drawingml/2006/picture">
                <pic:pic>
                  <pic:nvPicPr>
                    <pic:cNvPr descr="image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6: Улучшенный график</w:t>
      </w:r>
    </w:p>
    <w:bookmarkEnd w:id="51"/>
    <w:bookmarkStart w:id="56" w:name="два-графика-на-одном-чертеже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Два графика на одном чертеже</w:t>
      </w:r>
    </w:p>
    <w:p>
      <w:pPr>
        <w:numPr>
          <w:ilvl w:val="0"/>
          <w:numId w:val="1007"/>
        </w:numPr>
        <w:pStyle w:val="Compact"/>
      </w:pPr>
      <w:r>
        <w:t xml:space="preserve">Нарисуем два графика на одном чертеже (рис. 7)</w:t>
      </w:r>
    </w:p>
    <w:p>
      <w:pPr>
        <w:pStyle w:val="CaptionedFigure"/>
      </w:pPr>
      <w:bookmarkStart w:id="55" w:name="fig:007"/>
      <w:r>
        <w:drawing>
          <wp:inline>
            <wp:extent cx="5334000" cy="2806767"/>
            <wp:effectExtent b="0" l="0" r="0" t="0"/>
            <wp:docPr descr="Рис. 7: Два графика на одном чертеже" title="" id="53" name="Picture"/>
            <a:graphic>
              <a:graphicData uri="http://schemas.openxmlformats.org/drawingml/2006/picture">
                <pic:pic>
                  <pic:nvPicPr>
                    <pic:cNvPr descr="image/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7: Два графика на одном чертеже</w:t>
      </w:r>
    </w:p>
    <w:bookmarkEnd w:id="56"/>
    <w:bookmarkStart w:id="61" w:name="график-𝑦-𝑥2-sinx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График</w:t>
      </w:r>
      <w:r>
        <w:t xml:space="preserve"> </w:t>
      </w:r>
      <m:oMath>
        <m:r>
          <m:t>𝑦</m:t>
        </m:r>
        <m:r>
          <m:rPr>
            <m:sty m:val="p"/>
          </m:rPr>
          <m:t>=</m:t>
        </m:r>
        <m:sSup>
          <m:e>
            <m:r>
              <m:t>𝑥</m:t>
            </m:r>
          </m:e>
          <m:sup>
            <m:r>
              <m:t>2</m:t>
            </m:r>
          </m:sup>
        </m:sSup>
        <m:r>
          <m:t>s</m:t>
        </m:r>
        <m:r>
          <m:t>i</m:t>
        </m:r>
        <m:r>
          <m:t>n</m:t>
        </m:r>
        <m:r>
          <m:t>x</m:t>
        </m:r>
      </m:oMath>
    </w:p>
    <w:p>
      <w:pPr>
        <w:numPr>
          <w:ilvl w:val="0"/>
          <w:numId w:val="1008"/>
        </w:numPr>
        <w:pStyle w:val="Compact"/>
      </w:pPr>
      <w:r>
        <w:t xml:space="preserve">Построим график</w:t>
      </w:r>
      <w:r>
        <w:t xml:space="preserve"> </w:t>
      </w:r>
      <m:oMath>
        <m:r>
          <m:t>𝑦</m:t>
        </m:r>
        <m:r>
          <m:rPr>
            <m:sty m:val="p"/>
          </m:rPr>
          <m:t>=</m:t>
        </m:r>
        <m:sSup>
          <m:e>
            <m:r>
              <m:t>𝑥</m:t>
            </m:r>
          </m:e>
          <m:sup>
            <m:r>
              <m:t>2</m:t>
            </m:r>
          </m:sup>
        </m:sSup>
        <m:r>
          <m:t>s</m:t>
        </m:r>
        <m:r>
          <m:t>i</m:t>
        </m:r>
        <m:r>
          <m:t>n</m:t>
        </m:r>
        <m:r>
          <m:t>x</m:t>
        </m:r>
      </m:oMath>
      <w:r>
        <w:t xml:space="preserve"> </w:t>
      </w:r>
      <w:r>
        <w:t xml:space="preserve">(рис. 8)</w:t>
      </w:r>
    </w:p>
    <w:p>
      <w:pPr>
        <w:pStyle w:val="CaptionedFigure"/>
      </w:pPr>
      <w:bookmarkStart w:id="60" w:name="fig:008"/>
      <w:r>
        <w:drawing>
          <wp:inline>
            <wp:extent cx="5334000" cy="2096386"/>
            <wp:effectExtent b="0" l="0" r="0" t="0"/>
            <wp:docPr descr="Рис. 8: График" title="" id="58" name="Picture"/>
            <a:graphic>
              <a:graphicData uri="http://schemas.openxmlformats.org/drawingml/2006/picture">
                <pic:pic>
                  <pic:nvPicPr>
                    <pic:cNvPr descr="image/8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6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8: График</w:t>
      </w:r>
    </w:p>
    <w:bookmarkEnd w:id="61"/>
    <w:bookmarkStart w:id="74" w:name="сравнение-циклов-и-операций-с-векторами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Сравнение циклов и операций с векторами</w:t>
      </w:r>
    </w:p>
    <w:p>
      <w:pPr>
        <w:numPr>
          <w:ilvl w:val="0"/>
          <w:numId w:val="1009"/>
        </w:numPr>
        <w:pStyle w:val="Compact"/>
      </w:pPr>
      <w:r>
        <w:t xml:space="preserve">Вычислим сумму с помощью цикла. Создадим файл loop_for.m (рис. 9)</w:t>
      </w:r>
    </w:p>
    <w:p>
      <w:pPr>
        <w:pStyle w:val="CaptionedFigure"/>
      </w:pPr>
      <w:bookmarkStart w:id="65" w:name="fig:009"/>
      <w:r>
        <w:drawing>
          <wp:inline>
            <wp:extent cx="2476500" cy="1841500"/>
            <wp:effectExtent b="0" l="0" r="0" t="0"/>
            <wp:docPr descr="Рис. 9: loop_for" title="" id="63" name="Picture"/>
            <a:graphic>
              <a:graphicData uri="http://schemas.openxmlformats.org/drawingml/2006/picture">
                <pic:pic>
                  <pic:nvPicPr>
                    <pic:cNvPr descr="image/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9: loop_for</w:t>
      </w:r>
    </w:p>
    <w:p>
      <w:pPr>
        <w:numPr>
          <w:ilvl w:val="0"/>
          <w:numId w:val="1010"/>
        </w:numPr>
        <w:pStyle w:val="Compact"/>
      </w:pPr>
      <w:r>
        <w:t xml:space="preserve">Вычислим сумму с помощью операций с векторами. Создадим файл loop_vec.m (рис. 10)</w:t>
      </w:r>
    </w:p>
    <w:p>
      <w:pPr>
        <w:pStyle w:val="CaptionedFigure"/>
      </w:pPr>
      <w:bookmarkStart w:id="69" w:name="fig:010"/>
      <w:r>
        <w:drawing>
          <wp:inline>
            <wp:extent cx="2628900" cy="1460500"/>
            <wp:effectExtent b="0" l="0" r="0" t="0"/>
            <wp:docPr descr="Рис. 10: loop_vec" title="" id="67" name="Picture"/>
            <a:graphic>
              <a:graphicData uri="http://schemas.openxmlformats.org/drawingml/2006/picture">
                <pic:pic>
                  <pic:nvPicPr>
                    <pic:cNvPr descr="image/10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10: loop_vec</w:t>
      </w:r>
    </w:p>
    <w:p>
      <w:pPr>
        <w:numPr>
          <w:ilvl w:val="0"/>
          <w:numId w:val="1011"/>
        </w:numPr>
        <w:pStyle w:val="Compact"/>
      </w:pPr>
      <w:r>
        <w:t xml:space="preserve">Запустим оба файла и сравним их производительность (рис. 11)</w:t>
      </w:r>
    </w:p>
    <w:p>
      <w:pPr>
        <w:pStyle w:val="CaptionedFigure"/>
      </w:pPr>
      <w:bookmarkStart w:id="73" w:name="fig:011"/>
      <w:r>
        <w:drawing>
          <wp:inline>
            <wp:extent cx="3644900" cy="1041400"/>
            <wp:effectExtent b="0" l="0" r="0" t="0"/>
            <wp:docPr descr="Рис. 11: Запуск кода" title="" id="71" name="Picture"/>
            <a:graphic>
              <a:graphicData uri="http://schemas.openxmlformats.org/drawingml/2006/picture">
                <pic:pic>
                  <pic:nvPicPr>
                    <pic:cNvPr descr="image/1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11: Запуск кода</w:t>
      </w:r>
    </w:p>
    <w:bookmarkEnd w:id="74"/>
    <w:bookmarkEnd w:id="75"/>
    <w:bookmarkStart w:id="76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данной лабораторной работы я изучил основы программной среды Octave.</w:t>
      </w:r>
    </w:p>
    <w:bookmarkEnd w:id="76"/>
    <w:bookmarkStart w:id="78" w:name="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Библиография</w:t>
      </w:r>
    </w:p>
    <w:p>
      <w:pPr>
        <w:numPr>
          <w:ilvl w:val="0"/>
          <w:numId w:val="1012"/>
        </w:numPr>
        <w:pStyle w:val="Compact"/>
      </w:pPr>
      <w:r>
        <w:t xml:space="preserve">Лабораторная работа №3. Введение в работу с Octave. - 9 с. [Электронный ресурс]. М. URL:</w:t>
      </w:r>
      <w:r>
        <w:t xml:space="preserve"> </w:t>
      </w:r>
      <w:hyperlink r:id="rId77">
        <w:r>
          <w:rPr>
            <w:rStyle w:val="Hyperlink"/>
          </w:rPr>
          <w:t xml:space="preserve">Лабораторная работа №3. Введение в работу с Octave.</w:t>
        </w:r>
      </w:hyperlink>
      <w:r>
        <w:t xml:space="preserve"> </w:t>
      </w:r>
      <w:r>
        <w:t xml:space="preserve">(Дата обращения: 20.09.2023).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hyperlink" Id="rId77" Target="https://esystem.rudn.ru/pluginfile.php/2089335/mod_resource/content/3/003-octave-intro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https://esystem.rudn.ru/pluginfile.php/2089335/mod_resource/content/3/003-octave-intro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№3. Введение в работу с Octave.</dc:title>
  <dc:creator>Александр Сергеевич Баклашов</dc:creator>
  <dc:language>ru-RU</dc:language>
  <cp:keywords/>
  <dcterms:created xsi:type="dcterms:W3CDTF">2023-10-07T15:19:10Z</dcterms:created>
  <dcterms:modified xsi:type="dcterms:W3CDTF">2023-10-07T15:19:10Z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Предмет: научное программирование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