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t xml:space="preserve"> </w:t>
      </w:r>
      <w:r>
        <w:t xml:space="preserve">Графики.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графики в Octave.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 [1]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араметрические-графи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Параметрические графики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—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—</m:t>
              </m:r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Построим график трёх периодов циклоиды радиуса 2. Решение.</w:t>
      </w:r>
      <w:r>
        <w:t xml:space="preserve"> </w:t>
      </w:r>
      <w:r>
        <w:t xml:space="preserve">Поскольку период</w:t>
      </w:r>
      <w:r>
        <w:t xml:space="preserve"> </w:t>
      </w:r>
      <m:oMath>
        <m:r>
          <m:t>2</m:t>
        </m:r>
        <m:r>
          <m:t>π</m:t>
        </m:r>
      </m:oMath>
      <w:r>
        <w:t xml:space="preserve">, нам нужно, чтобы параметр был в пределах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&lt;</m:t>
        </m:r>
        <m:r>
          <m:t>6</m:t>
        </m:r>
        <m:r>
          <m:t>π</m:t>
        </m:r>
      </m:oMath>
      <w:r>
        <w:t xml:space="preserve"> </w:t>
      </w:r>
      <w:r>
        <w:t xml:space="preserve">для трёх полных циклов. Определим параметр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как</w:t>
      </w:r>
      <w:r>
        <w:t xml:space="preserve"> </w:t>
      </w:r>
      <w:r>
        <w:t xml:space="preserve">вектор в этом диапазоне, затем мы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(рис. 1)</w:t>
      </w:r>
    </w:p>
    <w:p>
      <w:pPr>
        <w:pStyle w:val="CaptionedFigure"/>
      </w:pPr>
      <w:r>
        <w:drawing>
          <wp:inline>
            <wp:extent cx="4267200" cy="2233076"/>
            <wp:effectExtent b="0" l="0" r="0" t="0"/>
            <wp:docPr descr="График циклои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3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циклоиды</w:t>
      </w:r>
    </w:p>
    <w:bookmarkEnd w:id="25"/>
    <w:bookmarkStart w:id="32" w:name="полярные-координа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Полярные координаты</w:t>
      </w:r>
    </w:p>
    <w:p>
      <w:pPr>
        <w:pStyle w:val="FirstParagraph"/>
      </w:pPr>
      <w:r>
        <w:t xml:space="preserve">Графики в полярных координатах строятся аналогичным образом. Для</w:t>
      </w:r>
      <w:r>
        <w:t xml:space="preserve"> </w:t>
      </w:r>
      <w:r>
        <w:t xml:space="preserve">функции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ν</m:t>
            </m:r>
          </m:e>
        </m:d>
      </m:oMath>
      <w:r>
        <w:t xml:space="preserve"> </w:t>
      </w:r>
      <w:r>
        <w:t xml:space="preserve">мы начинаем с определения независимой переменной</w:t>
      </w:r>
      <w:r>
        <w:t xml:space="preserve"> </w:t>
      </w:r>
      <m:oMath>
        <m:r>
          <m:t>ν</m:t>
        </m:r>
      </m:oMath>
      <w:r>
        <w:t xml:space="preserve">, затем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мы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используем</w:t>
      </w:r>
      <w:r>
        <w:t xml:space="preserve"> </w:t>
      </w:r>
      <w:r>
        <w:t xml:space="preserve">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ν</m:t>
              </m:r>
            </m:e>
          </m:d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ν</m:t>
              </m:r>
            </m:e>
          </m:d>
        </m:oMath>
      </m:oMathPara>
    </w:p>
    <w:p>
      <w:pPr>
        <w:pStyle w:val="FirstParagraph"/>
      </w:pPr>
      <w:r>
        <w:t xml:space="preserve">затем построим график в осях</w:t>
      </w:r>
      <w:r>
        <w:t xml:space="preserve"> </w:t>
      </w:r>
      <m:oMath>
        <m:r>
          <m:t>x</m:t>
        </m:r>
      </m:oMath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Построим улитку Паскаля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ν</m:t>
            </m:r>
          </m:e>
        </m:d>
      </m:oMath>
      <w:r>
        <w:t xml:space="preserve">.(рис. 2)</w:t>
      </w:r>
    </w:p>
    <w:p>
      <w:pPr>
        <w:pStyle w:val="CaptionedFigure"/>
      </w:pPr>
      <w:r>
        <w:drawing>
          <wp:inline>
            <wp:extent cx="4800600" cy="2596784"/>
            <wp:effectExtent b="0" l="0" r="0" t="0"/>
            <wp:docPr descr="Улитка Паска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9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Улитка Паскаля</w:t>
      </w:r>
    </w:p>
    <w:p>
      <w:pPr>
        <w:pStyle w:val="BodyText"/>
      </w:pPr>
      <w:r>
        <w:t xml:space="preserve">Также можно построить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ν</m:t>
              </m:r>
            </m:e>
          </m:d>
        </m:oMath>
      </m:oMathPara>
    </w:p>
    <w:p>
      <w:pPr>
        <w:pStyle w:val="FirstParagraph"/>
      </w:pPr>
      <w:r>
        <w:t xml:space="preserve">в полярных осях, используя команду polar. (рис. 3)</w:t>
      </w:r>
    </w:p>
    <w:p>
      <w:pPr>
        <w:pStyle w:val="CaptionedFigure"/>
      </w:pPr>
      <w:r>
        <w:drawing>
          <wp:inline>
            <wp:extent cx="4800600" cy="2677052"/>
            <wp:effectExtent b="0" l="0" r="0" t="0"/>
            <wp:docPr descr="Улитка Паскаля в полярных ося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Улитка Паскаля в полярных осях</w:t>
      </w:r>
    </w:p>
    <w:bookmarkEnd w:id="32"/>
    <w:bookmarkStart w:id="39" w:name="графики-неявных-функц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Графики неявных функций</w:t>
      </w:r>
    </w:p>
    <w:p>
      <w:pPr>
        <w:pStyle w:val="FirstParagraph"/>
      </w:pPr>
      <w:r>
        <w:t xml:space="preserve">Построим кривую, определяемую уравнением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1857685"/>
            <wp:effectExtent b="0" l="0" r="0" t="0"/>
            <wp:docPr descr="Крива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Кривая</w:t>
      </w:r>
    </w:p>
    <w:p>
      <w:pPr>
        <w:pStyle w:val="BodyText"/>
      </w:pPr>
      <w:r>
        <w:t xml:space="preserve">Найдём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. Построим график окружности и касательной. (рис. 5)</w:t>
      </w:r>
    </w:p>
    <w:p>
      <w:pPr>
        <w:pStyle w:val="CaptionedFigure"/>
      </w:pPr>
      <w:r>
        <w:drawing>
          <wp:inline>
            <wp:extent cx="4800600" cy="2508133"/>
            <wp:effectExtent b="0" l="0" r="0" t="0"/>
            <wp:docPr descr="Окружность с касательной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Окружность с касательной</w:t>
      </w:r>
    </w:p>
    <w:bookmarkEnd w:id="39"/>
    <w:bookmarkStart w:id="43" w:name="комплексные-числ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Комплексные числа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—</m:t>
        </m:r>
        <m:r>
          <m:t>3</m:t>
        </m:r>
        <m:r>
          <m:t>i</m:t>
        </m:r>
      </m:oMath>
      <w:r>
        <w:t xml:space="preserve">. Запишем основные арифметические</w:t>
      </w:r>
      <w:r>
        <w:t xml:space="preserve"> </w:t>
      </w:r>
      <w:r>
        <w:t xml:space="preserve">операции с этими числами. Мы можем построить график в комплексной плоскости, используя</w:t>
      </w:r>
      <w:r>
        <w:t xml:space="preserve"> </w:t>
      </w:r>
      <w:r>
        <w:t xml:space="preserve">команду compass.</w:t>
      </w:r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—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комплексной плоскости.</w:t>
      </w:r>
    </w:p>
    <w:p>
      <w:pPr>
        <w:pStyle w:val="BodyText"/>
      </w:pPr>
      <w:r>
        <w:t xml:space="preserve">Иногда Octave может неожиданно выдать странные результаты для</w:t>
      </w:r>
      <w:r>
        <w:t xml:space="preserve"> </w:t>
      </w:r>
      <w:r>
        <w:t xml:space="preserve">комплексных чисел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8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Ожидался ответ -2, мы также можем легко проверить, что куб данного</w:t>
      </w:r>
      <w:r>
        <w:t xml:space="preserve"> </w:t>
      </w:r>
      <w:r>
        <w:t xml:space="preserve">ответа действительно равен -8 (по крайней мере, до некоторой</w:t>
      </w:r>
      <w:r>
        <w:t xml:space="preserve"> </w:t>
      </w:r>
      <w:r>
        <w:t xml:space="preserve">незначительной ошибки округления)</w:t>
      </w:r>
    </w:p>
    <w:p>
      <w:pPr>
        <w:pStyle w:val="BodyText"/>
      </w:pPr>
      <w:r>
        <w:t xml:space="preserve">На самом деле существует три кубических корня из —8, и по умолчанию</w:t>
      </w:r>
      <w:r>
        <w:t xml:space="preserve"> </w:t>
      </w:r>
      <w:r>
        <w:t xml:space="preserve">Octave возвращает тот, у которого наименьший аргумент (угол).</w:t>
      </w:r>
      <w:r>
        <w:t xml:space="preserve"> </w:t>
      </w:r>
      <w:r>
        <w:t xml:space="preserve">Если нам просто нужен действительный корень, мы можем использовать</w:t>
      </w:r>
      <w:r>
        <w:t xml:space="preserve"> </w:t>
      </w:r>
      <w:r>
        <w:t xml:space="preserve">команду nthroot. (рис. 6)</w:t>
      </w:r>
    </w:p>
    <w:p>
      <w:pPr>
        <w:pStyle w:val="CaptionedFigure"/>
      </w:pPr>
      <w:r>
        <w:drawing>
          <wp:inline>
            <wp:extent cx="4800600" cy="2994660"/>
            <wp:effectExtent b="0" l="0" r="0" t="0"/>
            <wp:docPr descr="Комплексные числ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Комплексные числа</w:t>
      </w:r>
    </w:p>
    <w:bookmarkEnd w:id="43"/>
    <w:bookmarkStart w:id="50" w:name="специальные-функци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Специальные функции</w:t>
      </w:r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графике. (рис. 7)</w:t>
      </w:r>
    </w:p>
    <w:p>
      <w:pPr>
        <w:pStyle w:val="CaptionedFigure"/>
      </w:pPr>
      <w:r>
        <w:drawing>
          <wp:inline>
            <wp:extent cx="4800600" cy="4058401"/>
            <wp:effectExtent b="0" l="0" r="0" t="0"/>
            <wp:docPr descr="Функции" title="" id="45" name="Picture"/>
            <a:graphic>
              <a:graphicData uri="http://schemas.openxmlformats.org/drawingml/2006/picture">
                <pic:pic>
                  <pic:nvPicPr>
                    <pic:cNvPr descr="image/7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5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Функции</w:t>
      </w:r>
    </w:p>
    <w:p>
      <w:pPr>
        <w:pStyle w:val="BodyText"/>
      </w:pPr>
      <w:r>
        <w:t xml:space="preserve">Обратите внимание на вертикальные асимптоты на графике в районе</w:t>
      </w:r>
      <w:r>
        <w:t xml:space="preserve"> </w:t>
      </w:r>
      <w:r>
        <w:t xml:space="preserve">отрицательных целых чисел. Они не являются истинной частью</w:t>
      </w:r>
      <w:r>
        <w:t xml:space="preserve"> </w:t>
      </w:r>
      <w:r>
        <w:t xml:space="preserve">графика. Это артефакты вычисления. Если мы хотим их устранить,</w:t>
      </w:r>
      <w:r>
        <w:t xml:space="preserve"> </w:t>
      </w:r>
      <w:r>
        <w:t xml:space="preserve">мы должны разделить область значений на отдельные интервалы. Это</w:t>
      </w:r>
      <w:r>
        <w:t xml:space="preserve"> </w:t>
      </w:r>
      <w:r>
        <w:t xml:space="preserve">даёт более точный график. (рис. 8)</w:t>
      </w:r>
    </w:p>
    <w:p>
      <w:pPr>
        <w:pStyle w:val="CaptionedFigure"/>
      </w:pPr>
      <w:r>
        <w:drawing>
          <wp:inline>
            <wp:extent cx="4800600" cy="2849388"/>
            <wp:effectExtent b="0" l="0" r="0" t="0"/>
            <wp:docPr descr="Функции_испр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Функции_испр</w:t>
      </w:r>
    </w:p>
    <w:bookmarkEnd w:id="50"/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 графики в Octave.</w:t>
      </w:r>
    </w:p>
    <w:bookmarkEnd w:id="52"/>
    <w:bookmarkStart w:id="54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1"/>
        </w:numPr>
        <w:pStyle w:val="Compact"/>
      </w:pPr>
      <w:r>
        <w:t xml:space="preserve">Лабораторная работа №7. - 8 с. [Электронный ресурс]. М. URL:</w:t>
      </w:r>
      <w:r>
        <w:t xml:space="preserve"> </w:t>
      </w:r>
      <w:hyperlink r:id="rId53">
        <w:r>
          <w:rPr>
            <w:rStyle w:val="Hyperlink"/>
          </w:rPr>
          <w:t xml:space="preserve">Лабораторная работа №7.</w:t>
        </w:r>
      </w:hyperlink>
      <w:r>
        <w:t xml:space="preserve"> </w:t>
      </w:r>
      <w:r>
        <w:t xml:space="preserve">(Дата обращения: 03.12.2023).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hyperlink" Id="rId53" Target="https://esystem.rudn.ru/pluginfile.php/2089343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2089343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Графики.</dc:title>
  <dc:creator>Александр Сергеевич Баклашов</dc:creator>
  <dc:language>ru-RU</dc:language>
  <cp:keywords/>
  <dcterms:created xsi:type="dcterms:W3CDTF">2023-12-05T19:16:01Z</dcterms:created>
  <dcterms:modified xsi:type="dcterms:W3CDTF">2023-12-05T19:16:01Z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Предмет: научное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