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2F" w:rsidRDefault="006C62E5">
      <w:pPr>
        <w:pStyle w:val="a4"/>
      </w:pPr>
      <w:r>
        <w:t>Отчёт по лабораторной работе №8. Модель конкуренции двух фирм.</w:t>
      </w:r>
    </w:p>
    <w:p w:rsidR="0046182F" w:rsidRDefault="006C62E5">
      <w:pPr>
        <w:pStyle w:val="a5"/>
      </w:pPr>
      <w:r>
        <w:t>Предмет: математическое моделирование</w:t>
      </w:r>
    </w:p>
    <w:p w:rsidR="0046182F" w:rsidRDefault="006C62E5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60081038"/>
        <w:docPartObj>
          <w:docPartGallery w:val="Table of Contents"/>
          <w:docPartUnique/>
        </w:docPartObj>
      </w:sdtPr>
      <w:sdtEndPr/>
      <w:sdtContent>
        <w:p w:rsidR="0046182F" w:rsidRDefault="006C62E5">
          <w:pPr>
            <w:pStyle w:val="ae"/>
          </w:pPr>
          <w:r>
            <w:t>Содержание</w:t>
          </w:r>
        </w:p>
        <w:p w:rsidR="00237C5D" w:rsidRDefault="006C62E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37C5D">
            <w:fldChar w:fldCharType="separate"/>
          </w:r>
          <w:hyperlink w:anchor="_Toc99805739" w:history="1">
            <w:r w:rsidR="00237C5D" w:rsidRPr="008E03A5">
              <w:rPr>
                <w:rStyle w:val="ad"/>
                <w:noProof/>
              </w:rPr>
              <w:t>1</w:t>
            </w:r>
            <w:r w:rsidR="00237C5D">
              <w:rPr>
                <w:noProof/>
              </w:rPr>
              <w:tab/>
            </w:r>
            <w:r w:rsidR="00237C5D" w:rsidRPr="008E03A5">
              <w:rPr>
                <w:rStyle w:val="ad"/>
                <w:noProof/>
              </w:rPr>
              <w:t>Цель работы</w:t>
            </w:r>
            <w:r w:rsidR="00237C5D">
              <w:rPr>
                <w:noProof/>
                <w:webHidden/>
              </w:rPr>
              <w:tab/>
            </w:r>
            <w:r w:rsidR="00237C5D">
              <w:rPr>
                <w:noProof/>
                <w:webHidden/>
              </w:rPr>
              <w:fldChar w:fldCharType="begin"/>
            </w:r>
            <w:r w:rsidR="00237C5D">
              <w:rPr>
                <w:noProof/>
                <w:webHidden/>
              </w:rPr>
              <w:instrText xml:space="preserve"> PAGEREF _Toc99805739 \h </w:instrText>
            </w:r>
            <w:r w:rsidR="00237C5D">
              <w:rPr>
                <w:noProof/>
                <w:webHidden/>
              </w:rPr>
            </w:r>
            <w:r w:rsidR="00237C5D">
              <w:rPr>
                <w:noProof/>
                <w:webHidden/>
              </w:rPr>
              <w:fldChar w:fldCharType="separate"/>
            </w:r>
            <w:r w:rsidR="00237C5D">
              <w:rPr>
                <w:noProof/>
                <w:webHidden/>
              </w:rPr>
              <w:t>1</w:t>
            </w:r>
            <w:r w:rsidR="00237C5D"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05740" w:history="1">
            <w:r w:rsidRPr="008E03A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05741" w:history="1">
            <w:r w:rsidRPr="008E03A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805742" w:history="1">
            <w:r w:rsidRPr="008E03A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805743" w:history="1">
            <w:r w:rsidRPr="008E03A5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Задача (Вариант 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805744" w:history="1">
            <w:r w:rsidRPr="008E03A5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9805745" w:history="1">
            <w:r w:rsidRPr="008E03A5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9805746" w:history="1">
            <w:r w:rsidRPr="008E03A5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Параметры симуляции для 1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9805747" w:history="1">
            <w:r w:rsidRPr="008E03A5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График для 1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9805748" w:history="1">
            <w:r w:rsidRPr="008E03A5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Параметры симуляции для 2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9805749" w:history="1">
            <w:r w:rsidRPr="008E03A5">
              <w:rPr>
                <w:rStyle w:val="ad"/>
                <w:noProof/>
              </w:rPr>
              <w:t>4.2.5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График для 2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9805750" w:history="1">
            <w:r w:rsidRPr="008E03A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C5D" w:rsidRDefault="00237C5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9805751" w:history="1">
            <w:r w:rsidRPr="008E03A5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E03A5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82F" w:rsidRDefault="006C62E5">
          <w:r>
            <w:fldChar w:fldCharType="end"/>
          </w:r>
        </w:p>
      </w:sdtContent>
    </w:sdt>
    <w:p w:rsidR="0046182F" w:rsidRDefault="006C62E5">
      <w:pPr>
        <w:pStyle w:val="1"/>
      </w:pPr>
      <w:bookmarkStart w:id="0" w:name="цель-работы"/>
      <w:bookmarkStart w:id="1" w:name="_Toc99805739"/>
      <w:r>
        <w:rPr>
          <w:rStyle w:val="SectionNumber"/>
        </w:rPr>
        <w:t>1</w:t>
      </w:r>
      <w:r>
        <w:tab/>
        <w:t>Цель работы</w:t>
      </w:r>
      <w:bookmarkEnd w:id="1"/>
    </w:p>
    <w:p w:rsidR="0046182F" w:rsidRDefault="006C62E5">
      <w:pPr>
        <w:pStyle w:val="FirstParagraph"/>
      </w:pPr>
      <w:r>
        <w:t>Рассмотреть математическую модель конкуренции двух фирм. С помощью рассмотренной модели и теоретических данных научиться строить модели такого типа.</w:t>
      </w:r>
    </w:p>
    <w:p w:rsidR="0046182F" w:rsidRDefault="006C62E5">
      <w:pPr>
        <w:pStyle w:val="1"/>
      </w:pPr>
      <w:bookmarkStart w:id="2" w:name="задание"/>
      <w:bookmarkStart w:id="3" w:name="_Toc9980574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46182F" w:rsidRDefault="006C62E5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</w:t>
      </w:r>
      <w:r>
        <w:t>дной рыночной нише. В 1 случае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производства. Во 2 случае рассмотрим модель, когда, по</w:t>
      </w:r>
      <w:r>
        <w:t xml:space="preserve">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</w:t>
      </w:r>
      <w:r>
        <w:lastRenderedPageBreak/>
        <w:t>общественного предпочтения одного товара другому, не зависимо от их ка</w:t>
      </w:r>
      <w:r>
        <w:t>чества и цены.</w:t>
      </w:r>
    </w:p>
    <w:p w:rsidR="0046182F" w:rsidRDefault="006C62E5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:rsidR="0046182F" w:rsidRDefault="006C62E5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</w:t>
      </w:r>
      <w:r>
        <w:t>ормировкой для случая 2. [</w:t>
      </w:r>
      <w:r w:rsidR="00237C5D">
        <w:fldChar w:fldCharType="begin"/>
      </w:r>
      <w:r w:rsidR="00237C5D">
        <w:instrText xml:space="preserve"> REF _Ref99805774 \r \h </w:instrText>
      </w:r>
      <w:r w:rsidR="00237C5D">
        <w:fldChar w:fldCharType="separate"/>
      </w:r>
      <w:r w:rsidR="00237C5D">
        <w:t>3</w:t>
      </w:r>
      <w:r w:rsidR="00237C5D">
        <w:fldChar w:fldCharType="end"/>
      </w:r>
      <w:r>
        <w:t>]</w:t>
      </w:r>
    </w:p>
    <w:p w:rsidR="0046182F" w:rsidRDefault="006C62E5">
      <w:pPr>
        <w:pStyle w:val="1"/>
      </w:pPr>
      <w:bookmarkStart w:id="4" w:name="теоретическое-введение"/>
      <w:bookmarkStart w:id="5" w:name="_Toc9980574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46182F" w:rsidRDefault="006C62E5">
      <w:pPr>
        <w:pStyle w:val="FirstParagraph"/>
      </w:pPr>
      <w:r>
        <w:t>Случай 1 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</w:t>
      </w:r>
      <w:r>
        <w:t xml:space="preserve">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</w:t>
      </w:r>
      <w:r>
        <w:t xml:space="preserve">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</w:t>
      </w:r>
      <w:r>
        <w:t>иным способом.) Уравнения динамики оборотных средств запишем в виде: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6182F" w:rsidRDefault="006C62E5">
      <w:pPr>
        <w:pStyle w:val="a0"/>
      </w:pPr>
      <w:r>
        <w:t xml:space="preserve">где использованы те же обозначения, а индексы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>
        <w:t xml:space="preserve"> относятся к первой и второй фирме, соответственно. Вели</w:t>
      </w:r>
      <w:r>
        <w:t xml:space="preserve">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числа потребителей, приобретших товар первой и второй фирмы.</w:t>
      </w:r>
    </w:p>
    <w:p w:rsidR="0046182F" w:rsidRDefault="006C62E5">
      <w:pPr>
        <w:pStyle w:val="a0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:rsidR="0046182F" w:rsidRDefault="006C62E5">
      <w:pPr>
        <w:pStyle w:val="a0"/>
      </w:pPr>
      <w:r>
        <w:t>Тогда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</m:oMath>
    </w:p>
    <w:p w:rsidR="0046182F" w:rsidRDefault="006C62E5">
      <w:pPr>
        <w:pStyle w:val="a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себестоимости товаров в первой и второй фирме</w:t>
      </w:r>
    </w:p>
    <w:p w:rsidR="0046182F" w:rsidRDefault="006C62E5">
      <w:pPr>
        <w:pStyle w:val="a0"/>
      </w:pPr>
      <w:r>
        <w:t>С учетом уравнения динамики оборотных средств представим предыдущую систему в виде (12):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6182F" w:rsidRDefault="006C62E5">
      <w:pPr>
        <w:pStyle w:val="a0"/>
      </w:pPr>
      <w:r>
        <w:lastRenderedPageBreak/>
        <w:t>Уравнение для цены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</m:den>
                </m:f>
              </m:e>
            </m:d>
          </m:e>
        </m:d>
      </m:oMath>
    </w:p>
    <w:p w:rsidR="0046182F" w:rsidRDefault="006C62E5">
      <w:pPr>
        <w:pStyle w:val="a0"/>
      </w:pPr>
      <w:r>
        <w:t>Считая, как и выше, что ценовое равновесие устанавливается быстро, получим: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p</m:t>
        </m:r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Nq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d>
      </m:oMath>
    </w:p>
    <w:p w:rsidR="0046182F" w:rsidRDefault="006C62E5">
      <w:pPr>
        <w:pStyle w:val="a0"/>
      </w:pPr>
      <w:r>
        <w:t>Подставив предыдущую систему в (12) имеем: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6182F" w:rsidRDefault="006C62E5">
      <w:pPr>
        <w:pStyle w:val="a0"/>
      </w:pPr>
      <w:r>
        <w:t>где</w:t>
      </w:r>
    </w:p>
    <w:p w:rsidR="0046182F" w:rsidRDefault="006C62E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r>
          <w:rPr>
            <w:rFonts w:ascii="Cambria Math" w:hAnsi="Cambria Math"/>
          </w:rPr>
          <m:t>b</m:t>
        </m:r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den>
        </m:f>
      </m:oMath>
    </w:p>
    <w:p w:rsidR="0046182F" w:rsidRDefault="006C62E5">
      <w:pPr>
        <w:pStyle w:val="a0"/>
      </w:pPr>
      <w:r>
        <w:t>Исследуем систему предыдущую систему в случае, когда постоянные издержки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</w:t>
      </w:r>
      <w:r>
        <w:t xml:space="preserve">пренебрежимо малы. И введем нормировку </w:t>
      </w:r>
      <m:oMath>
        <m:r>
          <w:rPr>
            <w:rFonts w:ascii="Cambria Math" w:hAnsi="Cambria Math"/>
          </w:rPr>
          <m:t>t</m:t>
        </m:r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 Получим следующую систему: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[</w:t>
      </w:r>
      <w:r w:rsidR="00237C5D">
        <w:fldChar w:fldCharType="begin"/>
      </w:r>
      <w:r w:rsidR="00237C5D">
        <w:instrText xml:space="preserve"> REF _Ref99805782 \r \h </w:instrText>
      </w:r>
      <w:r w:rsidR="00237C5D">
        <w:fldChar w:fldCharType="separate"/>
      </w:r>
      <w:r w:rsidR="00237C5D">
        <w:t>2</w:t>
      </w:r>
      <w:r w:rsidR="00237C5D">
        <w:fldChar w:fldCharType="end"/>
      </w:r>
      <w:r>
        <w:t>]</w:t>
      </w:r>
    </w:p>
    <w:p w:rsidR="0046182F" w:rsidRDefault="006C62E5">
      <w:pPr>
        <w:pStyle w:val="1"/>
      </w:pPr>
      <w:bookmarkStart w:id="6" w:name="выполнение-лабораторной-работы"/>
      <w:bookmarkStart w:id="7" w:name="_Toc9980574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46182F" w:rsidRDefault="006C62E5">
      <w:pPr>
        <w:pStyle w:val="2"/>
      </w:pPr>
      <w:bookmarkStart w:id="8" w:name="задача-вариант-38"/>
      <w:bookmarkStart w:id="9" w:name="_Toc99805743"/>
      <w:r>
        <w:rPr>
          <w:rStyle w:val="SectionNumber"/>
        </w:rPr>
        <w:t>4.1</w:t>
      </w:r>
      <w:r>
        <w:tab/>
        <w:t>Задача (Вариант 38)</w:t>
      </w:r>
      <w:bookmarkEnd w:id="9"/>
    </w:p>
    <w:p w:rsidR="0046182F" w:rsidRDefault="006C62E5">
      <w:pPr>
        <w:pStyle w:val="FirstParagraph"/>
      </w:pPr>
      <w:r>
        <w:t>Случай 1. Рассмотрим две фирмы, произво</w:t>
      </w:r>
      <w:r>
        <w:t>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</w:t>
      </w:r>
      <w:r>
        <w:t xml:space="preserve">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</w:t>
      </w:r>
      <w:r>
        <w:t>В этом случае динамика изменения объемов продаж фирмы 1 и фирмы 2 описывается следующей системой уравнений: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6182F" w:rsidRDefault="006C62E5">
      <w:pPr>
        <w:pStyle w:val="a0"/>
      </w:pPr>
      <w:r>
        <w:t>где</w:t>
      </w:r>
    </w:p>
    <w:p w:rsidR="0046182F" w:rsidRDefault="006C62E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r>
          <w:rPr>
            <w:rFonts w:ascii="Cambria Math" w:hAnsi="Cambria Math"/>
          </w:rPr>
          <m:t>b</m:t>
        </m:r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den>
        </m:f>
      </m:oMath>
      <w: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den>
        </m:f>
      </m:oMath>
    </w:p>
    <w:p w:rsidR="0046182F" w:rsidRDefault="006C62E5">
      <w:pPr>
        <w:pStyle w:val="a0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:rsidR="0046182F" w:rsidRDefault="006C62E5">
      <w:pPr>
        <w:pStyle w:val="a0"/>
      </w:pPr>
      <w:r>
        <w:t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</w:t>
      </w:r>
      <w:r>
        <w:t xml:space="preserve">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</w:t>
      </w:r>
      <w:r>
        <w:t>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6182F" w:rsidRDefault="006C62E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0.00083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6182F" w:rsidRDefault="006C62E5">
      <w:pPr>
        <w:pStyle w:val="a0"/>
      </w:pPr>
      <w:r>
        <w:t>Для обоих случаев рассмотрим задачу со следующими начальными условиями и параметрами:</w:t>
      </w:r>
    </w:p>
    <w:p w:rsidR="0046182F" w:rsidRDefault="006C62E5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=</w:t>
      </w:r>
      <m:oMath>
        <m:r>
          <w:rPr>
            <w:rFonts w:ascii="Cambria Math" w:hAnsi="Cambria Math"/>
          </w:rPr>
          <m:t>3.9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=</w:t>
      </w:r>
      <m:oMath>
        <m:r>
          <w:rPr>
            <w:rFonts w:ascii="Cambria Math" w:hAnsi="Cambria Math"/>
          </w:rPr>
          <m:t>2.9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=</w:t>
      </w:r>
      <m:oMath>
        <m:r>
          <w:rPr>
            <w:rFonts w:ascii="Cambria Math" w:hAnsi="Cambria Math"/>
          </w:rPr>
          <m:t>25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>=</w:t>
      </w:r>
      <m:oMath>
        <m:r>
          <w:rPr>
            <w:rFonts w:ascii="Cambria Math" w:hAnsi="Cambria Math"/>
          </w:rPr>
          <m:t>39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</m:oMath>
      <w:r>
        <w:t>=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r>
          <w:rPr>
            <w:rFonts w:ascii="Cambria Math" w:hAnsi="Cambria Math"/>
          </w:rPr>
          <m:t>29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r>
          <w:rPr>
            <w:rFonts w:ascii="Cambria Math" w:hAnsi="Cambria Math"/>
          </w:rPr>
          <m:t>19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r>
          <w:rPr>
            <w:rFonts w:ascii="Cambria Math" w:hAnsi="Cambria Math"/>
          </w:rPr>
          <m:t>6.9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r>
          <w:rPr>
            <w:rFonts w:ascii="Cambria Math" w:hAnsi="Cambria Math"/>
          </w:rPr>
          <m:t>15.9</m:t>
        </m:r>
      </m:oMath>
      <w:r>
        <w:t>.</w:t>
      </w:r>
    </w:p>
    <w:p w:rsidR="0046182F" w:rsidRDefault="006C62E5">
      <w:pPr>
        <w:pStyle w:val="a0"/>
      </w:pPr>
      <w:r>
        <w:t xml:space="preserve">Замечание: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</w:t>
      </w:r>
      <w:r>
        <w:t>лн. единиц.</w:t>
      </w:r>
    </w:p>
    <w:p w:rsidR="0046182F" w:rsidRDefault="006C62E5">
      <w:pPr>
        <w:pStyle w:val="a0"/>
      </w:pPr>
      <w:r>
        <w:t>Обозначения: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:rsidR="0046182F" w:rsidRDefault="006C62E5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продукции.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>– максимальная потребность одного человека в продукте в единицу времени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:rsidR="0046182F" w:rsidRDefault="006C62E5">
      <w:pPr>
        <w:pStyle w:val="a0"/>
      </w:pPr>
      <m:oMath>
        <m:r>
          <w:rPr>
            <w:rFonts w:ascii="Cambria Math" w:hAnsi="Cambria Math"/>
          </w:rPr>
          <m:t>θ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6182F" w:rsidRDefault="006C62E5">
      <w:pPr>
        <w:pStyle w:val="Compact"/>
        <w:numPr>
          <w:ilvl w:val="0"/>
          <w:numId w:val="3"/>
        </w:numPr>
      </w:pPr>
      <w:r>
        <w:t>Постройте графики изменения оборотных средств фирмы 1 и фирмы 2 без учета постоянных издержек и с введенной нормировкой для случая 1.</w:t>
      </w:r>
    </w:p>
    <w:p w:rsidR="0046182F" w:rsidRDefault="006C62E5">
      <w:pPr>
        <w:pStyle w:val="Compact"/>
        <w:numPr>
          <w:ilvl w:val="0"/>
          <w:numId w:val="3"/>
        </w:numPr>
      </w:pPr>
      <w:r>
        <w:t>Постройте графики изменения оборотных средств фирмы 1 и фирмы 2 без учета постоянных издержек и с введенной нормировкой для случая 2. [</w:t>
      </w:r>
      <w:r w:rsidR="00237C5D">
        <w:fldChar w:fldCharType="begin"/>
      </w:r>
      <w:r w:rsidR="00237C5D">
        <w:instrText xml:space="preserve"> REF _Ref99805774 \r \h </w:instrText>
      </w:r>
      <w:r w:rsidR="00237C5D">
        <w:fldChar w:fldCharType="separate"/>
      </w:r>
      <w:r w:rsidR="00237C5D">
        <w:t>3</w:t>
      </w:r>
      <w:r w:rsidR="00237C5D">
        <w:fldChar w:fldCharType="end"/>
      </w:r>
      <w:r>
        <w:t>]</w:t>
      </w:r>
    </w:p>
    <w:p w:rsidR="0046182F" w:rsidRDefault="006C62E5">
      <w:pPr>
        <w:pStyle w:val="2"/>
      </w:pPr>
      <w:bookmarkStart w:id="10" w:name="решение"/>
      <w:bookmarkStart w:id="11" w:name="_Toc99805744"/>
      <w:bookmarkEnd w:id="8"/>
      <w:r>
        <w:rPr>
          <w:rStyle w:val="SectionNumber"/>
        </w:rPr>
        <w:t>4.2</w:t>
      </w:r>
      <w:r>
        <w:tab/>
        <w:t>Решение</w:t>
      </w:r>
      <w:bookmarkEnd w:id="11"/>
    </w:p>
    <w:p w:rsidR="0046182F" w:rsidRDefault="006C62E5">
      <w:pPr>
        <w:pStyle w:val="3"/>
      </w:pPr>
      <w:bookmarkStart w:id="12" w:name="код"/>
      <w:bookmarkStart w:id="13" w:name="_Toc99805745"/>
      <w:r>
        <w:rPr>
          <w:rStyle w:val="SectionNumber"/>
        </w:rPr>
        <w:t>4.2.1</w:t>
      </w:r>
      <w:r>
        <w:tab/>
        <w:t>Код</w:t>
      </w:r>
      <w:bookmarkEnd w:id="13"/>
    </w:p>
    <w:p w:rsidR="0046182F" w:rsidRDefault="006C62E5">
      <w:pPr>
        <w:pStyle w:val="FirstParagraph"/>
      </w:pPr>
      <w:r>
        <w:t>Напишем код в OpenModelica [</w:t>
      </w:r>
      <w:r w:rsidR="00237C5D">
        <w:fldChar w:fldCharType="begin"/>
      </w:r>
      <w:r w:rsidR="00237C5D">
        <w:instrText xml:space="preserve"> REF _Ref99805793 \r \h </w:instrText>
      </w:r>
      <w:r w:rsidR="00237C5D">
        <w:fldChar w:fldCharType="separate"/>
      </w:r>
      <w:r w:rsidR="00237C5D">
        <w:t>1</w:t>
      </w:r>
      <w:r w:rsidR="00237C5D">
        <w:fldChar w:fldCharType="end"/>
      </w:r>
      <w:bookmarkStart w:id="14" w:name="_GoBack"/>
      <w:bookmarkEnd w:id="14"/>
      <w:r>
        <w:t xml:space="preserve">]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46182F" w:rsidRDefault="006C62E5">
      <w:pPr>
        <w:pStyle w:val="CaptionedFigure"/>
      </w:pPr>
      <w:bookmarkStart w:id="15" w:name="fig:001"/>
      <w:r>
        <w:rPr>
          <w:noProof/>
          <w:lang w:eastAsia="ru-RU"/>
        </w:rPr>
        <w:lastRenderedPageBreak/>
        <w:drawing>
          <wp:inline distT="0" distB="0" distL="0" distR="0" wp14:anchorId="788199BA" wp14:editId="1EF36364">
            <wp:extent cx="5334000" cy="2812927"/>
            <wp:effectExtent l="0" t="0" r="0" b="0"/>
            <wp:docPr id="25" name="Picture" descr="Figure 1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46182F" w:rsidRDefault="006C62E5">
      <w:pPr>
        <w:pStyle w:val="ImageCaption"/>
      </w:pPr>
      <w:r>
        <w:t>Figure 1: Код</w:t>
      </w:r>
    </w:p>
    <w:p w:rsidR="0046182F" w:rsidRDefault="006C62E5">
      <w:pPr>
        <w:pStyle w:val="3"/>
      </w:pPr>
      <w:bookmarkStart w:id="16" w:name="параметры-симуляции-для-1-случая"/>
      <w:bookmarkStart w:id="17" w:name="_Toc99805746"/>
      <w:bookmarkEnd w:id="12"/>
      <w:r>
        <w:rPr>
          <w:rStyle w:val="SectionNumber"/>
        </w:rPr>
        <w:t>4.2.2</w:t>
      </w:r>
      <w:r>
        <w:tab/>
        <w:t>Пара</w:t>
      </w:r>
      <w:r>
        <w:t>метры симуляции для 1 случая</w:t>
      </w:r>
      <w:bookmarkEnd w:id="17"/>
    </w:p>
    <w:p w:rsidR="0046182F" w:rsidRDefault="006C62E5">
      <w:pPr>
        <w:pStyle w:val="FirstParagraph"/>
      </w:pPr>
      <w:r>
        <w:t xml:space="preserve">Зададим параметры симуляции для 1 случая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46182F" w:rsidRDefault="006C62E5">
      <w:pPr>
        <w:pStyle w:val="CaptionedFigure"/>
      </w:pPr>
      <w:bookmarkStart w:id="18" w:name="fig:002"/>
      <w:r>
        <w:rPr>
          <w:noProof/>
          <w:lang w:eastAsia="ru-RU"/>
        </w:rPr>
        <w:lastRenderedPageBreak/>
        <w:drawing>
          <wp:inline distT="0" distB="0" distL="0" distR="0" wp14:anchorId="7A38BFAD" wp14:editId="6E1E5392">
            <wp:extent cx="5334000" cy="4559709"/>
            <wp:effectExtent l="0" t="0" r="0" b="0"/>
            <wp:docPr id="30" name="Picture" descr="Figure 2: Параметры симуляции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46182F" w:rsidRDefault="006C62E5">
      <w:pPr>
        <w:pStyle w:val="ImageCaption"/>
      </w:pPr>
      <w:r>
        <w:t>Figure 2: Параметры симуляции для 1 случая</w:t>
      </w:r>
    </w:p>
    <w:p w:rsidR="0046182F" w:rsidRDefault="006C62E5">
      <w:pPr>
        <w:pStyle w:val="3"/>
      </w:pPr>
      <w:bookmarkStart w:id="19" w:name="график-для-1-случая"/>
      <w:bookmarkStart w:id="20" w:name="_Toc99805747"/>
      <w:bookmarkEnd w:id="16"/>
      <w:r>
        <w:rPr>
          <w:rStyle w:val="SectionNumber"/>
        </w:rPr>
        <w:t>4.2.3</w:t>
      </w:r>
      <w:r>
        <w:tab/>
        <w:t>График для 1 случая</w:t>
      </w:r>
      <w:bookmarkEnd w:id="20"/>
    </w:p>
    <w:p w:rsidR="0046182F" w:rsidRDefault="006C62E5">
      <w:pPr>
        <w:pStyle w:val="FirstParagraph"/>
      </w:pPr>
      <w:r>
        <w:t xml:space="preserve">Построим график изменения оборотных средств фирмы 1 и фирмы 2 для 1 случая. </w:t>
      </w:r>
      <w:r>
        <w:t xml:space="preserve">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46182F" w:rsidRDefault="006C62E5">
      <w:pPr>
        <w:pStyle w:val="CaptionedFigure"/>
      </w:pPr>
      <w:bookmarkStart w:id="21" w:name="fig:003"/>
      <w:r>
        <w:rPr>
          <w:noProof/>
          <w:lang w:eastAsia="ru-RU"/>
        </w:rPr>
        <w:lastRenderedPageBreak/>
        <w:drawing>
          <wp:inline distT="0" distB="0" distL="0" distR="0" wp14:anchorId="1C78EE78" wp14:editId="666130C2">
            <wp:extent cx="5334000" cy="2807368"/>
            <wp:effectExtent l="0" t="0" r="0" b="0"/>
            <wp:docPr id="35" name="Picture" descr="Figure 3: График изменения оборотных средств фирмы 1 и фирмы 2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46182F" w:rsidRDefault="006C62E5">
      <w:pPr>
        <w:pStyle w:val="ImageCaption"/>
      </w:pPr>
      <w:r>
        <w:t>Figure 3: График изменения оборотных средств фирмы 1 и фирмы 2 для 1 случая</w:t>
      </w:r>
    </w:p>
    <w:p w:rsidR="0046182F" w:rsidRDefault="006C62E5">
      <w:pPr>
        <w:pStyle w:val="a0"/>
      </w:pPr>
      <w:r>
        <w:t>По графику видно, что рост оборотных средств предприятий идет независимо друг от друга. Каждая фирма достигает свое максимальное значение о</w:t>
      </w:r>
      <w:r>
        <w:t>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:rsidR="0046182F" w:rsidRDefault="006C62E5">
      <w:pPr>
        <w:pStyle w:val="3"/>
      </w:pPr>
      <w:bookmarkStart w:id="22" w:name="параметры-симуляции-для-2-случая"/>
      <w:bookmarkStart w:id="23" w:name="_Toc99805748"/>
      <w:bookmarkEnd w:id="19"/>
      <w:r>
        <w:rPr>
          <w:rStyle w:val="SectionNumber"/>
        </w:rPr>
        <w:t>4.2.4</w:t>
      </w:r>
      <w:r>
        <w:tab/>
        <w:t>Параметры симуляции для 2 случая</w:t>
      </w:r>
      <w:bookmarkEnd w:id="23"/>
    </w:p>
    <w:p w:rsidR="0046182F" w:rsidRDefault="006C62E5">
      <w:pPr>
        <w:pStyle w:val="FirstParagraph"/>
      </w:pPr>
      <w:r>
        <w:t xml:space="preserve">Зададим параметры симуляции для 2 случая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46182F" w:rsidRDefault="006C62E5">
      <w:pPr>
        <w:pStyle w:val="CaptionedFigure"/>
      </w:pPr>
      <w:bookmarkStart w:id="24" w:name="fig:004"/>
      <w:r>
        <w:rPr>
          <w:noProof/>
          <w:lang w:eastAsia="ru-RU"/>
        </w:rPr>
        <w:lastRenderedPageBreak/>
        <w:drawing>
          <wp:inline distT="0" distB="0" distL="0" distR="0" wp14:anchorId="39986109" wp14:editId="25CF78F4">
            <wp:extent cx="5334000" cy="4557432"/>
            <wp:effectExtent l="0" t="0" r="0" b="0"/>
            <wp:docPr id="40" name="Picture" descr="Figure 4: Параметры симуляции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46182F" w:rsidRDefault="006C62E5">
      <w:pPr>
        <w:pStyle w:val="ImageCaption"/>
      </w:pPr>
      <w:r>
        <w:t>Figure 4: Параметры симуляции для 2 случая</w:t>
      </w:r>
    </w:p>
    <w:p w:rsidR="0046182F" w:rsidRDefault="006C62E5">
      <w:pPr>
        <w:pStyle w:val="3"/>
      </w:pPr>
      <w:bookmarkStart w:id="25" w:name="график-для-2-случая"/>
      <w:bookmarkStart w:id="26" w:name="_Toc99805749"/>
      <w:bookmarkEnd w:id="22"/>
      <w:r>
        <w:rPr>
          <w:rStyle w:val="SectionNumber"/>
        </w:rPr>
        <w:t>4.2.5</w:t>
      </w:r>
      <w:r>
        <w:tab/>
        <w:t>График для 2 случая</w:t>
      </w:r>
      <w:bookmarkEnd w:id="26"/>
    </w:p>
    <w:p w:rsidR="0046182F" w:rsidRDefault="006C62E5">
      <w:pPr>
        <w:pStyle w:val="FirstParagraph"/>
      </w:pPr>
      <w:r>
        <w:t xml:space="preserve">Построим график изменения оборотных средств фирмы 1 и фирмы 2 для 2 случая.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46182F" w:rsidRDefault="006C62E5">
      <w:pPr>
        <w:pStyle w:val="CaptionedFigure"/>
      </w:pPr>
      <w:bookmarkStart w:id="27" w:name="fig:005"/>
      <w:r>
        <w:rPr>
          <w:noProof/>
          <w:lang w:eastAsia="ru-RU"/>
        </w:rPr>
        <w:lastRenderedPageBreak/>
        <w:drawing>
          <wp:inline distT="0" distB="0" distL="0" distR="0" wp14:anchorId="235FE496" wp14:editId="30D10DF5">
            <wp:extent cx="5334000" cy="2804588"/>
            <wp:effectExtent l="0" t="0" r="0" b="0"/>
            <wp:docPr id="45" name="Picture" descr="Figure 5: График изменения оборотных средств фирмы 1 и фирмы 2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46182F" w:rsidRDefault="006C62E5">
      <w:pPr>
        <w:pStyle w:val="ImageCaption"/>
      </w:pPr>
      <w:r>
        <w:t xml:space="preserve">Figure 5: График изменения оборотных средств фирмы 1 и фирмы 2 для </w:t>
      </w:r>
      <w:r>
        <w:t>2 случая</w:t>
      </w:r>
    </w:p>
    <w:p w:rsidR="0046182F" w:rsidRDefault="006C62E5">
      <w:pPr>
        <w:pStyle w:val="a0"/>
      </w:pPr>
      <w:r>
        <w:t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</w:t>
      </w:r>
      <w:r>
        <w:t>имального значения, остается на этом уровне.</w:t>
      </w:r>
    </w:p>
    <w:p w:rsidR="0046182F" w:rsidRDefault="006C62E5">
      <w:pPr>
        <w:pStyle w:val="1"/>
      </w:pPr>
      <w:bookmarkStart w:id="28" w:name="выводы"/>
      <w:bookmarkStart w:id="29" w:name="_Toc99805750"/>
      <w:bookmarkEnd w:id="6"/>
      <w:bookmarkEnd w:id="10"/>
      <w:bookmarkEnd w:id="25"/>
      <w:r>
        <w:rPr>
          <w:rStyle w:val="SectionNumber"/>
        </w:rPr>
        <w:t>5</w:t>
      </w:r>
      <w:r>
        <w:tab/>
        <w:t>Выводы</w:t>
      </w:r>
      <w:bookmarkEnd w:id="29"/>
    </w:p>
    <w:p w:rsidR="0046182F" w:rsidRDefault="006C62E5">
      <w:pPr>
        <w:pStyle w:val="FirstParagraph"/>
      </w:pPr>
      <w:r>
        <w:t>В ходе данной лабораторной работы я рассмотрел математическую модель конкуренции двух фирм. С помощью рассмотренной модели и теоретических данных научился строить модели такого типа.</w:t>
      </w:r>
    </w:p>
    <w:p w:rsidR="0046182F" w:rsidRDefault="006C62E5">
      <w:pPr>
        <w:pStyle w:val="1"/>
      </w:pPr>
      <w:bookmarkStart w:id="30" w:name="библиография"/>
      <w:bookmarkStart w:id="31" w:name="_Toc99805751"/>
      <w:bookmarkEnd w:id="28"/>
      <w:r>
        <w:rPr>
          <w:rStyle w:val="SectionNumber"/>
        </w:rPr>
        <w:t>6</w:t>
      </w:r>
      <w:r>
        <w:tab/>
        <w:t>Библиография</w:t>
      </w:r>
      <w:bookmarkEnd w:id="31"/>
    </w:p>
    <w:p w:rsidR="0046182F" w:rsidRDefault="006C62E5">
      <w:pPr>
        <w:numPr>
          <w:ilvl w:val="0"/>
          <w:numId w:val="4"/>
        </w:numPr>
      </w:pPr>
      <w:bookmarkStart w:id="32" w:name="_Ref99805793"/>
      <w:r w:rsidRPr="00237C5D">
        <w:rPr>
          <w:lang w:val="en-US"/>
        </w:rPr>
        <w:t xml:space="preserve">Modelica: Language Specification. - 308 </w:t>
      </w:r>
      <w:r>
        <w:t>с</w:t>
      </w:r>
      <w:r w:rsidRPr="00237C5D">
        <w:rPr>
          <w:lang w:val="en-US"/>
        </w:rPr>
        <w:t>. [</w:t>
      </w:r>
      <w:r>
        <w:t>Электронный</w:t>
      </w:r>
      <w:r w:rsidRPr="00237C5D">
        <w:rPr>
          <w:lang w:val="en-US"/>
        </w:rPr>
        <w:t xml:space="preserve"> </w:t>
      </w:r>
      <w:r>
        <w:t>ресурс</w:t>
      </w:r>
      <w:r w:rsidRPr="00237C5D">
        <w:rPr>
          <w:lang w:val="en-US"/>
        </w:rPr>
        <w:t xml:space="preserve">]. </w:t>
      </w:r>
      <w:r>
        <w:t xml:space="preserve">М. URL: </w:t>
      </w:r>
      <w:hyperlink r:id="rId13">
        <w:r>
          <w:rPr>
            <w:rStyle w:val="ad"/>
          </w:rPr>
          <w:t>Language Specification</w:t>
        </w:r>
      </w:hyperlink>
      <w:r>
        <w:t xml:space="preserve"> (Дата обращения: 02.04.2021).</w:t>
      </w:r>
      <w:bookmarkEnd w:id="32"/>
    </w:p>
    <w:p w:rsidR="0046182F" w:rsidRDefault="006C62E5">
      <w:pPr>
        <w:numPr>
          <w:ilvl w:val="0"/>
          <w:numId w:val="4"/>
        </w:numPr>
      </w:pPr>
      <w:bookmarkStart w:id="33" w:name="_Ref99805782"/>
      <w:r>
        <w:t xml:space="preserve">Лабораторная работа №8. Модель конкуренции двух фирм. - 7 с. </w:t>
      </w:r>
      <w:r>
        <w:t xml:space="preserve">[Электронный ресурс]. М. URL: </w:t>
      </w:r>
      <w:hyperlink r:id="rId14">
        <w:r>
          <w:rPr>
            <w:rStyle w:val="ad"/>
          </w:rPr>
          <w:t>Лабораторная работа №7. Эффективность рекламы.</w:t>
        </w:r>
      </w:hyperlink>
      <w:r>
        <w:t xml:space="preserve"> (Дата обращения: 02.04.2021).</w:t>
      </w:r>
      <w:bookmarkEnd w:id="33"/>
    </w:p>
    <w:p w:rsidR="0046182F" w:rsidRDefault="006C62E5">
      <w:pPr>
        <w:numPr>
          <w:ilvl w:val="0"/>
          <w:numId w:val="4"/>
        </w:numPr>
      </w:pPr>
      <w:bookmarkStart w:id="34" w:name="_Ref99805774"/>
      <w:r>
        <w:t>Лабораторная работа №8. Ва</w:t>
      </w:r>
      <w:r>
        <w:t xml:space="preserve">рианты. [Электронный ресурс]. М. URL: </w:t>
      </w:r>
      <w:hyperlink r:id="rId15">
        <w:r>
          <w:rPr>
            <w:rStyle w:val="ad"/>
          </w:rPr>
          <w:t>Варианты</w:t>
        </w:r>
      </w:hyperlink>
      <w:r>
        <w:t xml:space="preserve"> (Дата обращения: 02.04.2021).</w:t>
      </w:r>
      <w:bookmarkEnd w:id="30"/>
      <w:bookmarkEnd w:id="34"/>
    </w:p>
    <w:sectPr w:rsidR="004618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E5" w:rsidRDefault="006C62E5">
      <w:pPr>
        <w:spacing w:after="0"/>
      </w:pPr>
      <w:r>
        <w:separator/>
      </w:r>
    </w:p>
  </w:endnote>
  <w:endnote w:type="continuationSeparator" w:id="0">
    <w:p w:rsidR="006C62E5" w:rsidRDefault="006C6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E5" w:rsidRDefault="006C62E5">
      <w:r>
        <w:separator/>
      </w:r>
    </w:p>
  </w:footnote>
  <w:footnote w:type="continuationSeparator" w:id="0">
    <w:p w:rsidR="006C62E5" w:rsidRDefault="006C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858DD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B4A76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82F"/>
    <w:rsid w:val="00237C5D"/>
    <w:rsid w:val="0046182F"/>
    <w:rsid w:val="006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75714-28C3-402D-91BB-07217445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37C5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37C5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37C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delica.org/documents/ModelicaSpec3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ystem.rudn.ru/pluginfile.php/1343906/mod_resource/content/2/&#1047;&#1072;&#1076;&#1072;&#1085;&#1080;&#1077;%20&#1082;%20&#1083;&#1072;&#1073;&#1086;&#1088;&#1072;&#1090;&#1086;&#1088;&#1085;&#1086;&#1081;%20&#1088;&#1072;&#1073;&#1086;&#1090;&#1077;%20&#8470;%207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ystem.rudn.ru/pluginfile.php/1343905/mod_resource/content/2/&#1051;&#1072;&#1073;&#1086;&#1088;&#1072;&#1090;&#1086;&#1088;&#1085;&#1072;&#1103;%20&#1088;&#1072;&#1073;&#1086;&#1090;&#1072;%20&#8470;%2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C2EE-C35D-4867-A1E6-D719F56F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Модель конкуренции двух фирм.</dc:title>
  <dc:creator>Александр Сергеевич Баклашов</dc:creator>
  <cp:keywords/>
  <cp:lastModifiedBy>Баклашов Александр</cp:lastModifiedBy>
  <cp:revision>2</cp:revision>
  <dcterms:created xsi:type="dcterms:W3CDTF">2022-04-02T12:27:00Z</dcterms:created>
  <dcterms:modified xsi:type="dcterms:W3CDTF">2022-04-02T12:29:00Z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