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70" w:afterAutospacing="0" w:before="0" w:beforeAutospacing="0"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  <w:t xml:space="preserve">Разработка алгоритма классификации бактерий методом спектроскопии комбинационного рассеяния света</w:t>
      </w:r>
      <w:r>
        <w:rPr>
          <w:sz w:val="28"/>
          <w:szCs w:val="28"/>
          <w:lang w:val="ru-RU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jc w:val="center"/>
        <w:rPr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ru-RU"/>
        </w:rPr>
        <w:t xml:space="preserve">Байкова Т.В.</w:t>
      </w:r>
      <w:r>
        <w:rPr>
          <w:b/>
          <w:bCs/>
          <w:sz w:val="28"/>
          <w:szCs w:val="28"/>
          <w:lang w:val="ru-RU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70" w:afterAutospacing="0" w:before="0" w:beforeAutospacing="0"/>
        <w:ind w:right="0" w:firstLine="0" w:left="0"/>
        <w:jc w:val="center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  <w:lang w:val="ru-RU"/>
        </w:rPr>
        <w:t xml:space="preserve">преподаватель кафедры физики и технической механики ИПТИП РТУ МИРЭА</w:t>
      </w:r>
      <w:r>
        <w:rPr>
          <w:b w:val="0"/>
          <w:bCs w:val="0"/>
          <w:sz w:val="28"/>
          <w:szCs w:val="28"/>
          <w:lang w:val="ru-RU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jc w:val="center"/>
        <w:rPr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ru-RU"/>
        </w:rPr>
        <w:t xml:space="preserve">Гончуков С.А.</w:t>
      </w:r>
      <w:r>
        <w:rPr>
          <w:b/>
          <w:bCs/>
          <w:sz w:val="28"/>
          <w:szCs w:val="28"/>
          <w:lang w:val="ru-RU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  <w:lang w:val="ru-RU"/>
        </w:rPr>
        <w:t xml:space="preserve">д.ф.-м.н., профессор кафедры лазерной физики НИЯУ МИФИ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  <w:lang w:val="ru-RU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70" w:afterAutospacing="0" w:before="0" w:beforeAutospacing="0"/>
        <w:ind w:right="0" w:firstLine="0" w:left="0"/>
        <w:jc w:val="both"/>
        <w:rPr>
          <w:rFonts w:ascii="Times New Roman" w:hAnsi="Times New Roman" w:eastAsia="Times New Roman" w:cs="Times New Roman"/>
          <w:bCs/>
          <w:i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i/>
          <w:iCs/>
          <w:color w:val="000000"/>
          <w:sz w:val="28"/>
          <w:szCs w:val="28"/>
          <w:lang w:val="ru-RU"/>
        </w:rPr>
        <w:t xml:space="preserve">Аннотация</w:t>
      </w:r>
      <w:r>
        <w:rPr>
          <w:rFonts w:ascii="Times New Roman" w:hAnsi="Times New Roman" w:eastAsia="Times New Roman" w:cs="Times New Roman"/>
          <w:b/>
          <w:i/>
          <w:iCs/>
          <w:color w:val="000000"/>
          <w:sz w:val="28"/>
          <w:szCs w:val="28"/>
          <w:lang w:val="ru-RU"/>
        </w:rPr>
        <w:t xml:space="preserve">. </w:t>
      </w:r>
      <w:r>
        <w:rPr>
          <w:rFonts w:ascii="Times New Roman" w:hAnsi="Times New Roman" w:eastAsia="Times New Roman" w:cs="Times New Roman"/>
          <w:i/>
          <w:iCs/>
          <w:color w:val="000000"/>
          <w:sz w:val="28"/>
          <w:szCs w:val="28"/>
          <w:lang w:val="ru-RU"/>
        </w:rPr>
        <w:t xml:space="preserve">В работе представлен подход к автоматической классификации бактерий на основе их рамановских спектров с учётом плазмонного усиления (ГКР). В качестве объектов исследования использованы </w:t>
      </w:r>
      <w:r>
        <w:rPr>
          <w:rFonts w:ascii="Times New Roman" w:hAnsi="Times New Roman" w:eastAsia="Times New Roman" w:cs="Times New Roman"/>
          <w:i/>
          <w:iCs/>
          <w:color w:val="000000"/>
          <w:sz w:val="28"/>
          <w:szCs w:val="28"/>
          <w:lang w:val="ru-RU"/>
        </w:rPr>
        <w:t xml:space="preserve">золотистый стафилококк </w:t>
      </w:r>
      <w:r>
        <w:rPr>
          <w:rFonts w:ascii="Times New Roman" w:hAnsi="Times New Roman" w:eastAsia="Times New Roman" w:cs="Times New Roman"/>
          <w:i/>
          <w:iCs/>
          <w:color w:val="000000"/>
          <w:sz w:val="28"/>
          <w:szCs w:val="28"/>
          <w:lang w:val="ru-RU"/>
        </w:rPr>
        <w:t xml:space="preserve">(</w:t>
      </w:r>
      <w:r>
        <w:rPr>
          <w:rFonts w:ascii="Times New Roman" w:hAnsi="Times New Roman" w:eastAsia="Times New Roman" w:cs="Times New Roman"/>
          <w:i/>
          <w:iCs/>
          <w:color w:val="000000"/>
          <w:sz w:val="28"/>
          <w:szCs w:val="28"/>
          <w:lang w:val="ru-RU"/>
        </w:rPr>
        <w:t xml:space="preserve">Staphylococcus aureus</w:t>
      </w:r>
      <w:r>
        <w:rPr>
          <w:rFonts w:ascii="Times New Roman" w:hAnsi="Times New Roman" w:eastAsia="Times New Roman" w:cs="Times New Roman"/>
          <w:i/>
          <w:iCs/>
          <w:color w:val="000000"/>
          <w:sz w:val="28"/>
          <w:szCs w:val="28"/>
          <w:lang w:val="ru-RU"/>
        </w:rPr>
        <w:t xml:space="preserve">)</w:t>
      </w:r>
      <w:r>
        <w:rPr>
          <w:rFonts w:ascii="Times New Roman" w:hAnsi="Times New Roman" w:eastAsia="Times New Roman" w:cs="Times New Roman"/>
          <w:i/>
          <w:iCs/>
          <w:color w:val="000000"/>
          <w:sz w:val="28"/>
          <w:szCs w:val="28"/>
          <w:lang w:val="ru-RU"/>
        </w:rPr>
        <w:t xml:space="preserve"> и клебсиелла пневмония </w:t>
      </w:r>
      <w:r>
        <w:rPr>
          <w:rFonts w:ascii="Times New Roman" w:hAnsi="Times New Roman" w:eastAsia="Times New Roman" w:cs="Times New Roman"/>
          <w:i/>
          <w:iCs/>
          <w:color w:val="000000"/>
          <w:sz w:val="28"/>
          <w:szCs w:val="28"/>
          <w:lang w:val="ru-RU"/>
        </w:rPr>
        <w:t xml:space="preserve">(</w:t>
      </w:r>
      <w:r>
        <w:rPr>
          <w:rFonts w:ascii="Times New Roman" w:hAnsi="Times New Roman" w:eastAsia="Times New Roman" w:cs="Times New Roman"/>
          <w:i/>
          <w:iCs/>
          <w:color w:val="000000"/>
          <w:sz w:val="28"/>
          <w:szCs w:val="28"/>
          <w:lang w:val="ru-RU"/>
        </w:rPr>
        <w:t xml:space="preserve">Klebsiella pneumoniae</w:t>
      </w:r>
      <w:r>
        <w:rPr>
          <w:rFonts w:ascii="Times New Roman" w:hAnsi="Times New Roman" w:eastAsia="Times New Roman" w:cs="Times New Roman"/>
          <w:i/>
          <w:iCs/>
          <w:color w:val="000000"/>
          <w:sz w:val="28"/>
          <w:szCs w:val="28"/>
          <w:lang w:val="ru-RU"/>
        </w:rPr>
        <w:t xml:space="preserve">)</w:t>
      </w:r>
      <w:r>
        <w:rPr>
          <w:rFonts w:ascii="Times New Roman" w:hAnsi="Times New Roman" w:eastAsia="Times New Roman" w:cs="Times New Roman"/>
          <w:i/>
          <w:iCs/>
          <w:color w:val="000000"/>
          <w:sz w:val="28"/>
          <w:szCs w:val="28"/>
          <w:lang w:val="ru-RU"/>
        </w:rPr>
        <w:t xml:space="preserve"> на наноструктурированных подложках: золотые сферические наночастицы и углеродные наностенки с Au-плёнкой. Предложен алгоритм обработки спектров, включающий динамически настраиваемое сглаживание фильтром Савицкого-Голея,</w:t>
      </w:r>
      <w:r>
        <w:rPr>
          <w:rFonts w:ascii="Times New Roman" w:hAnsi="Times New Roman" w:eastAsia="Times New Roman" w:cs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000000"/>
          <w:sz w:val="28"/>
          <w:szCs w:val="28"/>
          <w:lang w:val="ru-RU"/>
        </w:rPr>
        <w:t xml:space="preserve">MinMax-масштабирование, извлечение</w:t>
      </w:r>
      <w:r>
        <w:rPr>
          <w:rFonts w:ascii="Times New Roman" w:hAnsi="Times New Roman" w:eastAsia="Times New Roman" w:cs="Times New Roman"/>
          <w:i/>
          <w:iCs/>
          <w:color w:val="000000"/>
          <w:sz w:val="28"/>
          <w:szCs w:val="28"/>
          <w:lang w:val="ru-RU"/>
        </w:rPr>
        <w:t xml:space="preserve"> пиковых и статистических признаков, </w:t>
      </w:r>
      <w:r>
        <w:rPr>
          <w:rFonts w:ascii="Times New Roman" w:hAnsi="Times New Roman" w:eastAsia="Times New Roman" w:cs="Times New Roman"/>
          <w:i/>
          <w:iCs/>
          <w:color w:val="000000"/>
          <w:sz w:val="28"/>
          <w:szCs w:val="28"/>
          <w:lang w:val="ru-RU"/>
        </w:rPr>
        <w:t xml:space="preserve">а также классификацию методом случайного леса. Показано, что</w:t>
      </w:r>
      <w:r>
        <w:rPr>
          <w:rFonts w:ascii="Times New Roman" w:hAnsi="Times New Roman" w:eastAsia="Times New Roman" w:cs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000000"/>
          <w:sz w:val="28"/>
          <w:szCs w:val="28"/>
          <w:lang w:val="ru-RU"/>
        </w:rPr>
        <w:t xml:space="preserve">сочетание</w:t>
      </w:r>
      <w:r>
        <w:rPr>
          <w:rFonts w:ascii="Times New Roman" w:hAnsi="Times New Roman" w:eastAsia="Times New Roman" w:cs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000000"/>
          <w:sz w:val="28"/>
          <w:szCs w:val="28"/>
          <w:lang w:val="ru-RU"/>
        </w:rPr>
        <w:t xml:space="preserve">поверхностно-усиленной</w:t>
      </w:r>
      <w:r>
        <w:rPr>
          <w:rFonts w:ascii="Times New Roman" w:hAnsi="Times New Roman" w:eastAsia="Times New Roman" w:cs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000000"/>
          <w:sz w:val="28"/>
          <w:szCs w:val="28"/>
          <w:lang w:val="ru-RU"/>
        </w:rPr>
        <w:t xml:space="preserve">спектроскопии</w:t>
      </w:r>
      <w:r>
        <w:rPr>
          <w:rFonts w:ascii="Times New Roman" w:hAnsi="Times New Roman" w:eastAsia="Times New Roman" w:cs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000000"/>
          <w:sz w:val="28"/>
          <w:szCs w:val="28"/>
          <w:lang w:val="ru-RU"/>
        </w:rPr>
        <w:t xml:space="preserve">и</w:t>
      </w:r>
      <w:r>
        <w:rPr>
          <w:rFonts w:ascii="Times New Roman" w:hAnsi="Times New Roman" w:eastAsia="Times New Roman" w:cs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000000"/>
          <w:sz w:val="28"/>
          <w:szCs w:val="28"/>
          <w:lang w:val="ru-RU"/>
        </w:rPr>
        <w:t xml:space="preserve">алгоритмов</w:t>
      </w:r>
      <w:r>
        <w:rPr>
          <w:rFonts w:ascii="Times New Roman" w:hAnsi="Times New Roman" w:eastAsia="Times New Roman" w:cs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000000"/>
          <w:sz w:val="28"/>
          <w:szCs w:val="28"/>
          <w:lang w:val="ru-RU"/>
        </w:rPr>
        <w:t xml:space="preserve">ИИ</w:t>
      </w:r>
      <w:r>
        <w:rPr>
          <w:rFonts w:ascii="Times New Roman" w:hAnsi="Times New Roman" w:eastAsia="Times New Roman" w:cs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000000"/>
          <w:sz w:val="28"/>
          <w:szCs w:val="28"/>
          <w:lang w:val="ru-RU"/>
        </w:rPr>
        <w:t xml:space="preserve">обеспечивает высокую точность (≥ 90 %) распознавания грам-положительных и гра</w:t>
      </w:r>
      <w:r>
        <w:rPr>
          <w:rFonts w:ascii="Times New Roman" w:hAnsi="Times New Roman" w:eastAsia="Times New Roman" w:cs="Times New Roman"/>
          <w:i/>
          <w:iCs/>
          <w:color w:val="000000"/>
          <w:sz w:val="28"/>
          <w:szCs w:val="28"/>
          <w:lang w:val="ru-RU"/>
        </w:rPr>
        <w:t xml:space="preserve">м-отрицательных бактерий.</w:t>
      </w:r>
      <w:r>
        <w:rPr>
          <w:i/>
          <w:iCs/>
          <w:sz w:val="28"/>
          <w:szCs w:val="28"/>
          <w:lang w:val="ru-RU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70" w:afterAutospacing="0" w:before="0" w:beforeAutospacing="0"/>
        <w:ind w:right="0" w:firstLine="0" w:left="0"/>
        <w:jc w:val="both"/>
        <w:rPr>
          <w:bCs/>
          <w:i/>
          <w:sz w:val="28"/>
          <w:szCs w:val="28"/>
        </w:rPr>
      </w:pPr>
      <w:r>
        <w:rPr>
          <w:rFonts w:ascii="Times New Roman" w:hAnsi="Times New Roman" w:eastAsia="Times New Roman" w:cs="Times New Roman"/>
          <w:b/>
          <w:i/>
          <w:iCs/>
          <w:color w:val="000000"/>
          <w:sz w:val="28"/>
          <w:szCs w:val="28"/>
          <w:lang w:val="ru-RU"/>
        </w:rPr>
        <w:t xml:space="preserve">Ключевые слова:</w:t>
      </w:r>
      <w:r>
        <w:rPr>
          <w:rFonts w:ascii="Times New Roman" w:hAnsi="Times New Roman" w:eastAsia="Times New Roman" w:cs="Times New Roman"/>
          <w:i/>
          <w:iCs/>
          <w:color w:val="000000"/>
          <w:sz w:val="28"/>
          <w:szCs w:val="28"/>
          <w:lang w:val="ru-RU"/>
        </w:rPr>
        <w:t xml:space="preserve"> рамановская спектроскопия, SERS/ГКР, алгоритм классификации, Savitzky–Golay, RandomForest.</w:t>
      </w:r>
      <w:r>
        <w:rPr>
          <w:i/>
          <w:iCs/>
          <w:sz w:val="28"/>
          <w:szCs w:val="28"/>
          <w:lang w:val="ru-RU"/>
        </w:rPr>
      </w:r>
    </w:p>
    <w:p>
      <w:pPr>
        <w:pStyle w:val="139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70" w:afterAutospacing="0" w:before="170" w:beforeAutospacing="0"/>
        <w:ind w:right="0" w:firstLine="709" w:left="0"/>
        <w:contextualSpacing w:val="false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  <w:t xml:space="preserve">Введение</w:t>
      </w:r>
      <w:r>
        <w:rPr>
          <w:sz w:val="28"/>
          <w:szCs w:val="28"/>
          <w:lang w:val="ru-RU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709" w:left="0"/>
        <w:contextualSpacing w:val="false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Быстрая и точная диагностика бактериальных инфекций на ранней стадии критически важна для своевременного начала терапии и предупреждения осложнений. Традиционные методы (культуральное выращивание, микроскопия, окрашивание по Граму) требуют часов или дней и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 могут давать ложные результаты при низких концентрациях микроорганизмов. Спектроскопия комбинационного рассеяния света позволяет получать «молекулярный отпечаток» образца без использования красителей, однако природная интенсивность рамановск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ого сигнала низка. Применение наноструктурированных подложек с эффектом поверхностно-усиленного рамановского рассеяния (SERS или ГКР) повышает чувствительность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[1,2,3]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. Цель этой работы - разработать алгоритм автоматической классификации бакте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рий по их СКР-спектрам, усиливаемым этим механизмом, и оценить эффективность подхода на примерах грам-положительных и грам-отрицательных культур.</w:t>
      </w:r>
      <w:r>
        <w:rPr>
          <w:sz w:val="28"/>
          <w:szCs w:val="28"/>
          <w:lang w:val="ru-RU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70" w:afterAutospacing="0" w:before="170" w:beforeAutospacing="0"/>
        <w:ind w:right="0" w:firstLine="709" w:left="0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  <w:t xml:space="preserve">Методика эксперимента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Спектры регистрировали на спектрометре Nicolet Almega XR с возбуждением неодимового лазера (λ = 532 нм, 20 мВт). Считали компоненты Stokes-сдвига в диапазоне 400–3100 см⁻¹ при разрешении 2 см⁻¹. Волновую шкалу калибровали по пикy кремния (521 см⁻¹). В целях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 уменьшения влияния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флуоресценции использовали режим фотообесцвечивания в течение 30 секунд перед записью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спектров комбинационного рассеяния света.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709" w:left="0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Для автоматической обработки и классификации спектральных данных, полученных методом спектроскопии комбинационного рассеяния света (СКР) с плазмонным усилением (ГКР),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на языке программирования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Python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был разработан комплексный алгоритм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, объединяющий этапы предобработки сигналов, извлечения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 признаков, снижения размерности и классификации.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На первом этапе реализации алгоритма выполнялось сглаживание спектров с использованием фильтра Савицкого–Голея.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Как показано на рис. 1 для устранения вариабельности масштаба интенсивностей между разными спектрами применялос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ь нормирование с помощью масштабирования признаков в диапазоне [0,1] (MinMaxScaler).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709" w:left="0"/>
        <w:jc w:val="center"/>
        <w:rPr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ru-RU"/>
        </w:rPr>
      </w:r>
      <w:r>
        <w:rPr>
          <w:sz w:val="28"/>
          <w:szCs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<wp:simplePos x="0" y="0"/>
                <wp:positionH relativeFrom="column">
                  <wp:posOffset>121875</wp:posOffset>
                </wp:positionH>
                <wp:positionV relativeFrom="paragraph">
                  <wp:posOffset>61829</wp:posOffset>
                </wp:positionV>
                <wp:extent cx="5990475" cy="3085755"/>
                <wp:effectExtent l="0" t="0" r="0" b="0"/>
                <wp:wrapTopAndBottom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358160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5990474" cy="30857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048;o:allowoverlap:true;o:allowincell:true;mso-position-horizontal-relative:text;margin-left:9.60pt;mso-position-horizontal:absolute;mso-position-vertical-relative:text;margin-top:4.87pt;mso-position-vertical:absolute;width:471.69pt;height:242.97pt;mso-wrap-distance-left:9.07pt;mso-wrap-distance-top:0.00pt;mso-wrap-distance-right:9.07pt;mso-wrap-distance-bottom:0.00pt;z-index:1;" stroked="false">
                <w10:wrap type="topAndBottom"/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i/>
          <w:iCs/>
          <w:color w:val="000000"/>
          <w:sz w:val="28"/>
          <w:szCs w:val="28"/>
          <w:highlight w:val="none"/>
          <w:lang w:val="ru-RU"/>
        </w:rPr>
        <w:t xml:space="preserve">Рис. 1. Спектры КР бактерии </w:t>
      </w:r>
      <w:r>
        <w:rPr>
          <w:rFonts w:ascii="Times New Roman" w:hAnsi="Times New Roman" w:eastAsia="Times New Roman" w:cs="Times New Roman"/>
          <w:i/>
          <w:iCs/>
          <w:color w:val="000000"/>
          <w:sz w:val="28"/>
          <w:szCs w:val="28"/>
          <w:lang w:val="ru-RU"/>
        </w:rPr>
        <w:t xml:space="preserve">Staphylococcus aureus</w:t>
      </w:r>
      <w:r>
        <w:rPr>
          <w:rFonts w:ascii="Times New Roman" w:hAnsi="Times New Roman" w:eastAsia="Times New Roman" w:cs="Times New Roman"/>
          <w:i/>
          <w:iCs/>
          <w:color w:val="000000"/>
          <w:sz w:val="28"/>
          <w:szCs w:val="28"/>
          <w:highlight w:val="none"/>
          <w:lang w:val="ru-RU"/>
        </w:rPr>
        <w:t xml:space="preserve"> (</w:t>
      </w:r>
      <w:r>
        <w:rPr>
          <w:rFonts w:ascii="Times New Roman" w:hAnsi="Times New Roman" w:eastAsia="Times New Roman" w:cs="Times New Roman"/>
          <w:i/>
          <w:iCs/>
          <w:color w:val="000000"/>
          <w:sz w:val="28"/>
          <w:szCs w:val="28"/>
          <w:lang w:val="ru-RU"/>
        </w:rPr>
        <w:t xml:space="preserve">Синий цвет</w:t>
      </w:r>
      <w:r>
        <w:rPr>
          <w:rFonts w:ascii="Times New Roman" w:hAnsi="Times New Roman" w:eastAsia="Times New Roman" w:cs="Times New Roman"/>
          <w:i/>
          <w:iCs/>
          <w:color w:val="000000"/>
          <w:sz w:val="28"/>
          <w:szCs w:val="28"/>
          <w:highlight w:val="none"/>
          <w:lang w:val="ru-RU"/>
        </w:rPr>
        <w:t xml:space="preserve">) и </w:t>
      </w:r>
      <w:r>
        <w:rPr>
          <w:rFonts w:ascii="Times New Roman" w:hAnsi="Times New Roman" w:eastAsia="Times New Roman" w:cs="Times New Roman"/>
          <w:i/>
          <w:iCs/>
          <w:color w:val="000000"/>
          <w:sz w:val="28"/>
          <w:szCs w:val="28"/>
          <w:lang w:val="ru-RU"/>
        </w:rPr>
        <w:t xml:space="preserve">Klebsiella pneumoniae (</w:t>
      </w:r>
      <w:r>
        <w:rPr>
          <w:rFonts w:ascii="Times New Roman" w:hAnsi="Times New Roman" w:eastAsia="Times New Roman" w:cs="Times New Roman"/>
          <w:i/>
          <w:iCs/>
          <w:color w:val="000000"/>
          <w:sz w:val="28"/>
          <w:szCs w:val="28"/>
          <w:highlight w:val="none"/>
          <w:lang w:val="ru-RU"/>
        </w:rPr>
        <w:t xml:space="preserve">оранжевый цвет</w:t>
      </w:r>
      <w:r>
        <w:rPr>
          <w:rFonts w:ascii="Times New Roman" w:hAnsi="Times New Roman" w:eastAsia="Times New Roman" w:cs="Times New Roman"/>
          <w:i/>
          <w:iCs/>
          <w:color w:val="000000"/>
          <w:sz w:val="28"/>
          <w:szCs w:val="28"/>
          <w:lang w:val="ru-RU"/>
        </w:rPr>
        <w:t xml:space="preserve">)</w:t>
      </w:r>
      <w:r>
        <w:rPr>
          <w:i/>
          <w:iCs/>
          <w:sz w:val="28"/>
          <w:szCs w:val="28"/>
          <w:highlight w:val="none"/>
          <w:lang w:val="ru-RU"/>
        </w:rPr>
        <w:t xml:space="preserve">.</w:t>
      </w:r>
      <w:r>
        <w:rPr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После предобработки для каждого спектра вычислялся вектор признаков,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ru-RU"/>
        </w:rPr>
        <w:t xml:space="preserve">представляющие собой спектральные «отпечатки» бактерий,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 включающий: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 положение основного пика (максимального значения интенсивности по оси частот);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интенсивность основного пика;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 статистические характеристики (среднее значение интенсивности, стандартное отклонение и медиану интенсивностей по спектру).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Данная процедура позволяла существенно сократить размерность данных при сохранении их диагностически значимой информации.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709" w:left="0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В качестве основного алгоритма классификации использовался метод случайного леса (Random Forest Classifier), обладающий высокой устойчивостью к переобучению и способностью учитывать сложные нелинейные зависимости между признаками. Для повышения точности мод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ели и оптимизации её параметров применялся метод перебора по сетке (GridSearchCV) с трёхкратной перекрёстной проверкой (cross-validation, cv=3). Оптимизируемыми гиперпараметрами являлись: количество деревьев (n_estimators), максимальная глубина деревьев (ma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x_depth).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709" w:left="0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Таким образом, весь процесс классификации спектров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включал предобработку данных (масштабирование интенсивностей), извлечение признаков (положение и амплитуда максимального пика, статистические моменты), снижение размерности методом главных компонент (PCA) и классифи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кацию с использованием случайного леса (Random Forest Classifier).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709" w:left="0"/>
        <w:jc w:val="both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Разработанная архитектура алгоритма позволяет легко масштабировать систему под новые спектральные базы данных, а также адаптировать её для распознавания более широкого спектра бактериальных агентов.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70" w:afterAutospacing="0" w:before="170" w:beforeAutospacing="0"/>
        <w:ind w:right="0" w:firstLine="709" w:left="0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  <w:t xml:space="preserve">Результаты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ru-RU"/>
        </w:rPr>
        <w:t xml:space="preserve">и их обсуждение</w:t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В ходе эксперимента было подтверждено значительное усиление сигналов спектров комбинационного рассеяния света (СКР) при использовании наноструктурированных подложек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[5-7]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709" w:left="0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Классификационная модель была обучена и протестирована с использованием 80 % спектров для обучения и 20 % для валидации.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Полученные метрики качества модели:</w:t>
      </w:r>
      <w:r>
        <w:rPr>
          <w:sz w:val="28"/>
          <w:szCs w:val="28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-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ab/>
        <w:t xml:space="preserve">a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ccuracy (доля правильных классификаций)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92%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;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- p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recision (точность предсказания класса для положительного случая)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0.91 для Staphylococcus aureus, 0.93 для Klebsiella pneumoniae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;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-  </w:t>
        <w:tab/>
        <w:t xml:space="preserve">r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ecall (полнота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 -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доля правильно обнаруженных положительных примеров)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0.92 и 0.90 соответственно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.</w:t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3101"/>
        </w:tabs>
        <w:spacing w:after="0" w:afterAutospacing="0" w:before="0" w:beforeAutospacing="0"/>
        <w:ind w:right="0" w:firstLine="709" w:left="0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Результаты применения алгоритма с предварительным сглаживанием спектров фильтром Савицкого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-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Голея не показали существенного улучшения качества классификации, что указывает на достаточную чистоту исходных спектров и минимальное влияние фонового шума в экспери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ментальных данных.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709" w:left="0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Анализ данных показывает, что использование механизма гигантского комбинационного рассеяния (ГКР) в сочетании с алгоритмами машинного обучения позволяет достичь высокой надёжности классификации даже при небольшом объёме данных и невысоком уровне сигналов.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709" w:left="0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Выигрыш в чувствительности за счёт наноструктурированных подложек делает возможным дальнейшее применение предложенной методики для ранней диагностики бактериальных инфекций в клинической практике, а также для мониторинга качества воды и пищевых продуктов.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r>
      <w:r>
        <w:rPr>
          <w:sz w:val="28"/>
          <w:szCs w:val="28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70" w:afterAutospacing="0" w:before="170" w:beforeAutospacing="0"/>
        <w:ind w:right="0" w:firstLine="709" w:left="0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  <w:t xml:space="preserve">Заключение</w:t>
      </w:r>
      <w:r>
        <w:rPr>
          <w:sz w:val="28"/>
          <w:szCs w:val="28"/>
          <w:lang w:val="ru-RU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709" w:left="0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Предложенный алгоритм классификации бактерий на основе SERS-спектров демонстрирует высокую точность и позволяет детектировать как грам-положительные, так и грам-отрицательные культуры при низких концентрациях благодаря плазмонному усилению. Адаптивные пара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метры предобработки и компактный набор признаков делают модель универсальной для дальнейшего расширения базы патогенов и интеграции в портативные диагностические устройства.</w:t>
      </w:r>
      <w:r>
        <w:rPr>
          <w:sz w:val="28"/>
          <w:szCs w:val="28"/>
          <w:lang w:val="ru-RU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70" w:afterAutospacing="0" w:before="170" w:beforeAutospacing="0"/>
        <w:ind w:right="0" w:firstLine="708" w:left="0"/>
        <w:jc w:val="both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  <w:t xml:space="preserve">Список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en-US"/>
        </w:rPr>
        <w:t xml:space="preserve">использованных источников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en-US"/>
        </w:rPr>
      </w:r>
      <w:r>
        <w:rPr>
          <w:sz w:val="28"/>
          <w:szCs w:val="28"/>
          <w:lang w:val="ru-RU"/>
        </w:rPr>
      </w:r>
    </w:p>
    <w:p>
      <w:pPr>
        <w:pStyle w:val="664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i/>
          <w:iCs/>
          <w:color w:val="000000"/>
          <w:sz w:val="28"/>
          <w:szCs w:val="28"/>
          <w:lang w:val="ru-RU"/>
        </w:rPr>
        <w:t xml:space="preserve">S.A.  Gonchukov,  T.V.  Baikova,  M.V.  Alushin,  T.S.  Svistunova,  S.A.  Minaeva,  A.A. Ionin, S.I. Kudryashov, I.N. Saraeva, D.A. Zayarny.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  Single bacterium detection using SERS. // Journal of Physics: Conference Series. – 2016. – 691.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664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i/>
          <w:iCs/>
          <w:color w:val="000000"/>
          <w:sz w:val="28"/>
          <w:szCs w:val="28"/>
          <w:lang w:val="ru-RU"/>
        </w:rPr>
        <w:t xml:space="preserve">Tsvetkov, M. Y.</w:t>
      </w:r>
      <w:r>
        <w:rPr>
          <w:rFonts w:ascii="Times New Roman" w:hAnsi="Times New Roman" w:eastAsia="Times New Roman" w:cs="Times New Roman"/>
          <w:i/>
          <w:iCs/>
          <w:color w:val="000000"/>
          <w:sz w:val="28"/>
          <w:szCs w:val="28"/>
          <w:lang w:val="ru-RU"/>
        </w:rPr>
        <w:t xml:space="preserve">, Evlashin, S. A., Mironovich, K. V., Minaeva, S. A., Suetin, N. V., &amp;</w:t>
      </w:r>
      <w:r>
        <w:rPr>
          <w:rFonts w:ascii="Times New Roman" w:hAnsi="Times New Roman" w:eastAsia="Times New Roman" w:cs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000000"/>
          <w:sz w:val="28"/>
          <w:szCs w:val="28"/>
          <w:lang w:val="ru-RU"/>
        </w:rPr>
        <w:t xml:space="preserve">Bagratashvili, V. N.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Ag on carbon nanowalls mesostructures for SERS// Proceedings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of  SPIE  –  The  International  Society  for  Optical  Engineering.  –  2015.  –  с.  9450.  – 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https://doi.org/10.1117/12.2073252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664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i/>
          <w:iCs/>
          <w:color w:val="000000"/>
          <w:sz w:val="28"/>
          <w:szCs w:val="28"/>
          <w:lang w:val="ru-RU"/>
        </w:rPr>
        <w:t xml:space="preserve">V.O.  Yukhymchuk,  O.M.  Hreshchuk,  M.Ya.  Valakh,  Ye.G.  Gule,  M.A.  Skoryk,  V.S. </w:t>
      </w:r>
      <w:r>
        <w:rPr>
          <w:rFonts w:ascii="Times New Roman" w:hAnsi="Times New Roman" w:eastAsia="Times New Roman" w:cs="Times New Roman"/>
          <w:i/>
          <w:iCs/>
          <w:color w:val="000000"/>
          <w:sz w:val="28"/>
          <w:szCs w:val="28"/>
          <w:lang w:val="ru-RU"/>
        </w:rPr>
        <w:t xml:space="preserve">Efanov, N.A. Matveevskaya, T.G. Beynik.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Design and characterization of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nanostructured  SERS  substrates  based  on  gold  nanostars.  //  Semiconductor  Physics,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Quantum Electronics &amp; Optoelectronics. – 2017. – V. 20. – N 1. – p.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41-47.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664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i/>
          <w:iCs/>
          <w:color w:val="000000"/>
          <w:sz w:val="28"/>
          <w:szCs w:val="28"/>
          <w:lang w:val="ru-RU"/>
        </w:rPr>
        <w:t xml:space="preserve">Harz M, Kiehntopf M, Stöckel S, Rösch P, Deufel T, Popp J.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 Analysis of single blood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cells for CSF diagnostics via a combination of fluorescence staining and micro-Raman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spectroscopy.// The Analyst. – 2008. – 133. – p. 1416-1423. – PMID 18810290 DOI: 10.1039/B716132H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664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i/>
          <w:iCs/>
          <w:color w:val="000000"/>
          <w:sz w:val="28"/>
          <w:szCs w:val="28"/>
          <w:lang w:val="ru-RU"/>
        </w:rPr>
        <w:t xml:space="preserve">Haynes,  C.  L.,  McFarland,  A.  D.  and  Van  Duyne,  R.  P. 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Surface-Enhanced  Raman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/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Spectroscopy// Analytical Chemistry. – 2005. – No77. – с. 338A–346A.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664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i/>
          <w:iCs/>
          <w:color w:val="000000"/>
          <w:sz w:val="28"/>
          <w:szCs w:val="28"/>
          <w:lang w:val="ru-RU"/>
        </w:rPr>
        <w:t xml:space="preserve">Cialla-May  D,  Krafft C, Rösch P, Deckert-Gaudig  T,  Frosch  T,  Jahn  IJ,  Pahlow  S,</w:t>
      </w:r>
      <w:r>
        <w:rPr>
          <w:rFonts w:ascii="Times New Roman" w:hAnsi="Times New Roman" w:eastAsia="Times New Roman" w:cs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000000"/>
          <w:sz w:val="28"/>
          <w:szCs w:val="28"/>
          <w:lang w:val="ru-RU"/>
        </w:rPr>
        <w:t xml:space="preserve">Stiebing  C,  Meyer-Zedler  T,  Bocklitz  T,  Schie I,  Deckert  V,  Popp  J.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  Raman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Spectroscopy  and  Imaging  in  Bioanalytics.//  Analytical  Chemistry.  –  2021.  –  DOI: 10.1021/acs.analchem.1c03235.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664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i/>
          <w:iCs/>
          <w:color w:val="000000"/>
          <w:sz w:val="28"/>
          <w:szCs w:val="28"/>
          <w:lang w:val="ru-RU"/>
        </w:rPr>
        <w:t xml:space="preserve">Guo  S,  Rösch  P,  Popp  J,  Bocklitz  T.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 Modified  PCA  and  PLS:  Towards  a  better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classification  in  Raman  spectroscopy–based  biological  applications.//  Journal  of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Chemometrics. – 2020. – 34. – DOI: 10.1002/Cem.3202.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Bdr/>
        <w:spacing w:after="0" w:afterAutospacing="0" w:before="0" w:beforeAutospacing="0"/>
        <w:ind w:right="0" w:firstLine="709" w:left="0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sectPr>
      <w:headerReference w:type="default" r:id="rId9"/>
      <w:footnotePr/>
      <w:endnotePr/>
      <w:type w:val="nextPage"/>
      <w:pgSz w:h="15840" w:orient="portrait" w:w="12240"/>
      <w:pgMar w:top="1134" w:right="567" w:bottom="1134" w:left="1701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75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4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6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8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2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3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sz w:val="28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table" w:styleId="66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2" w:default="1">
    <w:name w:val="No List"/>
    <w:uiPriority w:val="99"/>
    <w:semiHidden/>
    <w:unhideWhenUsed/>
    <w:pPr>
      <w:pBdr/>
      <w:spacing/>
      <w:ind/>
    </w:pPr>
  </w:style>
  <w:style w:type="paragraph" w:styleId="663">
    <w:name w:val="No Spacing"/>
    <w:basedOn w:val="660"/>
    <w:uiPriority w:val="1"/>
    <w:qFormat/>
    <w:pPr>
      <w:pBdr/>
      <w:spacing w:after="0" w:line="240" w:lineRule="auto"/>
      <w:ind/>
    </w:pPr>
  </w:style>
  <w:style w:type="paragraph" w:styleId="664">
    <w:name w:val="List Paragraph"/>
    <w:basedOn w:val="66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2025-04-29T14:47:59Z</dcterms:modified>
</cp:coreProperties>
</file>