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Введение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sz w:val="28"/>
          <w:szCs w:val="28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Добрый день.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  <w:lang w:val="ru-RU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егодня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  <w:lang w:val="ru-RU"/>
        </w:rPr>
        <w:t xml:space="preserve">мы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 представлю нашу работу на тему: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vertAlign w:val="baseline"/>
        </w:rPr>
        <w:t xml:space="preserve">Разработка алгоритма классификации бактерий по их спектрам комбинационного рассеяния света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  <w:lang w:val="ru-RU"/>
        </w:rPr>
      </w:r>
      <w:r>
        <w:rPr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2. Актуальность</w:t>
      </w:r>
      <w:r>
        <w:rPr>
          <w:sz w:val="28"/>
          <w:szCs w:val="28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Инфекционные заболевания остаются одной из главных угроз для здоровья человека. Согласно данным, инфекционные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  <w:lang w:val="ru-RU"/>
        </w:rPr>
        <w:t xml:space="preserve">бактерии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ежегодно приводят к высокой заболеваемости и смертности. Современная диагностика требует быстрого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точного подхода — и здес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ь особенно перспективной является спектроскопия комбинационного рассеяния света, или СКР.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 В условиях роста заболеваемости инфекциями важно не только быстро обнаружить возбудителя, но и точно его идентифицировать. Цель нашей работы — автоматизировать процесс идентификации бактерий с помощью методов машинного обучения, используя их спектры комбин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ационного рассеяния света.</w:t>
      </w:r>
      <w:r>
        <w:rPr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3. Объект исследования</w:t>
      </w:r>
      <w:r>
        <w:rPr>
          <w:sz w:val="28"/>
          <w:szCs w:val="28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Мы сосредоточились на бактериальных патогенах, таких как стафилококки, стрептококки, менингококки, псевдомонады, кишечная палочка и другие. Некоторые из них, например золотистый стафилококк, находятся в организме человека постоянно и при этом могут вызыват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ь тяжёлые заболевания — от кожных инфекций до сепсиса.</w:t>
      </w:r>
      <w:r>
        <w:rPr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4. Методы диагностики</w:t>
      </w:r>
      <w:r>
        <w:rPr>
          <w:sz w:val="28"/>
          <w:szCs w:val="28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Традиционные методы, такие как ПЦР или посев, требуют времени и специализированного оборудования. Спектроскопия комбинационного рассеяния позволяет быстро и точно определять молекулярный состав образца, основываясь на характерных вибрациях молекул. Это дел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ает метод особенно ценным для экспресс-диагностики.</w:t>
      </w:r>
      <w:r>
        <w:rPr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5. Эффект комбинационного рассеяния</w:t>
      </w:r>
      <w:r>
        <w:rPr>
          <w:sz w:val="28"/>
          <w:szCs w:val="28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Принцип метода основан на неупругом рассеянии света. При взаимодействии лазерного излучения с молекулами происходит сдвиг частоты — появляется спектр, содержащий линии, характерные для конкретных химических связей. Этот спектр уникален для каждой бактерии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и может служить её «отпечатком пальца».</w:t>
      </w:r>
      <w:r>
        <w:rPr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6. Экспериментальная установка</w:t>
      </w:r>
      <w:r>
        <w:rPr>
          <w:sz w:val="28"/>
          <w:szCs w:val="28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Мы использовали рамановский спектрометр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vertAlign w:val="baseline"/>
        </w:rPr>
        <w:t xml:space="preserve">Nicolet Almega XR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 с лазером на длине волны 532 нм. Объекты наносились на подложки с золотыми наночастицами или углеродными наностенками с золотым покрытием. Это усиливало слабые сигналы за счёт эффекта поверхностного плазмонного резонанса.</w:t>
      </w:r>
      <w:r>
        <w:rPr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7. Спектры КР бактерий</w:t>
      </w:r>
      <w:r>
        <w:rPr>
          <w:sz w:val="28"/>
          <w:szCs w:val="28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На слайде представлены примеры спектров двух различных бактерий: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vertAlign w:val="baseline"/>
        </w:rPr>
        <w:t xml:space="preserve">Staphylococcus aureus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 и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vertAlign w:val="baseline"/>
        </w:rPr>
        <w:t xml:space="preserve">Pseudomonas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. Хорошо видно, что спектральные линии отличаются, и это позволяет использовать спектры для их распознавания и классификации.</w:t>
      </w:r>
      <w:r>
        <w:rPr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  <w:t xml:space="preserve">Слайд 8. Алгоритм классификации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b w:val="0"/>
          <w:bCs w:val="0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  <w:t xml:space="preserve">После получения спектров необходимо было их предварительно обработать и извлечь информативные признаки. Сначала мы интерполировали данные на общую сетку по частотам, затем выполнили биннинг — разделили спектр на 20 равных диапазонов и усреднили интенсив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  <w:t xml:space="preserve">ность в каждом. Следом применили нормализацию MinMaxScaler, чтобы избежать перекоса в признаках.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b w:val="0"/>
          <w:bCs w:val="0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  <w:t xml:space="preserve">После этого мы использовали алгоритм извлечения пиков: для каждого спектра выбирались координаты, высоты и ширины до 10 наиболее выраженных пиков. Эти 30 признаков стали входными для модели машинного обучения.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  <w:t xml:space="preserve">В качестве классификатора использовался ансамблевый метод Random Forest. Модель обучалась с подбором гиперпараметров и оценкой точности по стратегии GroupKFold, чтобы избежать переобучения на спектрах одного и того же образца.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9.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baseline"/>
        </w:rPr>
        <w:t xml:space="preserve">Обработка спектров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baseline"/>
        </w:rPr>
      </w:r>
      <w:r>
        <w:rPr>
          <w:rFonts w:ascii="Times New Roman" w:hAnsi="Times New Roman" w:eastAsia="Times New Roman" w:cs="Times New Roman"/>
          <w:sz w:val="28"/>
          <w:szCs w:val="28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256"/>
        </w:tabs>
        <w:spacing w:after="0" w:afterAutospacing="0" w:before="0" w:beforeAutospacing="0"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Спектры изначально имели разную длину и диапазон. Мы интерполировали их на общую сетку, затем усреднили значения в 20 равных интервалах (биннинг), и нормировали. Это важно, чтобы алгоритм обрабатывал данные в едином формате.</w:t>
      </w:r>
      <w:r>
        <w:rPr>
          <w:rFonts w:ascii="Times New Roman" w:hAnsi="Times New Roman" w:cs="Times New Roman"/>
          <w:b w:val="0"/>
          <w:bCs w:val="0"/>
          <w:sz w:val="28"/>
          <w:szCs w:val="28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10.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baseline"/>
        </w:rPr>
        <w:t xml:space="preserve">Извлечение признаков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256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  <w:t xml:space="preserve">Для извлечение пиков была использована функция find_peaks из библиотеки SciPy. На вход подаются уже предобработанные, интерполированные на общую сетку и сглаженные спектры. </w:t>
      </w:r>
      <w:r>
        <w:rPr>
          <w:rFonts w:ascii="Times New Roman" w:hAnsi="Times New Roman" w:cs="Times New Roman"/>
          <w:b w:val="0"/>
          <w:bCs w:val="0"/>
          <w:sz w:val="28"/>
          <w:szCs w:val="28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  <w:t xml:space="preserve">Для каждого пика сохраняем три параметра: Позиция (волновое число λi), амплитуда (высота si), ширина на полувысоте.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  <w:t xml:space="preserve">Из всех обнаруженных пиков отбираем топ‑N по убыванию высоты si​.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 Эти данные становятся входными признаками для классификатора.</w:t>
      </w:r>
      <w:r/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11.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  <w:lang w:val="en-US"/>
        </w:rPr>
        <w:t xml:space="preserve">Random Forest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256"/>
        </w:tabs>
        <w:spacing w:after="0" w:afterAutospacing="0" w:before="0" w:beforeAutospacing="0"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качестве алгоритма для классификации использовался ансамбль решающих деревьев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лучайный лес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.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  <w:lang w:val="ru-RU"/>
        </w:rPr>
        <w:t xml:space="preserve">В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  <w:t xml:space="preserve">ходными признаками выступает уже подготовленные для каждого спектра вектор из 30 чисел (для 10-и пиков): позиции, высоты и ширины пиков. Внутри каждого дерева задаётся вопрос типа «высота пика 1335 см⁻¹ больше ли 0.7?» (0.7 – нормализованная интен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  <w:t xml:space="preserve">сивность). Если да – идёт в одну ветку, если нет – в другую. На каждом уровне дерево задаёт новый простой вопрос, пока не определит класс 0 или 1 где и заканчивается ответвление дерева.Строиться сотню таких деревьев на разных случайных подмножествах данных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  <w:t xml:space="preserve">и признаков. Каждый «деревяшка» голосует за свой класс. Побеждает тот класс, за который проголосовало больше деревьев.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Слайд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Результаты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vertAlign w:val="baseli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Для надёжной оценки применялась групповая кросс-валидация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  <w:lang w:val="en-US"/>
        </w:rPr>
        <w:t xml:space="preserve">Leave One Spectrum Out CV)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 — она учитывает, что несколько спектров могут быть получены от одного образца. Мы также настраивали параметры модели для достижения наилучшей точност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и.</w:t>
      </w:r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Итоговая точность классификации составила около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83%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vertAlign w:val="baseline"/>
        </w:rPr>
        <w:t xml:space="preserve">. Алгоритм устойчиво распознаёт тип бактерии по спектру. Это показывает, что метод применим в реальных задачах быстрой диагностики</w:t>
      </w:r>
      <w:r>
        <w:rPr>
          <w:rFonts w:ascii="Times New Roman" w:hAnsi="Times New Roman" w:cs="Times New Roman"/>
          <w:b w:val="0"/>
          <w:bCs w:val="0"/>
          <w:sz w:val="28"/>
          <w:szCs w:val="28"/>
          <w:vertAlign w:val="baseli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baseline"/>
        </w:rPr>
        <w:t xml:space="preserve">Заключение</w:t>
      </w:r>
      <w:r>
        <w:rPr>
          <w:sz w:val="28"/>
          <w:szCs w:val="28"/>
          <w:vertAlign w:val="baseline"/>
        </w:rPr>
      </w:r>
      <w:r>
        <w:rPr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40" w:lineRule="auto"/>
        <w:ind w:right="0" w:firstLine="0" w:left="0"/>
        <w:jc w:val="both"/>
        <w:rPr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Поверхностно-усиленная спектроскопия комбинационного рассеяния света — это высокочувствительный метод, который можно эффективно использовать для классификации бактерий. Совмещая его с методами машинного обучения, мы получаем быстрый и точный инструмент диа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гностики. Благодарю за внимание!</w:t>
      </w:r>
      <w:r>
        <w:rPr>
          <w:sz w:val="28"/>
          <w:szCs w:val="28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vertAlign w:val="baseli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2025-05-29T20:33:13Z</dcterms:modified>
</cp:coreProperties>
</file>